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19.xml" ContentType="application/vnd.ms-office.chartcolorstyle+xml"/>
  <Override PartName="/word/charts/colors2.xml" ContentType="application/vnd.ms-office.chartcolorstyle+xml"/>
  <Override PartName="/word/charts/colors20.xml" ContentType="application/vnd.ms-office.chartcolorstyle+xml"/>
  <Override PartName="/word/charts/colors21.xml" ContentType="application/vnd.ms-office.chartcolorstyle+xml"/>
  <Override PartName="/word/charts/colors22.xml" ContentType="application/vnd.ms-office.chartcolorstyle+xml"/>
  <Override PartName="/word/charts/colors23.xml" ContentType="application/vnd.ms-office.chartcolorstyle+xml"/>
  <Override PartName="/word/charts/colors24.xml" ContentType="application/vnd.ms-office.chartcolorstyle+xml"/>
  <Override PartName="/word/charts/colors25.xml" ContentType="application/vnd.ms-office.chartcolorstyle+xml"/>
  <Override PartName="/word/charts/colors26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19.xml" ContentType="application/vnd.ms-office.chartstyle+xml"/>
  <Override PartName="/word/charts/style2.xml" ContentType="application/vnd.ms-office.chartstyle+xml"/>
  <Override PartName="/word/charts/style20.xml" ContentType="application/vnd.ms-office.chartstyle+xml"/>
  <Override PartName="/word/charts/style21.xml" ContentType="application/vnd.ms-office.chartstyle+xml"/>
  <Override PartName="/word/charts/style22.xml" ContentType="application/vnd.ms-office.chartstyle+xml"/>
  <Override PartName="/word/charts/style23.xml" ContentType="application/vnd.ms-office.chartstyle+xml"/>
  <Override PartName="/word/charts/style24.xml" ContentType="application/vnd.ms-office.chartstyle+xml"/>
  <Override PartName="/word/charts/style25.xml" ContentType="application/vnd.ms-office.chartstyle+xml"/>
  <Override PartName="/word/charts/style26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CD8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 w14:paraId="700C64C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327275"/>
            <wp:effectExtent l="0" t="0" r="6985" b="15875"/>
            <wp:docPr id="16" name="图表 16" descr="7b0a202020202263686172745265734964223a20223436363938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83E0B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18"/>
          <w:szCs w:val="18"/>
        </w:rPr>
      </w:pP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>图</w:t>
      </w:r>
      <w:r>
        <w:rPr>
          <w:rFonts w:hint="eastAsia" w:ascii="黑体" w:hAnsi="黑体" w:cs="黑体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eastAsia" w:ascii="黑体" w:hAnsi="黑体" w:cs="黑体"/>
          <w:b w:val="0"/>
          <w:bCs w:val="0"/>
          <w:sz w:val="18"/>
          <w:szCs w:val="18"/>
          <w:lang w:val="en-US" w:eastAsia="zh-CN"/>
        </w:rPr>
        <w:t>网络消费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</w:rPr>
        <w:t>知情权</w:t>
      </w:r>
      <w:r>
        <w:rPr>
          <w:rFonts w:hint="eastAsia" w:ascii="黑体" w:hAnsi="黑体" w:cs="黑体"/>
          <w:b w:val="0"/>
          <w:bCs w:val="0"/>
          <w:sz w:val="18"/>
          <w:szCs w:val="18"/>
          <w:lang w:val="en-US" w:eastAsia="zh-CN"/>
        </w:rPr>
        <w:t>受到</w:t>
      </w:r>
      <w:r>
        <w:rPr>
          <w:rFonts w:hint="eastAsia" w:ascii="黑体" w:hAnsi="黑体" w:eastAsia="黑体" w:cs="黑体"/>
          <w:b w:val="0"/>
          <w:bCs w:val="0"/>
          <w:sz w:val="18"/>
          <w:szCs w:val="18"/>
        </w:rPr>
        <w:t>侵害的情况</w:t>
      </w:r>
    </w:p>
    <w:p w14:paraId="1FA8974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D0B62A7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314315" cy="2939415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27A182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314315" cy="293941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D911AD2">
      <w:pPr>
        <w:pStyle w:val="4"/>
        <w:ind w:firstLine="630" w:firstLineChars="300"/>
        <w:jc w:val="center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  <w:t>图</w:t>
      </w:r>
      <w:r>
        <w:rPr>
          <w:rFonts w:hint="eastAsia" w:ascii="黑体" w:hAnsi="黑体" w:cs="黑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相关现象对</w:t>
      </w:r>
      <w:r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  <w:t>网络消费知情权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受</w:t>
      </w:r>
      <w:r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  <w:t>影响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  <w:t>程度</w:t>
      </w:r>
    </w:p>
    <w:p w14:paraId="0DCE8A5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 w14:paraId="1BCBF72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7686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3B24CD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图3 商品或服务在图文展示中存在的虚假宣传情况</w:t>
      </w:r>
    </w:p>
    <w:p w14:paraId="1B0245C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EABA00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39839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24846A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图4 关键信息告知不清晰、甚至故意隐藏的情况</w:t>
      </w:r>
    </w:p>
    <w:p w14:paraId="0284F34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43ECC7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7686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88BE59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图5 网络平台“刷单炒信”情况</w:t>
      </w:r>
    </w:p>
    <w:p w14:paraId="3F811C8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AED3D6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92100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010C2E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图6 浏览网络商品和服务评价时，涉嫌“刷单炒信”的情形 </w:t>
      </w:r>
    </w:p>
    <w:p w14:paraId="12CA094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9790CCC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830195"/>
            <wp:effectExtent l="0" t="0" r="0" b="0"/>
            <wp:docPr id="18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图7 “大数据杀熟”类型</w:t>
      </w:r>
    </w:p>
    <w:p w14:paraId="124138F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BD25A15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1882775"/>
            <wp:effectExtent l="0" t="0" r="0" b="0"/>
            <wp:docPr id="38" name="图表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63A715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图8 遇到过“大数据杀熟”的平台类型 </w:t>
      </w:r>
    </w:p>
    <w:p w14:paraId="4B5A1CF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7FEE8C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533650"/>
            <wp:effectExtent l="0" t="0" r="0" b="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C80C00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图9 “低价诱导、反复收费”的情况</w:t>
      </w:r>
    </w:p>
    <w:p w14:paraId="28FB5EDD">
      <w:pPr>
        <w:pStyle w:val="4"/>
        <w:ind w:firstLine="840" w:firstLineChars="300"/>
        <w:jc w:val="center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3013075"/>
            <wp:effectExtent l="0" t="0" r="0" b="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图10 决定购买相关商品或服务的诱因</w:t>
      </w:r>
    </w:p>
    <w:p w14:paraId="13ABEF23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912110"/>
            <wp:effectExtent l="0" t="0" r="0" b="0"/>
            <wp:docPr id="20" name="图表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图11 商家收集消费者个人信息时的情况</w:t>
      </w:r>
    </w:p>
    <w:p w14:paraId="78A07893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75E9A5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619375"/>
            <wp:effectExtent l="0" t="0" r="0" b="0"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679E16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图12 </w:t>
      </w:r>
      <w:r>
        <w:rPr>
          <w:rFonts w:hint="eastAsia" w:ascii="黑体" w:hAnsi="黑体" w:eastAsia="黑体" w:cs="黑体"/>
          <w:szCs w:val="21"/>
          <w:lang w:val="en-US" w:eastAsia="zh-CN"/>
        </w:rPr>
        <w:t>商家</w:t>
      </w:r>
      <w:r>
        <w:rPr>
          <w:rFonts w:hint="eastAsia" w:ascii="黑体" w:hAnsi="黑体" w:eastAsia="黑体" w:cs="黑体"/>
          <w:szCs w:val="21"/>
        </w:rPr>
        <w:t>收集</w:t>
      </w:r>
      <w:r>
        <w:rPr>
          <w:rFonts w:hint="eastAsia" w:ascii="黑体" w:hAnsi="黑体" w:eastAsia="黑体" w:cs="黑体"/>
          <w:szCs w:val="21"/>
          <w:lang w:val="en-US" w:eastAsia="zh-CN"/>
        </w:rPr>
        <w:t>的消费者个人信息</w:t>
      </w:r>
      <w:r>
        <w:rPr>
          <w:rFonts w:hint="eastAsia" w:ascii="黑体" w:hAnsi="黑体" w:eastAsia="黑体" w:cs="黑体"/>
          <w:szCs w:val="21"/>
        </w:rPr>
        <w:t>与其提供的服务</w:t>
      </w:r>
      <w:r>
        <w:rPr>
          <w:rFonts w:hint="eastAsia" w:ascii="黑体" w:hAnsi="黑体" w:eastAsia="黑体" w:cs="黑体"/>
          <w:szCs w:val="21"/>
          <w:lang w:val="en-US" w:eastAsia="zh-CN"/>
        </w:rPr>
        <w:t>功能情况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</w:t>
      </w:r>
    </w:p>
    <w:p w14:paraId="4AC5A69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6A9CDBA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3545840"/>
            <wp:effectExtent l="0" t="0" r="0" b="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图13 网络商家收集消费者个人信息的情形  </w:t>
      </w:r>
    </w:p>
    <w:p w14:paraId="61583A77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300AE0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863215"/>
            <wp:effectExtent l="0" t="0" r="0" b="0"/>
            <wp:docPr id="26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B81D8C7">
      <w:pPr>
        <w:pStyle w:val="4"/>
        <w:ind w:firstLine="63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图14 “收集个人信息”的网络平台类型</w:t>
      </w:r>
    </w:p>
    <w:p w14:paraId="66C211C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E69372C">
      <w:pPr>
        <w:pStyle w:val="4"/>
        <w:ind w:firstLine="840" w:firstLineChars="300"/>
        <w:jc w:val="center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298065"/>
            <wp:effectExtent l="0" t="0" r="0" b="0"/>
            <wp:docPr id="27" name="图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图15 曾经经历过信息泄露受骚扰或损失的情况</w:t>
      </w:r>
    </w:p>
    <w:p w14:paraId="29AF22A8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517775"/>
            <wp:effectExtent l="0" t="0" r="0" b="0"/>
            <wp:docPr id="28" name="图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图16 在网络平台或APP，点击“确定”前无法查看用户协议内容的情况</w:t>
      </w:r>
    </w:p>
    <w:p w14:paraId="484AD85F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624455"/>
            <wp:effectExtent l="0" t="0" r="0" b="0"/>
            <wp:docPr id="29" name="图表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图17 网络平台或APP用户协议主要存在的问题</w:t>
      </w:r>
    </w:p>
    <w:p w14:paraId="0A138B62">
      <w:pPr>
        <w:pStyle w:val="4"/>
        <w:ind w:firstLine="840" w:firstLineChars="300"/>
        <w:jc w:val="center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4868545" cy="2444115"/>
            <wp:effectExtent l="0" t="0" r="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图18 购买服务前，知晓自动续费选项的情况</w:t>
      </w:r>
    </w:p>
    <w:p w14:paraId="748375E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79D809C2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4885690" cy="2563495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图19 自动续费被扣费之前，扣费提醒的情况 </w:t>
      </w:r>
    </w:p>
    <w:p w14:paraId="1C33FB30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334895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图20 取消自动续费时遇到的困难 </w:t>
      </w:r>
    </w:p>
    <w:p w14:paraId="2FA790DF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4868545" cy="2682875"/>
            <wp:effectExtent l="0" t="0" r="8255" b="3175"/>
            <wp:docPr id="33" name="图表 33" descr="7b0a202020202263686172745265734964223a2022343336313638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图21 浏览网页自动跳转前，平台告知“将前往第三方平台及其可能带来的后果”情况  </w:t>
      </w:r>
    </w:p>
    <w:p w14:paraId="4D96BF8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 w:firstLine="560" w:firstLineChars="2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31509C4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51841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bookmarkStart w:id="0" w:name="_Toc27196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图22 平台自动跳转第三方行为主要会带来的不便或困扰</w:t>
      </w:r>
    </w:p>
    <w:bookmarkEnd w:id="0"/>
    <w:p w14:paraId="6982F4E9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4868545" cy="2726055"/>
            <wp:effectExtent l="0" t="0" r="8255" b="17145"/>
            <wp:docPr id="36" name="图表 36" descr="7b0a202020202263686172745265734964223a2022343336313638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图23 常用网络交易平台的投诉举报维权通道和处理机制满意情况</w:t>
      </w:r>
    </w:p>
    <w:p w14:paraId="7851193E">
      <w:pPr>
        <w:pStyle w:val="4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489200"/>
            <wp:effectExtent l="0" t="0" r="0" b="0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图24 网络消费知情权受到侵害时，维权过程中一般会遇到的困难</w:t>
      </w:r>
    </w:p>
    <w:p w14:paraId="629001FC">
      <w:pPr>
        <w:pStyle w:val="4"/>
        <w:ind w:firstLine="840" w:firstLineChars="300"/>
        <w:jc w:val="center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5003165" cy="2534285"/>
            <wp:effectExtent l="0" t="0" r="0" b="0"/>
            <wp:docPr id="37" name="图表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图25 提升网络消费者知情权的保护措施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B8E0EF1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397E0F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9090E"/>
    <w:rsid w:val="64D33A77"/>
    <w:rsid w:val="65086198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7E794D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9FC3F71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jc w:val="center"/>
    </w:pPr>
    <w:rPr>
      <w:rFonts w:ascii="Arial" w:hAnsi="Arial" w:eastAsia="黑体" w:cs="Times New Roman"/>
      <w:sz w:val="20"/>
      <w:szCs w:val="24"/>
    </w:rPr>
  </w:style>
  <w:style w:type="paragraph" w:styleId="4">
    <w:name w:val="Body Text"/>
    <w:basedOn w:val="1"/>
    <w:next w:val="5"/>
    <w:qFormat/>
    <w:uiPriority w:val="99"/>
    <w:pPr>
      <w:spacing w:after="120"/>
    </w:pPr>
    <w:rPr>
      <w:rFonts w:ascii="Times New Roman" w:hAnsi="Times New Roman" w:cs="Times New Roman"/>
      <w:kern w:val="0"/>
      <w:szCs w:val="20"/>
    </w:rPr>
  </w:style>
  <w:style w:type="paragraph" w:styleId="5">
    <w:name w:val="toc 6"/>
    <w:basedOn w:val="1"/>
    <w:next w:val="1"/>
    <w:qFormat/>
    <w:uiPriority w:val="99"/>
    <w:pPr>
      <w:ind w:left="2100" w:leftChars="10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hart" Target="charts/chart26.xml"/><Relationship Id="rId28" Type="http://schemas.openxmlformats.org/officeDocument/2006/relationships/chart" Target="charts/chart25.xml"/><Relationship Id="rId27" Type="http://schemas.openxmlformats.org/officeDocument/2006/relationships/chart" Target="charts/chart24.xml"/><Relationship Id="rId26" Type="http://schemas.openxmlformats.org/officeDocument/2006/relationships/chart" Target="charts/chart23.xml"/><Relationship Id="rId25" Type="http://schemas.openxmlformats.org/officeDocument/2006/relationships/chart" Target="charts/chart22.xml"/><Relationship Id="rId24" Type="http://schemas.openxmlformats.org/officeDocument/2006/relationships/chart" Target="charts/chart21.xml"/><Relationship Id="rId23" Type="http://schemas.openxmlformats.org/officeDocument/2006/relationships/chart" Target="charts/chart20.xml"/><Relationship Id="rId22" Type="http://schemas.openxmlformats.org/officeDocument/2006/relationships/chart" Target="charts/chart19.xml"/><Relationship Id="rId21" Type="http://schemas.openxmlformats.org/officeDocument/2006/relationships/chart" Target="charts/chart18.xml"/><Relationship Id="rId20" Type="http://schemas.openxmlformats.org/officeDocument/2006/relationships/chart" Target="charts/chart17.xml"/><Relationship Id="rId2" Type="http://schemas.openxmlformats.org/officeDocument/2006/relationships/settings" Target="settings.xml"/><Relationship Id="rId19" Type="http://schemas.openxmlformats.org/officeDocument/2006/relationships/chart" Target="charts/chart16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package" Target="../embeddings/Workbook16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package" Target="../embeddings/Workbook18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package" Target="../embeddings/Workbook17.xlsx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microsoft.com/office/2011/relationships/chartStyle" Target="style20.xml"/><Relationship Id="rId1" Type="http://schemas.openxmlformats.org/officeDocument/2006/relationships/package" Target="../embeddings/Workbook20.xlsx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22.xml"/><Relationship Id="rId2" Type="http://schemas.microsoft.com/office/2011/relationships/chartStyle" Target="style22.xml"/><Relationship Id="rId1" Type="http://schemas.openxmlformats.org/officeDocument/2006/relationships/package" Target="../embeddings/Workbook22.xlsx"/></Relationships>
</file>

<file path=word/charts/_rels/chart19.xml.rels><?xml version="1.0" encoding="UTF-8" standalone="yes"?>
<Relationships xmlns="http://schemas.openxmlformats.org/package/2006/relationships"><Relationship Id="rId4" Type="http://schemas.microsoft.com/office/2011/relationships/chartColorStyle" Target="colors23.xml"/><Relationship Id="rId3" Type="http://schemas.microsoft.com/office/2011/relationships/chartStyle" Target="style23.xml"/><Relationship Id="rId2" Type="http://schemas.openxmlformats.org/officeDocument/2006/relationships/themeOverride" Target="../theme/themeOverride5.xml"/><Relationship Id="rId1" Type="http://schemas.openxmlformats.org/officeDocument/2006/relationships/package" Target="../embeddings/Workbook23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8.xml"/><Relationship Id="rId3" Type="http://schemas.microsoft.com/office/2011/relationships/chartStyle" Target="style8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8.xlsx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microsoft.com/office/2011/relationships/chartStyle" Target="style19.xml"/><Relationship Id="rId1" Type="http://schemas.openxmlformats.org/officeDocument/2006/relationships/package" Target="../embeddings/Workbook19.xlsx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ColorStyle" Target="colors24.xml"/><Relationship Id="rId2" Type="http://schemas.microsoft.com/office/2011/relationships/chartStyle" Target="style24.xml"/><Relationship Id="rId1" Type="http://schemas.openxmlformats.org/officeDocument/2006/relationships/package" Target="../embeddings/Workbook24.xlsx"/></Relationships>
</file>

<file path=word/charts/_rels/chart22.xml.rels><?xml version="1.0" encoding="UTF-8" standalone="yes"?>
<Relationships xmlns="http://schemas.openxmlformats.org/package/2006/relationships"><Relationship Id="rId4" Type="http://schemas.microsoft.com/office/2011/relationships/chartColorStyle" Target="colors10.xml"/><Relationship Id="rId3" Type="http://schemas.microsoft.com/office/2011/relationships/chartStyle" Target="style10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10.xlsx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ColorStyle" Target="colors21.xml"/><Relationship Id="rId2" Type="http://schemas.microsoft.com/office/2011/relationships/chartStyle" Target="style21.xml"/><Relationship Id="rId1" Type="http://schemas.openxmlformats.org/officeDocument/2006/relationships/package" Target="../embeddings/Workbook21.xlsx"/></Relationships>
</file>

<file path=word/charts/_rels/chart24.xml.rels><?xml version="1.0" encoding="UTF-8" standalone="yes"?>
<Relationships xmlns="http://schemas.openxmlformats.org/package/2006/relationships"><Relationship Id="rId4" Type="http://schemas.microsoft.com/office/2011/relationships/chartColorStyle" Target="colors13.xml"/><Relationship Id="rId3" Type="http://schemas.microsoft.com/office/2011/relationships/chartStyle" Target="style13.xml"/><Relationship Id="rId2" Type="http://schemas.openxmlformats.org/officeDocument/2006/relationships/themeOverride" Target="../theme/themeOverride4.xml"/><Relationship Id="rId1" Type="http://schemas.openxmlformats.org/officeDocument/2006/relationships/package" Target="../embeddings/Workbook13.xlsx"/></Relationships>
</file>

<file path=word/charts/_rels/chart25.xml.rels><?xml version="1.0" encoding="UTF-8" standalone="yes"?>
<Relationships xmlns="http://schemas.openxmlformats.org/package/2006/relationships"><Relationship Id="rId3" Type="http://schemas.microsoft.com/office/2011/relationships/chartColorStyle" Target="colors26.xml"/><Relationship Id="rId2" Type="http://schemas.microsoft.com/office/2011/relationships/chartStyle" Target="style26.xml"/><Relationship Id="rId1" Type="http://schemas.openxmlformats.org/officeDocument/2006/relationships/package" Target="../embeddings/Workbook26.xlsx"/></Relationships>
</file>

<file path=word/charts/_rels/chart26.xml.rels><?xml version="1.0" encoding="UTF-8" standalone="yes"?>
<Relationships xmlns="http://schemas.openxmlformats.org/package/2006/relationships"><Relationship Id="rId3" Type="http://schemas.microsoft.com/office/2011/relationships/chartColorStyle" Target="colors25.xml"/><Relationship Id="rId2" Type="http://schemas.microsoft.com/office/2011/relationships/chartStyle" Target="style25.xml"/><Relationship Id="rId1" Type="http://schemas.openxmlformats.org/officeDocument/2006/relationships/package" Target="../embeddings/Workbook25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5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24609722045945"/>
          <c:y val="0.0272851296043656"/>
          <c:w val="0.671582688158396"/>
          <c:h val="0.9377899045020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rgbClr val="9BEEE0"/>
              </a:fgClr>
              <a:bgClr>
                <a:srgbClr val="08B0C5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bg1">
                    <a:lumMod val="95000"/>
                  </a:schemeClr>
                </a:fgClr>
                <a:bgClr>
                  <a:schemeClr val="bg1">
                    <a:lumMod val="65000"/>
                  </a:schemeClr>
                </a:bgClr>
              </a:patt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/>
            </c:spPr>
          </c:dPt>
          <c:dLbls>
            <c:numFmt formatCode="General" sourceLinked="1"/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Impact" panose="020B0806030902050204" charset="0"/>
                    <a:ea typeface="Impact" panose="020B0806030902050204" charset="0"/>
                    <a:cs typeface="Impact" panose="020B0806030902050204" charset="0"/>
                    <a:sym typeface="Impact" panose="020B08060309020502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不清楚</c:v>
                </c:pt>
                <c:pt idx="1">
                  <c:v>自动跳转不明第三方网页</c:v>
                </c:pt>
                <c:pt idx="2">
                  <c:v>用户协议透明度低、可读性差</c:v>
                </c:pt>
                <c:pt idx="3">
                  <c:v>非必要收集个人信息</c:v>
                </c:pt>
                <c:pt idx="4">
                  <c:v>自动展期、自动续费未显著提醒</c:v>
                </c:pt>
                <c:pt idx="5">
                  <c:v>低价诱导反复收费</c:v>
                </c:pt>
                <c:pt idx="6">
                  <c:v>大数据杀熟</c:v>
                </c:pt>
                <c:pt idx="7">
                  <c:v>刷单炒信</c:v>
                </c:pt>
                <c:pt idx="8">
                  <c:v>图文展示虚假宣传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0.0250990752972259</c:v>
                </c:pt>
                <c:pt idx="1">
                  <c:v>0.140428464763655</c:v>
                </c:pt>
                <c:pt idx="2">
                  <c:v>0.150594451783355</c:v>
                </c:pt>
                <c:pt idx="3">
                  <c:v>0.156739991959106</c:v>
                </c:pt>
                <c:pt idx="4">
                  <c:v>0.187180518063293</c:v>
                </c:pt>
                <c:pt idx="5">
                  <c:v>0.312044110045374</c:v>
                </c:pt>
                <c:pt idx="6">
                  <c:v>0.39635862385848</c:v>
                </c:pt>
                <c:pt idx="7">
                  <c:v>0.463442651197519</c:v>
                </c:pt>
                <c:pt idx="8">
                  <c:v>0.56314973292746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7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8520560"/>
        <c:crosses val="autoZero"/>
        <c:crossBetween val="between"/>
      </c:valAx>
      <c:spPr>
        <a:noFill/>
        <a:ln w="3175">
          <a:solidFill>
            <a:schemeClr val="bg1">
              <a:lumMod val="9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6">
                  <a:lumMod val="20000"/>
                  <a:lumOff val="80000"/>
                </a:schemeClr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6">
                    <a:lumMod val="20000"/>
                    <a:lumOff val="80000"/>
                  </a:schemeClr>
                </a:fgClr>
                <a:bgClr>
                  <a:schemeClr val="accent6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6">
                    <a:lumMod val="20000"/>
                    <a:lumOff val="80000"/>
                  </a:schemeClr>
                </a:fgClr>
                <a:bgClr>
                  <a:schemeClr val="accent6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没有遇到过</c:v>
                </c:pt>
                <c:pt idx="1">
                  <c:v>其他</c:v>
                </c:pt>
                <c:pt idx="2">
                  <c:v>电信套餐价格优惠但含不必要增值服务，且取消困难</c:v>
                </c:pt>
                <c:pt idx="3">
                  <c:v>商品标价低，但运费/手续费高昂</c:v>
                </c:pt>
                <c:pt idx="4">
                  <c:v>金融服务（如贷款、信用卡）低利率/手续费承诺，后续遭遇高额罚息等</c:v>
                </c:pt>
                <c:pt idx="5">
                  <c:v>培训首课低价，后续课程高价且未明示总价</c:v>
                </c:pt>
                <c:pt idx="6">
                  <c:v>旅游团低价吸引，行程中多自费项目</c:v>
                </c:pt>
                <c:pt idx="7">
                  <c:v>软件/应用（如视频软件）初始免费，后续升级/解锁功能需反复付费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0.0635804950893114</c:v>
                </c:pt>
                <c:pt idx="1">
                  <c:v>0.00511171098730688</c:v>
                </c:pt>
                <c:pt idx="2">
                  <c:v>0.130721957383263</c:v>
                </c:pt>
                <c:pt idx="3">
                  <c:v>0.253173281258974</c:v>
                </c:pt>
                <c:pt idx="4">
                  <c:v>0.276549307908793</c:v>
                </c:pt>
                <c:pt idx="5">
                  <c:v>0.3506978347022</c:v>
                </c:pt>
                <c:pt idx="6">
                  <c:v>0.384871632875768</c:v>
                </c:pt>
                <c:pt idx="7">
                  <c:v>0.4603985985871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6">
                  <a:lumMod val="20000"/>
                  <a:lumOff val="80000"/>
                </a:schemeClr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6">
                    <a:lumMod val="20000"/>
                    <a:lumOff val="80000"/>
                  </a:schemeClr>
                </a:fgClr>
                <a:bgClr>
                  <a:schemeClr val="accent6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6">
                    <a:lumMod val="20000"/>
                    <a:lumOff val="80000"/>
                  </a:schemeClr>
                </a:fgClr>
                <a:bgClr>
                  <a:schemeClr val="accent6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其他</c:v>
                </c:pt>
                <c:pt idx="1">
                  <c:v>群体效应</c:v>
                </c:pt>
                <c:pt idx="2">
                  <c:v>用户体验或效果展示</c:v>
                </c:pt>
                <c:pt idx="3">
                  <c:v>明确的退款或无忧购物保障</c:v>
                </c:pt>
                <c:pt idx="4">
                  <c:v>独特或稀缺的产品特性</c:v>
                </c:pt>
                <c:pt idx="5">
                  <c:v>显著的价格折扣</c:v>
                </c:pt>
                <c:pt idx="6">
                  <c:v>名人或网红推荐</c:v>
                </c:pt>
                <c:pt idx="7">
                  <c:v>限时优惠或促销信息</c:v>
                </c:pt>
                <c:pt idx="8">
                  <c:v>承诺的额外福利或服务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0.00239205103042198</c:v>
                </c:pt>
                <c:pt idx="1">
                  <c:v>0.0586359175662414</c:v>
                </c:pt>
                <c:pt idx="2">
                  <c:v>0.123650637880275</c:v>
                </c:pt>
                <c:pt idx="3">
                  <c:v>0.182531894013739</c:v>
                </c:pt>
                <c:pt idx="4">
                  <c:v>0.228962217860648</c:v>
                </c:pt>
                <c:pt idx="5">
                  <c:v>0.246626594700687</c:v>
                </c:pt>
                <c:pt idx="6">
                  <c:v>0.35506624141315</c:v>
                </c:pt>
                <c:pt idx="7">
                  <c:v>0.455225711481845</c:v>
                </c:pt>
                <c:pt idx="8">
                  <c:v>0.467063297350343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1">
                  <a:lumMod val="20000"/>
                  <a:lumOff val="80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未遭遇违法违规的个人信息收集行为</c:v>
                </c:pt>
                <c:pt idx="1">
                  <c:v>未设立并公开个人信息安全投诉与举报途径</c:v>
                </c:pt>
                <c:pt idx="2">
                  <c:v>无法有效更正、删除个人信息或注销账号</c:v>
                </c:pt>
                <c:pt idx="3">
                  <c:v>没有收集个人信息的隐私政策</c:v>
                </c:pt>
                <c:pt idx="4">
                  <c:v>定向推送信息基于个人信息与算法，未提供非定向选项</c:v>
                </c:pt>
                <c:pt idx="5">
                  <c:v>信息收集与使用的规则复杂难解，包含过多专业术语</c:v>
                </c:pt>
                <c:pt idx="6">
                  <c:v>告知收集敏感信息（如身份证、银行账号、行踪、人脸）时，目的模糊难懂</c:v>
                </c:pt>
                <c:pt idx="7">
                  <c:v>隐私政策未清晰列出所有应用（含第三方服务）收集信息的具体目的、方式及范围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0.0416977772672448</c:v>
                </c:pt>
                <c:pt idx="1">
                  <c:v>0.0608236172534605</c:v>
                </c:pt>
                <c:pt idx="2">
                  <c:v>0.10194704497157</c:v>
                </c:pt>
                <c:pt idx="3">
                  <c:v>0.173051519154557</c:v>
                </c:pt>
                <c:pt idx="4">
                  <c:v>0.187754867612429</c:v>
                </c:pt>
                <c:pt idx="5">
                  <c:v>0.300614554017575</c:v>
                </c:pt>
                <c:pt idx="6">
                  <c:v>0.434093389236689</c:v>
                </c:pt>
                <c:pt idx="7">
                  <c:v>0.453908448681868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1">
                  <a:lumMod val="20000"/>
                  <a:lumOff val="80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没有遇到过</c:v>
                </c:pt>
                <c:pt idx="1">
                  <c:v>其他</c:v>
                </c:pt>
                <c:pt idx="2">
                  <c:v>以优化服务、体验等为由，强制用户接受不必要的个人信息收集</c:v>
                </c:pt>
                <c:pt idx="3">
                  <c:v>收集信息的频度或量远超业务实际需要</c:v>
                </c:pt>
                <c:pt idx="4">
                  <c:v>收集的个人信息类型或权限与现有业务功能无直接关联</c:v>
                </c:pt>
                <c:pt idx="5">
                  <c:v>新增功能要求超出原同意范围的信息，不同意则影响原功能使用</c:v>
                </c:pt>
                <c:pt idx="6">
                  <c:v>用户不同意收集自认为隐私的信息或权限时，被拒绝提供核心业务功能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0.0516914594222044</c:v>
                </c:pt>
                <c:pt idx="1">
                  <c:v>0.00804089368789846</c:v>
                </c:pt>
                <c:pt idx="2">
                  <c:v>0.149445752685084</c:v>
                </c:pt>
                <c:pt idx="3">
                  <c:v>0.225317328125897</c:v>
                </c:pt>
                <c:pt idx="4">
                  <c:v>0.321750617425765</c:v>
                </c:pt>
                <c:pt idx="5">
                  <c:v>0.414852679340647</c:v>
                </c:pt>
                <c:pt idx="6">
                  <c:v>0.493193957842743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27351186699"/>
          <c:y val="0.00773594636410521"/>
          <c:w val="0.581647417184922"/>
          <c:h val="0.984528107271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1">
                  <a:lumMod val="20000"/>
                  <a:lumOff val="80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其他</c:v>
                </c:pt>
                <c:pt idx="1">
                  <c:v>健康状况、医疗记录或疾病历史</c:v>
                </c:pt>
                <c:pt idx="2">
                  <c:v>生物识别信息（如指纹、面部识别）</c:v>
                </c:pt>
                <c:pt idx="3">
                  <c:v>财产状况</c:v>
                </c:pt>
                <c:pt idx="4">
                  <c:v>浏览历史、搜索记录或购物偏好</c:v>
                </c:pt>
                <c:pt idx="5">
                  <c:v>支付/金融账号信息</c:v>
                </c:pt>
                <c:pt idx="6">
                  <c:v>社交账号（QQ、邮箱、微信等）</c:v>
                </c:pt>
                <c:pt idx="7">
                  <c:v>个人照片</c:v>
                </c:pt>
                <c:pt idx="8">
                  <c:v>位置信息、家庭/单位住址</c:v>
                </c:pt>
                <c:pt idx="9">
                  <c:v>姓名、生日和性别等基本信息</c:v>
                </c:pt>
                <c:pt idx="10">
                  <c:v>手机号码</c:v>
                </c:pt>
                <c:pt idx="11">
                  <c:v>身份证号</c:v>
                </c:pt>
                <c:pt idx="12">
                  <c:v>通话记录/通讯录或短信内容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0.0117167308023663</c:v>
                </c:pt>
                <c:pt idx="1">
                  <c:v>0.0925277123657458</c:v>
                </c:pt>
                <c:pt idx="2">
                  <c:v>0.118545746941589</c:v>
                </c:pt>
                <c:pt idx="3">
                  <c:v>0.125093331801735</c:v>
                </c:pt>
                <c:pt idx="4">
                  <c:v>0.137384412153236</c:v>
                </c:pt>
                <c:pt idx="5">
                  <c:v>0.159037390155649</c:v>
                </c:pt>
                <c:pt idx="6">
                  <c:v>0.175463787260927</c:v>
                </c:pt>
                <c:pt idx="7">
                  <c:v>0.211934983631038</c:v>
                </c:pt>
                <c:pt idx="8">
                  <c:v>0.303371431853426</c:v>
                </c:pt>
                <c:pt idx="9">
                  <c:v>0.317270690942508</c:v>
                </c:pt>
                <c:pt idx="10">
                  <c:v>0.365286313250244</c:v>
                </c:pt>
                <c:pt idx="11">
                  <c:v>0.388892079719717</c:v>
                </c:pt>
                <c:pt idx="12">
                  <c:v>0.405835391419218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408452849346364"/>
          <c:y val="0.05311004784689"/>
          <c:w val="0.528087320725981"/>
          <c:h val="0.9397129186602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1">
                  <a:lumMod val="20000"/>
                  <a:lumOff val="80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都没有</c:v>
                </c:pt>
                <c:pt idx="1">
                  <c:v>其他</c:v>
                </c:pt>
                <c:pt idx="2">
                  <c:v>订阅服务（如新闻订阅、杂志订阅等）</c:v>
                </c:pt>
                <c:pt idx="3">
                  <c:v>健身或健康类应用</c:v>
                </c:pt>
                <c:pt idx="4">
                  <c:v>游戏平台或应用</c:v>
                </c:pt>
                <c:pt idx="5">
                  <c:v>音频类应用</c:v>
                </c:pt>
                <c:pt idx="6">
                  <c:v>阅读类应用</c:v>
                </c:pt>
                <c:pt idx="7">
                  <c:v>办公类应用</c:v>
                </c:pt>
                <c:pt idx="8">
                  <c:v>社交媒体平台</c:v>
                </c:pt>
                <c:pt idx="9">
                  <c:v>音乐类平台</c:v>
                </c:pt>
                <c:pt idx="10">
                  <c:v>视频类平台</c:v>
                </c:pt>
                <c:pt idx="11">
                  <c:v>金融服务应用（如银行APP、支付应用等）</c:v>
                </c:pt>
              </c:strCache>
            </c:strRef>
          </c:cat>
          <c:val>
            <c:numRef>
              <c:f>Sheet1!$B$2:$B$13</c:f>
              <c:numCache>
                <c:formatCode>0.00%</c:formatCode>
                <c:ptCount val="12"/>
                <c:pt idx="0">
                  <c:v>0.0373327206938143</c:v>
                </c:pt>
                <c:pt idx="1">
                  <c:v>0.00694962954454081</c:v>
                </c:pt>
                <c:pt idx="2">
                  <c:v>0.0549078168973637</c:v>
                </c:pt>
                <c:pt idx="3">
                  <c:v>0.07081729940842</c:v>
                </c:pt>
                <c:pt idx="4">
                  <c:v>0.117971397392453</c:v>
                </c:pt>
                <c:pt idx="5">
                  <c:v>0.132789615760152</c:v>
                </c:pt>
                <c:pt idx="6">
                  <c:v>0.172132559875941</c:v>
                </c:pt>
                <c:pt idx="7">
                  <c:v>0.246338521624261</c:v>
                </c:pt>
                <c:pt idx="8">
                  <c:v>0.294583883751651</c:v>
                </c:pt>
                <c:pt idx="9">
                  <c:v>0.295387973120441</c:v>
                </c:pt>
                <c:pt idx="10">
                  <c:v>0.345241513985412</c:v>
                </c:pt>
                <c:pt idx="11">
                  <c:v>0.369019585319626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67711638532809"/>
          <c:y val="0.0590100674529931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1">
                  <a:lumMod val="20000"/>
                  <a:lumOff val="80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1">
                    <a:lumMod val="20000"/>
                    <a:lumOff val="80000"/>
                  </a:schemeClr>
                </a:fgClr>
                <a:bgClr>
                  <a:schemeClr val="accent1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没有遇到上面的情况</c:v>
                </c:pt>
                <c:pt idx="1">
                  <c:v>因发表网络言论引发被人肉搜索</c:v>
                </c:pt>
                <c:pt idx="2">
                  <c:v>网站的账号密码被泄露</c:v>
                </c:pt>
                <c:pt idx="3">
                  <c:v>自己的照片等人脸信息在网络上被陌生人传播并冒用</c:v>
                </c:pt>
                <c:pt idx="4">
                  <c:v>邮箱被泄露，长期接收垃圾文件</c:v>
                </c:pt>
                <c:pt idx="5">
                  <c:v>个人基础信息（电话）被泄露，接到骚扰、推销、诈骗等电话</c:v>
                </c:pt>
                <c:pt idx="6">
                  <c:v>身份证信息被不法分子盗用，造成自身的利益受损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0.0441100453736144</c:v>
                </c:pt>
                <c:pt idx="1">
                  <c:v>0.0666819826546436</c:v>
                </c:pt>
                <c:pt idx="2">
                  <c:v>0.163689621503647</c:v>
                </c:pt>
                <c:pt idx="3">
                  <c:v>0.30262477743955</c:v>
                </c:pt>
                <c:pt idx="4">
                  <c:v>0.376945609097697</c:v>
                </c:pt>
                <c:pt idx="5">
                  <c:v>0.39279765665384</c:v>
                </c:pt>
                <c:pt idx="6">
                  <c:v>0.421744873930274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3">
                  <a:lumMod val="40000"/>
                  <a:lumOff val="60000"/>
                </a:schemeClr>
              </a:fgClr>
              <a:bgClr>
                <a:schemeClr val="accent3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3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3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没有遇到过</c:v>
                </c:pt>
                <c:pt idx="1">
                  <c:v>其他</c:v>
                </c:pt>
                <c:pt idx="2">
                  <c:v>办公/学习类APP</c:v>
                </c:pt>
                <c:pt idx="3">
                  <c:v>游戏APP</c:v>
                </c:pt>
                <c:pt idx="4">
                  <c:v>社交媒体平台</c:v>
                </c:pt>
                <c:pt idx="5">
                  <c:v>视频/音频播放软件</c:v>
                </c:pt>
                <c:pt idx="6">
                  <c:v>金融类APP（如银行APP、支付软件）</c:v>
                </c:pt>
                <c:pt idx="7">
                  <c:v>购物类APP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0.0528401585204756</c:v>
                </c:pt>
                <c:pt idx="1">
                  <c:v>0.00528401585204756</c:v>
                </c:pt>
                <c:pt idx="2">
                  <c:v>0.098902992361151</c:v>
                </c:pt>
                <c:pt idx="3">
                  <c:v>0.184940554821664</c:v>
                </c:pt>
                <c:pt idx="4">
                  <c:v>0.318074780311297</c:v>
                </c:pt>
                <c:pt idx="5">
                  <c:v>0.348572741370398</c:v>
                </c:pt>
                <c:pt idx="6">
                  <c:v>0.419447475733732</c:v>
                </c:pt>
                <c:pt idx="7">
                  <c:v>0.43087703176153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67711638532809"/>
          <c:y val="0.0532300992015485"/>
          <c:w val="0.581647417184922"/>
          <c:h val="0.9395112509073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3">
                  <a:lumMod val="40000"/>
                  <a:lumOff val="60000"/>
                </a:schemeClr>
              </a:fgClr>
              <a:bgClr>
                <a:schemeClr val="accent3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3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3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没有问题</c:v>
                </c:pt>
                <c:pt idx="1">
                  <c:v>其他</c:v>
                </c:pt>
                <c:pt idx="2">
                  <c:v>缺乏重点摘要或高亮显示关键条款</c:v>
                </c:pt>
                <c:pt idx="3">
                  <c:v>对消费者不利的信息（如隐私、自动续费条款等）未显著标识</c:v>
                </c:pt>
                <c:pt idx="4">
                  <c:v>无论是否阅读，都必须同意才能继续使用</c:v>
                </c:pt>
                <c:pt idx="5">
                  <c:v>字数太多，篇幅太长</c:v>
                </c:pt>
                <c:pt idx="6">
                  <c:v>协议位置不显著，未明确提示</c:v>
                </c:pt>
                <c:pt idx="7">
                  <c:v>字体太小，看得费劲</c:v>
                </c:pt>
                <c:pt idx="8">
                  <c:v>表述拗口，不能理解意思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0.0406639480788008</c:v>
                </c:pt>
                <c:pt idx="1">
                  <c:v>0.00459479639308483</c:v>
                </c:pt>
                <c:pt idx="2">
                  <c:v>0.0498535408649704</c:v>
                </c:pt>
                <c:pt idx="3">
                  <c:v>0.18453851013727</c:v>
                </c:pt>
                <c:pt idx="4">
                  <c:v>0.251048187927172</c:v>
                </c:pt>
                <c:pt idx="5">
                  <c:v>0.27069094250761</c:v>
                </c:pt>
                <c:pt idx="6">
                  <c:v>0.283786112227902</c:v>
                </c:pt>
                <c:pt idx="7">
                  <c:v>0.32117626787663</c:v>
                </c:pt>
                <c:pt idx="8">
                  <c:v>0.347366607317213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50684752836833"/>
          <c:y val="0.161462249480001"/>
          <c:w val="0.527232683103961"/>
          <c:h val="0.78460655694061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53000">
                    <a:srgbClr val="88DB29"/>
                  </a:gs>
                  <a:gs pos="0">
                    <a:srgbClr val="71CA52"/>
                  </a:gs>
                  <a:gs pos="100000">
                    <a:srgbClr val="57C45B"/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rgbClr val="F2F5AA"/>
                  </a:gs>
                  <a:gs pos="52000">
                    <a:srgbClr val="ECDC57"/>
                  </a:gs>
                  <a:gs pos="100000">
                    <a:srgbClr val="ECDC57"/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>
                <a:gsLst>
                  <a:gs pos="52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  <a:lumOff val="40000"/>
                      <a:alpha val="90000"/>
                    </a:schemeClr>
                  </a:gs>
                  <a:gs pos="100000">
                    <a:schemeClr val="accent6">
                      <a:lumMod val="60000"/>
                      <a:lumOff val="40000"/>
                      <a:alpha val="90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0284335463675494"/>
                  <c:y val="-0.050556899103702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4248076170601"/>
                      <c:h val="0.243206521739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82185231932744"/>
                  <c:y val="1.08067336237278e-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7859658275727"/>
                      <c:h val="0.191539923954373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0334559614611601"/>
                  <c:y val="0.003210062042522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5990609103952"/>
                      <c:h val="0.18963878326996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00885290812507961"/>
                  <c:y val="0.0582224334600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9337420112169"/>
                      <c:h val="0.188450570342205"/>
                    </c:manualLayout>
                  </c15:layout>
                </c:ext>
              </c:extLst>
            </c:dLbl>
            <c:dLbl>
              <c:idx val="4"/>
              <c:layout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25094561106"/>
                      <c:h val="0.185123574144487"/>
                    </c:manualLayout>
                  </c15:layout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是，计划享受优惠支付后，即刻关闭自动续费功能</c:v>
                </c:pt>
                <c:pt idx="1">
                  <c:v>是，我详细阅读并理解了自动续费条款</c:v>
                </c:pt>
                <c:pt idx="2">
                  <c:v>否，我没有去关注过自动续费条款</c:v>
                </c:pt>
                <c:pt idx="3">
                  <c:v>否，自动续费为默认勾选且字体很小</c:v>
                </c:pt>
                <c:pt idx="4">
                  <c:v>否，我完全不知道自动续费服务被打开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0.3628</c:v>
                </c:pt>
                <c:pt idx="1">
                  <c:v>0.1871</c:v>
                </c:pt>
                <c:pt idx="2">
                  <c:v>0.2288</c:v>
                </c:pt>
                <c:pt idx="3">
                  <c:v>0.1566</c:v>
                </c:pt>
                <c:pt idx="4">
                  <c:v>0.0648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6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92474129821261"/>
          <c:y val="0.0458142440649729"/>
          <c:w val="0.626034807149577"/>
          <c:h val="0.83923365264473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无影响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0.107186358099878</c:v>
                </c:pt>
                <c:pt idx="1">
                  <c:v>0.0717714553330992</c:v>
                </c:pt>
                <c:pt idx="2">
                  <c:v>0.0651727576699713</c:v>
                </c:pt>
                <c:pt idx="3">
                  <c:v>0.0886725663716814</c:v>
                </c:pt>
                <c:pt idx="4">
                  <c:v>0.0928307204509424</c:v>
                </c:pt>
                <c:pt idx="5">
                  <c:v>0.0922959123571681</c:v>
                </c:pt>
                <c:pt idx="6">
                  <c:v>0.0934954550820446</c:v>
                </c:pt>
                <c:pt idx="7">
                  <c:v>0.0769590643274854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轻微</c:v>
                </c:pt>
              </c:strCache>
            </c:strRef>
          </c:tx>
          <c:spPr>
            <a:solidFill>
              <a:srgbClr val="F2BA02">
                <a:lumMod val="60000"/>
                <a:lumOff val="40000"/>
              </a:srgb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0.105968331303289</c:v>
                </c:pt>
                <c:pt idx="1">
                  <c:v>0.132654255941927</c:v>
                </c:pt>
                <c:pt idx="2">
                  <c:v>0.136798263624098</c:v>
                </c:pt>
                <c:pt idx="3">
                  <c:v>0.112330383480826</c:v>
                </c:pt>
                <c:pt idx="4">
                  <c:v>0.111619987082379</c:v>
                </c:pt>
                <c:pt idx="5">
                  <c:v>0.117092708210626</c:v>
                </c:pt>
                <c:pt idx="6">
                  <c:v>0.113032699799315</c:v>
                </c:pt>
                <c:pt idx="7">
                  <c:v>0.13766081871345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一般</c:v>
                </c:pt>
              </c:strCache>
            </c:strRef>
          </c:tx>
          <c:spPr>
            <a:gradFill>
              <a:gsLst>
                <a:gs pos="0">
                  <a:srgbClr val="7BD23F"/>
                </a:gs>
                <a:gs pos="100000">
                  <a:srgbClr val="7ED439"/>
                </a:gs>
              </a:gsLst>
              <a:lin ang="27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Sheet1!$D$2:$D$9</c:f>
              <c:numCache>
                <c:formatCode>0.00%</c:formatCode>
                <c:ptCount val="8"/>
                <c:pt idx="0">
                  <c:v>0.222550896119715</c:v>
                </c:pt>
                <c:pt idx="1">
                  <c:v>0.2494438590329</c:v>
                </c:pt>
                <c:pt idx="2">
                  <c:v>0.256291429577052</c:v>
                </c:pt>
                <c:pt idx="3">
                  <c:v>0.257581120943953</c:v>
                </c:pt>
                <c:pt idx="4">
                  <c:v>0.265222241794375</c:v>
                </c:pt>
                <c:pt idx="5">
                  <c:v>0.266580280362822</c:v>
                </c:pt>
                <c:pt idx="6">
                  <c:v>0.275469248022666</c:v>
                </c:pt>
                <c:pt idx="7">
                  <c:v>0.271111111111111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严重</c:v>
                </c:pt>
              </c:strCache>
            </c:strRef>
          </c:tx>
          <c:spPr>
            <a:solidFill>
              <a:srgbClr val="4874CB">
                <a:lumMod val="60000"/>
                <a:lumOff val="40000"/>
              </a:srgb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Sheet1!$E$2:$E$9</c:f>
              <c:numCache>
                <c:formatCode>0.00%</c:formatCode>
                <c:ptCount val="8"/>
                <c:pt idx="0">
                  <c:v>0.351429731454092</c:v>
                </c:pt>
                <c:pt idx="1">
                  <c:v>0.332865004097881</c:v>
                </c:pt>
                <c:pt idx="2">
                  <c:v>0.321933478031325</c:v>
                </c:pt>
                <c:pt idx="3">
                  <c:v>0.315280235988201</c:v>
                </c:pt>
                <c:pt idx="4">
                  <c:v>0.330749809171511</c:v>
                </c:pt>
                <c:pt idx="5">
                  <c:v>0.329897514430439</c:v>
                </c:pt>
                <c:pt idx="6">
                  <c:v>0.318793530870027</c:v>
                </c:pt>
                <c:pt idx="7">
                  <c:v>0.332105263157895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非常严重</c:v>
                </c:pt>
              </c:strCache>
            </c:strRef>
          </c:tx>
          <c:spPr>
            <a:solidFill>
              <a:srgbClr val="EE822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Sheet1!$F$2:$F$9</c:f>
              <c:numCache>
                <c:formatCode>0.00%</c:formatCode>
                <c:ptCount val="8"/>
                <c:pt idx="0">
                  <c:v>0.212864683023026</c:v>
                </c:pt>
                <c:pt idx="1">
                  <c:v>0.213265425594193</c:v>
                </c:pt>
                <c:pt idx="2">
                  <c:v>0.219804071097554</c:v>
                </c:pt>
                <c:pt idx="3">
                  <c:v>0.226135693215339</c:v>
                </c:pt>
                <c:pt idx="4">
                  <c:v>0.199577241500793</c:v>
                </c:pt>
                <c:pt idx="5">
                  <c:v>0.194133584638945</c:v>
                </c:pt>
                <c:pt idx="6">
                  <c:v>0.199209066225947</c:v>
                </c:pt>
                <c:pt idx="7">
                  <c:v>0.182163742690058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310491098100131"/>
          <c:y val="0.90879075526207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8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50684752836833"/>
          <c:y val="0.161462249480001"/>
          <c:w val="0.527232683103961"/>
          <c:h val="0.78460655694061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53000">
                    <a:srgbClr val="88DB29"/>
                  </a:gs>
                  <a:gs pos="0">
                    <a:srgbClr val="71CA52"/>
                  </a:gs>
                  <a:gs pos="100000">
                    <a:srgbClr val="57C45B"/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rgbClr val="F2F5AA"/>
                  </a:gs>
                  <a:gs pos="52000">
                    <a:srgbClr val="ECDC57"/>
                  </a:gs>
                  <a:gs pos="100000">
                    <a:srgbClr val="ECDC57"/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>
                <a:gsLst>
                  <a:gs pos="52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  <a:lumOff val="40000"/>
                      <a:alpha val="90000"/>
                    </a:schemeClr>
                  </a:gs>
                  <a:gs pos="100000">
                    <a:schemeClr val="accent6">
                      <a:lumMod val="60000"/>
                      <a:lumOff val="40000"/>
                      <a:alpha val="90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0.00431671161278034"/>
                  <c:y val="0.016901860313438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6079300899961"/>
                      <c:h val="0.243206521739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00758337449895212"/>
                  <c:y val="-0.023722371727014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2556410590844"/>
                      <c:h val="0.21368715083798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0334559614611601"/>
                  <c:y val="0.00049267073817489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292682926829"/>
                      <c:h val="0.199953445065177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00350531454219191"/>
                  <c:y val="0.06401303538175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9336115821051"/>
                      <c:h val="0.198324022346369"/>
                    </c:manualLayout>
                  </c15:layout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扣费前收到了显著的提醒</c:v>
                </c:pt>
                <c:pt idx="1">
                  <c:v>扣费前收到了不易察觉的提醒</c:v>
                </c:pt>
                <c:pt idx="2">
                  <c:v>扣费前未收到任何提醒，仅收到续费成功通知</c:v>
                </c:pt>
                <c:pt idx="3">
                  <c:v>从未收到任何提醒，扣费后才发现自动续费</c:v>
                </c:pt>
                <c:pt idx="4">
                  <c:v>不确定/不记得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0.144908391246913</c:v>
                </c:pt>
                <c:pt idx="1">
                  <c:v>0.342369766239733</c:v>
                </c:pt>
                <c:pt idx="2">
                  <c:v>0.342025156510252</c:v>
                </c:pt>
                <c:pt idx="3">
                  <c:v>0.119120096490724</c:v>
                </c:pt>
                <c:pt idx="4">
                  <c:v>0.0515765895123772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bg2">
                  <a:lumMod val="90000"/>
                </a:schemeClr>
              </a:fgClr>
              <a:bgClr>
                <a:schemeClr val="tx2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bg2">
                    <a:lumMod val="90000"/>
                  </a:schemeClr>
                </a:fgClr>
                <a:bgClr>
                  <a:schemeClr val="tx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bg2">
                    <a:lumMod val="90000"/>
                  </a:schemeClr>
                </a:fgClr>
                <a:bgClr>
                  <a:schemeClr val="tx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没有困难，取消简单便捷</c:v>
                </c:pt>
                <c:pt idx="1">
                  <c:v>其他</c:v>
                </c:pt>
                <c:pt idx="2">
                  <c:v>不清楚如何关闭该功能</c:v>
                </c:pt>
                <c:pt idx="3">
                  <c:v>平台/app内部未提供取消通道</c:v>
                </c:pt>
                <c:pt idx="4">
                  <c:v>无法取消或设置了取消条件</c:v>
                </c:pt>
                <c:pt idx="5">
                  <c:v>取消流程复杂，需经过多个步骤</c:v>
                </c:pt>
                <c:pt idx="6">
                  <c:v>必须通过人工客服电话取消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0.059445178335535</c:v>
                </c:pt>
                <c:pt idx="1">
                  <c:v>0.0130951697202918</c:v>
                </c:pt>
                <c:pt idx="2">
                  <c:v>0.171213600597324</c:v>
                </c:pt>
                <c:pt idx="3">
                  <c:v>0.210326804893458</c:v>
                </c:pt>
                <c:pt idx="4">
                  <c:v>0.300097639423353</c:v>
                </c:pt>
                <c:pt idx="5">
                  <c:v>0.374820515765895</c:v>
                </c:pt>
                <c:pt idx="6">
                  <c:v>0.375624605134685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6072779444372"/>
          <c:y val="0.018698224852071"/>
          <c:w val="0.524846745793661"/>
          <c:h val="0.952426035502958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chemeClr val="accent5">
                      <a:lumMod val="40000"/>
                      <a:lumOff val="60000"/>
                    </a:schemeClr>
                  </a:gs>
                  <a:gs pos="90000">
                    <a:schemeClr val="accent5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/>
                    </a:gs>
                    <a:gs pos="100000">
                      <a:schemeClr val="accent5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0195643667666623"/>
                  <c:y val="-0.0426035502958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总是清晰告知</c:v>
                </c:pt>
                <c:pt idx="1">
                  <c:v>有时告知但不清晰</c:v>
                </c:pt>
                <c:pt idx="2">
                  <c:v>很少告知</c:v>
                </c:pt>
                <c:pt idx="3">
                  <c:v>从不告知</c:v>
                </c:pt>
                <c:pt idx="4">
                  <c:v>不确定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0.164149101142956</c:v>
                </c:pt>
                <c:pt idx="1">
                  <c:v>0.385905462064212</c:v>
                </c:pt>
                <c:pt idx="2">
                  <c:v>0.284532766641778</c:v>
                </c:pt>
                <c:pt idx="3">
                  <c:v>0.117684222617885</c:v>
                </c:pt>
                <c:pt idx="4">
                  <c:v>0.0477284475331687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3">
                  <a:lumMod val="20000"/>
                  <a:lumOff val="80000"/>
                </a:schemeClr>
              </a:fgClr>
              <a:bgClr>
                <a:srgbClr val="C5A86F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3">
                    <a:lumMod val="20000"/>
                    <a:lumOff val="80000"/>
                  </a:schemeClr>
                </a:fgClr>
                <a:bgClr>
                  <a:srgbClr val="C5A86F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3">
                    <a:lumMod val="20000"/>
                    <a:lumOff val="80000"/>
                  </a:schemeClr>
                </a:fgClr>
                <a:bgClr>
                  <a:srgbClr val="C5A86F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没有不便或困扰</c:v>
                </c:pt>
                <c:pt idx="1">
                  <c:v>其他，请说明</c:v>
                </c:pt>
                <c:pt idx="2">
                  <c:v>浪费了时间和精力</c:v>
                </c:pt>
                <c:pt idx="3">
                  <c:v>影响了我的正常浏览或使用体验</c:v>
                </c:pt>
                <c:pt idx="4">
                  <c:v>担心个人信息泄露</c:v>
                </c:pt>
                <c:pt idx="5">
                  <c:v>遭遇了不想要的广告或推销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0.05226580897134</c:v>
                </c:pt>
                <c:pt idx="1">
                  <c:v>0.0367009361897651</c:v>
                </c:pt>
                <c:pt idx="2">
                  <c:v>0.233530526678537</c:v>
                </c:pt>
                <c:pt idx="3">
                  <c:v>0.358336683705703</c:v>
                </c:pt>
                <c:pt idx="4">
                  <c:v>0.368904715409798</c:v>
                </c:pt>
                <c:pt idx="5">
                  <c:v>0.445580380219402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60075648884831"/>
          <c:y val="0.030980666200792"/>
          <c:w val="0.531498630494326"/>
          <c:h val="0.949219659911484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chemeClr val="accent5">
                      <a:lumMod val="40000"/>
                      <a:lumOff val="60000"/>
                    </a:schemeClr>
                  </a:gs>
                  <a:gs pos="90000">
                    <a:schemeClr val="accent5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/>
                    </a:gs>
                    <a:gs pos="100000">
                      <a:schemeClr val="accent5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0">
                    <a:schemeClr val="accent6">
                      <a:lumMod val="40000"/>
                      <a:lumOff val="60000"/>
                    </a:schemeClr>
                  </a:gs>
                  <a:gs pos="90000">
                    <a:schemeClr val="accent6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6"/>
                    </a:gs>
                    <a:gs pos="100000">
                      <a:schemeClr val="accent6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0152602060779966"/>
                  <c:y val="0.011646866992778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652145558888744"/>
                  <c:y val="-0.07930988059016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非常满意</c:v>
                </c:pt>
                <c:pt idx="1">
                  <c:v>满意</c:v>
                </c:pt>
                <c:pt idx="2">
                  <c:v>一般</c:v>
                </c:pt>
                <c:pt idx="3">
                  <c:v>不满意</c:v>
                </c:pt>
                <c:pt idx="4">
                  <c:v>非常不满意</c:v>
                </c:pt>
                <c:pt idx="5">
                  <c:v>不清楚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0.1519</c:v>
                </c:pt>
                <c:pt idx="1">
                  <c:v>0.217</c:v>
                </c:pt>
                <c:pt idx="2">
                  <c:v>0.3318</c:v>
                </c:pt>
                <c:pt idx="3">
                  <c:v>0.2215</c:v>
                </c:pt>
                <c:pt idx="4">
                  <c:v>0.0482</c:v>
                </c:pt>
                <c:pt idx="5">
                  <c:v>0.0296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4">
                  <a:lumMod val="20000"/>
                  <a:lumOff val="80000"/>
                </a:schemeClr>
              </a:fgClr>
              <a:bgClr>
                <a:srgbClr val="789EBC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4">
                    <a:lumMod val="20000"/>
                    <a:lumOff val="80000"/>
                  </a:schemeClr>
                </a:fgClr>
                <a:bgClr>
                  <a:srgbClr val="789EBC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4">
                    <a:lumMod val="20000"/>
                    <a:lumOff val="80000"/>
                  </a:schemeClr>
                </a:fgClr>
                <a:bgClr>
                  <a:srgbClr val="789EBC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没有遇到过问题或觉得不会有什么难题</c:v>
                </c:pt>
                <c:pt idx="1">
                  <c:v>其他</c:v>
                </c:pt>
                <c:pt idx="2">
                  <c:v>担心维权无果，主动放弃维权</c:v>
                </c:pt>
                <c:pt idx="3">
                  <c:v>不知道通过哪些途径进行维权</c:v>
                </c:pt>
                <c:pt idx="4">
                  <c:v>网购涉及异地，维权困难</c:v>
                </c:pt>
                <c:pt idx="5">
                  <c:v>维权程序或过程太复杂</c:v>
                </c:pt>
                <c:pt idx="6">
                  <c:v>举证（拿出证据）困难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0.0472115329389466</c:v>
                </c:pt>
                <c:pt idx="1">
                  <c:v>0.0114869909827121</c:v>
                </c:pt>
                <c:pt idx="2">
                  <c:v>0.18453851013727</c:v>
                </c:pt>
                <c:pt idx="3">
                  <c:v>0.23261156739992</c:v>
                </c:pt>
                <c:pt idx="4">
                  <c:v>0.315317902475447</c:v>
                </c:pt>
                <c:pt idx="5">
                  <c:v>0.374475906036414</c:v>
                </c:pt>
                <c:pt idx="6">
                  <c:v>0.389408994313939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4">
                  <a:lumMod val="20000"/>
                  <a:lumOff val="80000"/>
                </a:schemeClr>
              </a:fgClr>
              <a:bgClr>
                <a:srgbClr val="789EBC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4">
                    <a:lumMod val="20000"/>
                    <a:lumOff val="80000"/>
                  </a:schemeClr>
                </a:fgClr>
                <a:bgClr>
                  <a:srgbClr val="789EBC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4">
                    <a:lumMod val="20000"/>
                    <a:lumOff val="80000"/>
                  </a:schemeClr>
                </a:fgClr>
                <a:bgClr>
                  <a:srgbClr val="789EBC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其他</c:v>
                </c:pt>
                <c:pt idx="1">
                  <c:v>鼓励网络交易行业建立自律组织</c:v>
                </c:pt>
                <c:pt idx="2">
                  <c:v>推动网络交易平台提升信息透明度</c:v>
                </c:pt>
                <c:pt idx="3">
                  <c:v>建立高效便捷的网络消费投诉处理机制</c:v>
                </c:pt>
                <c:pt idx="4">
                  <c:v>建立健全网络消费者权益保护法律体系</c:v>
                </c:pt>
                <c:pt idx="5">
                  <c:v>开展消费者教育活动，提升自我保护与维权能力</c:v>
                </c:pt>
                <c:pt idx="6">
                  <c:v>加强对网络交易平台的监管，确保商家合规经营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0.013324909539946</c:v>
                </c:pt>
                <c:pt idx="1">
                  <c:v>0.0352650623169261</c:v>
                </c:pt>
                <c:pt idx="2">
                  <c:v>0.0995922118201137</c:v>
                </c:pt>
                <c:pt idx="3">
                  <c:v>0.239790936764115</c:v>
                </c:pt>
                <c:pt idx="4">
                  <c:v>0.251450232611567</c:v>
                </c:pt>
                <c:pt idx="5">
                  <c:v>0.480845442536328</c:v>
                </c:pt>
                <c:pt idx="6">
                  <c:v>0.535466084659124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6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92474129821261"/>
          <c:y val="0.0458142440649729"/>
          <c:w val="0.626034807149577"/>
          <c:h val="0.83923365264473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无影响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0.107186358099878</c:v>
                </c:pt>
                <c:pt idx="1">
                  <c:v>0.0717714553330992</c:v>
                </c:pt>
                <c:pt idx="2">
                  <c:v>0.0651727576699713</c:v>
                </c:pt>
                <c:pt idx="3">
                  <c:v>0.0886725663716814</c:v>
                </c:pt>
                <c:pt idx="4">
                  <c:v>0.0928307204509424</c:v>
                </c:pt>
                <c:pt idx="5">
                  <c:v>0.0922959123571681</c:v>
                </c:pt>
                <c:pt idx="6">
                  <c:v>0.0934954550820446</c:v>
                </c:pt>
                <c:pt idx="7">
                  <c:v>0.0769590643274854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轻微</c:v>
                </c:pt>
              </c:strCache>
            </c:strRef>
          </c:tx>
          <c:spPr>
            <a:solidFill>
              <a:srgbClr val="F2BA02">
                <a:lumMod val="60000"/>
                <a:lumOff val="40000"/>
              </a:srgb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Sheet1!$C$2:$C$9</c:f>
              <c:numCache>
                <c:formatCode>0.00%</c:formatCode>
                <c:ptCount val="8"/>
                <c:pt idx="0">
                  <c:v>0.105968331303289</c:v>
                </c:pt>
                <c:pt idx="1">
                  <c:v>0.132654255941927</c:v>
                </c:pt>
                <c:pt idx="2">
                  <c:v>0.136798263624098</c:v>
                </c:pt>
                <c:pt idx="3">
                  <c:v>0.112330383480826</c:v>
                </c:pt>
                <c:pt idx="4">
                  <c:v>0.111619987082379</c:v>
                </c:pt>
                <c:pt idx="5">
                  <c:v>0.117092708210626</c:v>
                </c:pt>
                <c:pt idx="6">
                  <c:v>0.113032699799315</c:v>
                </c:pt>
                <c:pt idx="7">
                  <c:v>0.13766081871345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一般</c:v>
                </c:pt>
              </c:strCache>
            </c:strRef>
          </c:tx>
          <c:spPr>
            <a:gradFill>
              <a:gsLst>
                <a:gs pos="0">
                  <a:srgbClr val="7BD23F"/>
                </a:gs>
                <a:gs pos="100000">
                  <a:srgbClr val="7ED439"/>
                </a:gs>
              </a:gsLst>
              <a:lin ang="27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Sheet1!$D$2:$D$9</c:f>
              <c:numCache>
                <c:formatCode>0.00%</c:formatCode>
                <c:ptCount val="8"/>
                <c:pt idx="0">
                  <c:v>0.222550896119715</c:v>
                </c:pt>
                <c:pt idx="1">
                  <c:v>0.2494438590329</c:v>
                </c:pt>
                <c:pt idx="2">
                  <c:v>0.256291429577052</c:v>
                </c:pt>
                <c:pt idx="3">
                  <c:v>0.257581120943953</c:v>
                </c:pt>
                <c:pt idx="4">
                  <c:v>0.265222241794375</c:v>
                </c:pt>
                <c:pt idx="5">
                  <c:v>0.266580280362822</c:v>
                </c:pt>
                <c:pt idx="6">
                  <c:v>0.275469248022666</c:v>
                </c:pt>
                <c:pt idx="7">
                  <c:v>0.271111111111111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严重</c:v>
                </c:pt>
              </c:strCache>
            </c:strRef>
          </c:tx>
          <c:spPr>
            <a:solidFill>
              <a:srgbClr val="4874CB">
                <a:lumMod val="60000"/>
                <a:lumOff val="40000"/>
              </a:srgb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Sheet1!$E$2:$E$9</c:f>
              <c:numCache>
                <c:formatCode>0.00%</c:formatCode>
                <c:ptCount val="8"/>
                <c:pt idx="0">
                  <c:v>0.351429731454092</c:v>
                </c:pt>
                <c:pt idx="1">
                  <c:v>0.332865004097881</c:v>
                </c:pt>
                <c:pt idx="2">
                  <c:v>0.321933478031325</c:v>
                </c:pt>
                <c:pt idx="3">
                  <c:v>0.315280235988201</c:v>
                </c:pt>
                <c:pt idx="4">
                  <c:v>0.330749809171511</c:v>
                </c:pt>
                <c:pt idx="5">
                  <c:v>0.329897514430439</c:v>
                </c:pt>
                <c:pt idx="6">
                  <c:v>0.318793530870027</c:v>
                </c:pt>
                <c:pt idx="7">
                  <c:v>0.332105263157895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非常严重</c:v>
                </c:pt>
              </c:strCache>
            </c:strRef>
          </c:tx>
          <c:spPr>
            <a:solidFill>
              <a:srgbClr val="EE822F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图文展示虚假宣传</c:v>
                </c:pt>
                <c:pt idx="1">
                  <c:v>大数据杀熟</c:v>
                </c:pt>
                <c:pt idx="2">
                  <c:v>非必要收集个人信息</c:v>
                </c:pt>
                <c:pt idx="3">
                  <c:v>自动跳转不明第三方网页</c:v>
                </c:pt>
                <c:pt idx="4">
                  <c:v>低价诱导反复收费</c:v>
                </c:pt>
                <c:pt idx="5">
                  <c:v>自动展期、自动续费未显著提醒</c:v>
                </c:pt>
                <c:pt idx="6">
                  <c:v>用户协议透明度低、可读性差</c:v>
                </c:pt>
                <c:pt idx="7">
                  <c:v>刷单炒信</c:v>
                </c:pt>
              </c:strCache>
            </c:strRef>
          </c:cat>
          <c:val>
            <c:numRef>
              <c:f>Sheet1!$F$2:$F$9</c:f>
              <c:numCache>
                <c:formatCode>0.00%</c:formatCode>
                <c:ptCount val="8"/>
                <c:pt idx="0">
                  <c:v>0.212864683023026</c:v>
                </c:pt>
                <c:pt idx="1">
                  <c:v>0.213265425594193</c:v>
                </c:pt>
                <c:pt idx="2">
                  <c:v>0.219804071097554</c:v>
                </c:pt>
                <c:pt idx="3">
                  <c:v>0.226135693215339</c:v>
                </c:pt>
                <c:pt idx="4">
                  <c:v>0.199577241500793</c:v>
                </c:pt>
                <c:pt idx="5">
                  <c:v>0.194133584638945</c:v>
                </c:pt>
                <c:pt idx="6">
                  <c:v>0.199209066225947</c:v>
                </c:pt>
                <c:pt idx="7">
                  <c:v>0.182163742690058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310491098100131"/>
          <c:y val="0.90879075526207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8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rgbClr val="9BEEE0"/>
              </a:fgClr>
              <a:bgClr>
                <a:srgbClr val="08B0C5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9BEEE0"/>
                </a:fgClr>
                <a:bgClr>
                  <a:srgbClr val="08B0C5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rgbClr val="9BEEE0"/>
                </a:fgClr>
                <a:bgClr>
                  <a:srgbClr val="08B0C5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没有遇到过</c:v>
                </c:pt>
                <c:pt idx="1">
                  <c:v>其他 </c:v>
                </c:pt>
                <c:pt idx="2">
                  <c:v>使用绝对化用语</c:v>
                </c:pt>
                <c:pt idx="3">
                  <c:v>虚假折扣信息</c:v>
                </c:pt>
                <c:pt idx="4">
                  <c:v>宣传图片与实物差异大</c:v>
                </c:pt>
                <c:pt idx="5">
                  <c:v>计量误导性定价</c:v>
                </c:pt>
                <c:pt idx="6">
                  <c:v>虚构或夸大产品功能</c:v>
                </c:pt>
                <c:pt idx="7">
                  <c:v>图片展示款型与标注价格不一致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0.0390557693412211</c:v>
                </c:pt>
                <c:pt idx="1">
                  <c:v>0.00735167422893573</c:v>
                </c:pt>
                <c:pt idx="2">
                  <c:v>0.158692780426167</c:v>
                </c:pt>
                <c:pt idx="3">
                  <c:v>0.228361380736316</c:v>
                </c:pt>
                <c:pt idx="4">
                  <c:v>0.359198208029407</c:v>
                </c:pt>
                <c:pt idx="5">
                  <c:v>0.365343748205158</c:v>
                </c:pt>
                <c:pt idx="6">
                  <c:v>0.524898052955028</c:v>
                </c:pt>
                <c:pt idx="7">
                  <c:v>0.527138016196657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rgbClr val="9BEEE0"/>
              </a:fgClr>
              <a:bgClr>
                <a:srgbClr val="08B0C5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9BEEE0"/>
                </a:fgClr>
                <a:bgClr>
                  <a:srgbClr val="08B0C5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rgbClr val="9BEEE0"/>
                </a:fgClr>
                <a:bgClr>
                  <a:srgbClr val="08B0C5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没有遇到过</c:v>
                </c:pt>
                <c:pt idx="1">
                  <c:v>其他</c:v>
                </c:pt>
                <c:pt idx="2">
                  <c:v>服务期限或订阅自动续费信息</c:v>
                </c:pt>
                <c:pt idx="3">
                  <c:v>适用范围/条件</c:v>
                </c:pt>
                <c:pt idx="4">
                  <c:v>商品/服务的详细规格和性能</c:v>
                </c:pt>
                <c:pt idx="5">
                  <c:v>隐私政策和数据使用条款</c:v>
                </c:pt>
                <c:pt idx="6">
                  <c:v>退换货政策</c:v>
                </c:pt>
                <c:pt idx="7">
                  <c:v>价格（包括原价、促销价、隐藏费用等）</c:v>
                </c:pt>
              </c:strCache>
            </c:strRef>
          </c:cat>
          <c:val>
            <c:numRef>
              <c:f>Sheet1!$B$2:$B$9</c:f>
              <c:numCache>
                <c:formatCode>0.00%</c:formatCode>
                <c:ptCount val="8"/>
                <c:pt idx="0">
                  <c:v>0.0446269599678364</c:v>
                </c:pt>
                <c:pt idx="1">
                  <c:v>0.0135546493596003</c:v>
                </c:pt>
                <c:pt idx="2">
                  <c:v>0.209752455344323</c:v>
                </c:pt>
                <c:pt idx="3">
                  <c:v>0.270174027913388</c:v>
                </c:pt>
                <c:pt idx="4">
                  <c:v>0.299178680144736</c:v>
                </c:pt>
                <c:pt idx="5">
                  <c:v>0.357475159382</c:v>
                </c:pt>
                <c:pt idx="6">
                  <c:v>0.395037619895468</c:v>
                </c:pt>
                <c:pt idx="7">
                  <c:v>0.479581873528229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3">
                  <a:lumMod val="40000"/>
                  <a:lumOff val="60000"/>
                </a:schemeClr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没有遇到过</c:v>
                </c:pt>
                <c:pt idx="1">
                  <c:v>其他</c:v>
                </c:pt>
                <c:pt idx="2">
                  <c:v>在线旅游平台</c:v>
                </c:pt>
                <c:pt idx="3">
                  <c:v>外卖平台</c:v>
                </c:pt>
                <c:pt idx="4">
                  <c:v>微信小程序/公众号电商</c:v>
                </c:pt>
                <c:pt idx="5">
                  <c:v>跨境电商平台</c:v>
                </c:pt>
                <c:pt idx="6">
                  <c:v>传统电商平台</c:v>
                </c:pt>
                <c:pt idx="7">
                  <c:v>内容社区电商平台</c:v>
                </c:pt>
                <c:pt idx="8">
                  <c:v>直播电商平台</c:v>
                </c:pt>
                <c:pt idx="9">
                  <c:v>社交电商平台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0.053</c:v>
                </c:pt>
                <c:pt idx="1">
                  <c:v>0.0073</c:v>
                </c:pt>
                <c:pt idx="2">
                  <c:v>0.0696</c:v>
                </c:pt>
                <c:pt idx="3">
                  <c:v>0.1303</c:v>
                </c:pt>
                <c:pt idx="4">
                  <c:v>0.1705</c:v>
                </c:pt>
                <c:pt idx="5">
                  <c:v>0.2103</c:v>
                </c:pt>
                <c:pt idx="6">
                  <c:v>0.2863</c:v>
                </c:pt>
                <c:pt idx="7">
                  <c:v>0.3845</c:v>
                </c:pt>
                <c:pt idx="8">
                  <c:v>0.4095</c:v>
                </c:pt>
                <c:pt idx="9">
                  <c:v>0.425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410737403223759"/>
          <c:y val="0.0532110091743119"/>
          <c:w val="0.538621652493971"/>
          <c:h val="0.882568807339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3">
                  <a:lumMod val="40000"/>
                  <a:lumOff val="60000"/>
                </a:schemeClr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3">
                    <a:lumMod val="40000"/>
                    <a:lumOff val="60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不清楚如何判断</c:v>
                </c:pt>
                <c:pt idx="1">
                  <c:v>其他</c:v>
                </c:pt>
                <c:pt idx="2">
                  <c:v>包含大量赞美词或广告式语言</c:v>
                </c:pt>
                <c:pt idx="3">
                  <c:v>图片/视频与商品描述不符，有PS痕迹</c:v>
                </c:pt>
                <c:pt idx="4">
                  <c:v>评价内容空洞，缺乏具体购买或使用细节</c:v>
                </c:pt>
                <c:pt idx="5">
                  <c:v>评价内容夸张，与商品普遍反馈或描述不符</c:v>
                </c:pt>
                <c:pt idx="6">
                  <c:v>正面评价过多，缺乏客观中立或负面声音</c:v>
                </c:pt>
                <c:pt idx="7">
                  <c:v>评价内容雷同，使用模板化或重复语言</c:v>
                </c:pt>
                <c:pt idx="8">
                  <c:v>评价时间高度集中，如商品上新或促销时段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0.00466977985323549</c:v>
                </c:pt>
                <c:pt idx="1">
                  <c:v>0.00612529565164655</c:v>
                </c:pt>
                <c:pt idx="2">
                  <c:v>0.129965431499788</c:v>
                </c:pt>
                <c:pt idx="3">
                  <c:v>0.199041785432713</c:v>
                </c:pt>
                <c:pt idx="4">
                  <c:v>0.299108496573473</c:v>
                </c:pt>
                <c:pt idx="5">
                  <c:v>0.300988537813087</c:v>
                </c:pt>
                <c:pt idx="6">
                  <c:v>0.404208866517072</c:v>
                </c:pt>
                <c:pt idx="7">
                  <c:v>0.432470131602887</c:v>
                </c:pt>
                <c:pt idx="8">
                  <c:v>0.433501121960095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355578119050641"/>
          <c:y val="0.0532073595226256"/>
          <c:w val="0.58159664932098"/>
          <c:h val="0.8826454500248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4">
                  <a:lumMod val="40000"/>
                  <a:lumOff val="60000"/>
                </a:schemeClr>
              </a:fgClr>
              <a:bgClr>
                <a:schemeClr val="accent4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4">
                    <a:lumMod val="40000"/>
                    <a:lumOff val="60000"/>
                  </a:schemeClr>
                </a:fgClr>
                <a:bgClr>
                  <a:schemeClr val="accent4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4">
                    <a:lumMod val="40000"/>
                    <a:lumOff val="60000"/>
                  </a:schemeClr>
                </a:fgClr>
                <a:bgClr>
                  <a:schemeClr val="accent4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没有遇到过</c:v>
                </c:pt>
                <c:pt idx="1">
                  <c:v>其他</c:v>
                </c:pt>
                <c:pt idx="2">
                  <c:v>浏览过程遭遇“花式”催买（如：最近有XX名客人浏览此航班）</c:v>
                </c:pt>
                <c:pt idx="3">
                  <c:v>多次浏览后价格自动上涨</c:v>
                </c:pt>
                <c:pt idx="4">
                  <c:v>手机配置不同价格不同</c:v>
                </c:pt>
                <c:pt idx="5">
                  <c:v>不同用户享有不同打折优惠形式</c:v>
                </c:pt>
                <c:pt idx="6">
                  <c:v>同一时间不同用户在同一商家购买相同商品或服务的价格不同</c:v>
                </c:pt>
                <c:pt idx="7">
                  <c:v>取消或延迟购买后，再次查看时商品价格变化</c:v>
                </c:pt>
                <c:pt idx="8">
                  <c:v>在多次购买同一商品或服务后，价格逐渐上涨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0.048992016541267</c:v>
                </c:pt>
                <c:pt idx="1">
                  <c:v>0.00562862558152892</c:v>
                </c:pt>
                <c:pt idx="2">
                  <c:v>0.101545000287175</c:v>
                </c:pt>
                <c:pt idx="3">
                  <c:v>0.14680374475906</c:v>
                </c:pt>
                <c:pt idx="4">
                  <c:v>0.208776061110792</c:v>
                </c:pt>
                <c:pt idx="5">
                  <c:v>0.275974958359658</c:v>
                </c:pt>
                <c:pt idx="6">
                  <c:v>0.357934639021308</c:v>
                </c:pt>
                <c:pt idx="7">
                  <c:v>0.45103670093619</c:v>
                </c:pt>
                <c:pt idx="8">
                  <c:v>0.492791913158348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355375047594872"/>
          <c:y val="0.0347386172006745"/>
          <c:w val="0.935270973473791"/>
          <c:h val="0.8319730185497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pattFill prst="wdUpDiag">
              <a:fgClr>
                <a:schemeClr val="accent4">
                  <a:lumMod val="40000"/>
                  <a:lumOff val="60000"/>
                </a:schemeClr>
              </a:fgClr>
              <a:bgClr>
                <a:schemeClr val="accent4"/>
              </a:bgClr>
            </a:pattFill>
            <a:ln>
              <a:noFill/>
            </a:ln>
            <a:effectLst>
              <a:outerShdw blurRad="101600" dist="1270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accent4">
                    <a:lumMod val="40000"/>
                    <a:lumOff val="60000"/>
                  </a:schemeClr>
                </a:fgClr>
                <a:bgClr>
                  <a:schemeClr val="accent4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invertIfNegative val="0"/>
            <c:bubble3D val="0"/>
            <c:spPr>
              <a:pattFill prst="wdUpDiag">
                <a:fgClr>
                  <a:schemeClr val="accent4">
                    <a:lumMod val="40000"/>
                    <a:lumOff val="60000"/>
                  </a:schemeClr>
                </a:fgClr>
                <a:bgClr>
                  <a:schemeClr val="accent4"/>
                </a:bgClr>
              </a:pattFill>
              <a:ln>
                <a:noFill/>
              </a:ln>
              <a:effectLst>
                <a:outerShdw blurRad="101600" dist="1270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外卖类</c:v>
                </c:pt>
                <c:pt idx="1">
                  <c:v>在线旅游类</c:v>
                </c:pt>
                <c:pt idx="2">
                  <c:v>在线购物类</c:v>
                </c:pt>
                <c:pt idx="3">
                  <c:v>打车类</c:v>
                </c:pt>
                <c:pt idx="4">
                  <c:v>电影类</c:v>
                </c:pt>
                <c:pt idx="5">
                  <c:v>视频/音乐类</c:v>
                </c:pt>
                <c:pt idx="6">
                  <c:v>其他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0.42</c:v>
                </c:pt>
                <c:pt idx="1">
                  <c:v>0.406</c:v>
                </c:pt>
                <c:pt idx="2">
                  <c:v>0.3976</c:v>
                </c:pt>
                <c:pt idx="3">
                  <c:v>0.376</c:v>
                </c:pt>
                <c:pt idx="4">
                  <c:v>0.2434</c:v>
                </c:pt>
                <c:pt idx="5">
                  <c:v>0.1246</c:v>
                </c:pt>
                <c:pt idx="6">
                  <c:v>0.0058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14"/>
        <c:overlap val="0"/>
        <c:axId val="998520560"/>
        <c:axId val="258628862"/>
      </c:barChart>
      <c:catAx>
        <c:axId val="9985205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258628862"/>
        <c:crosses val="autoZero"/>
        <c:auto val="1"/>
        <c:lblAlgn val="ctr"/>
        <c:lblOffset val="100"/>
        <c:noMultiLvlLbl val="0"/>
      </c:catAx>
      <c:valAx>
        <c:axId val="25862886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9985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11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1011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385</Words>
  <Characters>401</Characters>
  <Lines>4</Lines>
  <Paragraphs>1</Paragraphs>
  <TotalTime>0</TotalTime>
  <ScaleCrop>false</ScaleCrop>
  <LinksUpToDate>false</LinksUpToDate>
  <CharactersWithSpaces>401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2024-09-20T02:39:50Z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31AB292D859B4502865E807D7CBE4933_13</vt:lpwstr>
  </property>
</Properties>
</file>