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charts/chart1.xml" ContentType="application/vnd.openxmlformats-officedocument.drawingml.chart+xml"/>
  <Override PartName="/drs/charts/colors1.xml" ContentType="application/vnd.ms-office.chartcolorstyle+xml"/>
  <Override PartName="/drs/charts/style1.xml" ContentType="application/vnd.ms-office.chartstyle+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drs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/data2/2024/2024&#24180;&#32479;&#35745;&#24037;&#20316;/&#29305;&#31181;&#35774;&#22791;&#25968;&#25454;&#27719;&#24635;&#20998;&#26512;&#34920;-2024.xlsx" TargetMode="External"/></Relationships>
</file>

<file path=drs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/>
      <c:barChart>
        <c:barDir val="bar"/>
        <c:grouping val="clustered"/>
        <c:varyColors val="false"/>
        <c:ser>
          <c:idx val="0"/>
          <c:order val="0"/>
          <c:tx>
            <c:strRef>
              <c:f>'[特种设备数据汇总分析表-2024.xlsx]特种设备生产、检验和充装单位统计表'!$V$3</c:f>
              <c:strCache>
                <c:ptCount val="1"/>
                <c:pt idx="0">
                  <c:v>数量</c:v>
                </c:pt>
              </c:strCache>
            </c:strRef>
          </c:tx>
          <c:spPr>
            <a:gradFill rotWithShape="true">
              <a:gsLst>
                <a:gs pos="0">
                  <a:srgbClr val="9B2D2A">
                    <a:shade val="51000"/>
                    <a:satMod val="130000"/>
                  </a:srgbClr>
                </a:gs>
                <a:gs pos="80000">
                  <a:srgbClr val="CB3D3A">
                    <a:shade val="93000"/>
                    <a:satMod val="130000"/>
                  </a:srgbClr>
                </a:gs>
                <a:gs pos="100000">
                  <a:srgbClr val="CE3B37">
                    <a:shade val="94000"/>
                    <a:satMod val="135000"/>
                  </a:srgbClr>
                </a:gs>
              </a:gsLst>
              <a:lin ang="16200000" scaled="false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false"/>
          <c:dLbls>
            <c:delete val="true"/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'[特种设备数据汇总分析表-2024.xlsx]特种设备生产、检验和充装单位统计表'!$U$4:$U$15</c15:sqref>
                  </c15:fullRef>
                </c:ext>
              </c:extLst>
              <c:f>'[特种设备数据汇总分析表-2024.xlsx]特种设备生产、检验和充装单位统计表'!$U$8:$U$15</c:f>
              <c:strCache>
                <c:ptCount val="8"/>
                <c:pt idx="0">
                  <c:v>市场监管直属机构</c:v>
                </c:pt>
                <c:pt idx="1">
                  <c:v>社会检验机构</c:v>
                </c:pt>
                <c:pt idx="2">
                  <c:v>自行检验机构</c:v>
                </c:pt>
                <c:pt idx="3">
                  <c:v>气瓶检验机构</c:v>
                </c:pt>
                <c:pt idx="4">
                  <c:v>无损检测机构</c:v>
                </c:pt>
                <c:pt idx="5">
                  <c:v>安全阀校验机构</c:v>
                </c:pt>
                <c:pt idx="6">
                  <c:v>电梯检测机构</c:v>
                </c:pt>
                <c:pt idx="7">
                  <c:v>“两工地”检验机构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特种设备生产、检验和充装单位统计表!$V$4:$V$15</c15:sqref>
                  </c15:fullRef>
                </c:ext>
              </c:extLst>
              <c:f>'[特种设备数据汇总分析表-2024.xlsx]特种设备生产、检验和充装单位统计表'!$V$8:$V$15</c:f>
              <c:numCache>
                <c:formatCode>General</c:formatCode>
                <c:ptCount val="8"/>
                <c:pt idx="0">
                  <c:v>21</c:v>
                </c:pt>
                <c:pt idx="1">
                  <c:v>11</c:v>
                </c:pt>
                <c:pt idx="2">
                  <c:v>11</c:v>
                </c:pt>
                <c:pt idx="3">
                  <c:v>160</c:v>
                </c:pt>
                <c:pt idx="4">
                  <c:v>33</c:v>
                </c:pt>
                <c:pt idx="5">
                  <c:v>55</c:v>
                </c:pt>
                <c:pt idx="6">
                  <c:v>4</c:v>
                </c:pt>
                <c:pt idx="7">
                  <c:v>23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gapWidth val="100"/>
        <c:overlap val="0"/>
        <c:axId val="951711726"/>
        <c:axId val="243370877"/>
      </c:barChart>
      <c:catAx>
        <c:axId val="951711726"/>
        <c:scaling>
          <c:orientation val="minMax"/>
        </c:scaling>
        <c:delete val="false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rgbClr val="D4E3F4">
                <a:lumMod val="15000"/>
                <a:lumOff val="85000"/>
              </a:srgb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</a:p>
        </c:txPr>
        <c:crossAx val="243370877"/>
        <c:crosses val="autoZero"/>
        <c:auto val="true"/>
        <c:lblAlgn val="ctr"/>
        <c:lblOffset val="100"/>
        <c:noMultiLvlLbl val="false"/>
      </c:catAx>
      <c:valAx>
        <c:axId val="243370877"/>
        <c:scaling>
          <c:orientation val="minMax"/>
        </c:scaling>
        <c:delete val="false"/>
        <c:axPos val="b"/>
        <c:majorGridlines>
          <c:spPr>
            <a:ln w="9525" cap="flat" cmpd="sng" algn="ctr">
              <a:solidFill>
                <a:srgbClr val="D4E3F4">
                  <a:lumMod val="15000"/>
                  <a:lumOff val="85000"/>
                </a:srgb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</a:p>
        </c:txPr>
        <c:crossAx val="951711726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rgbClr val="FFFFFF"/>
    </a:solidFill>
    <a:ln w="9525" cap="flat" cmpd="sng" algn="ctr">
      <a:solidFill>
        <a:srgbClr val="D4E3F4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drs/charts/colors1.xml><?xml version="1.0" encoding="utf-8"?>
<cs:colorStyle xmlns:cs="http://schemas.microsoft.com/office/drawing/2012/chartStyle" xmlns:a="http://schemas.openxmlformats.org/drawingml/2006/main" meth="cycle" id="12">
  <a:srgbClr val="C0504D"/>
  <a:srgbClr val="8064A2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drs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rgbClr val="1F497D"/>
    </cs:fontRef>
    <cs:defRPr sz="900" b="1" kern="1200"/>
  </cs:axisTitle>
  <cs:categoryAxis>
    <cs:lnRef idx="0"/>
    <cs:fillRef idx="0"/>
    <cs:effectRef idx="0"/>
    <cs:fontRef idx="minor">
      <a:srgbClr val="1F497D"/>
    </cs:fontRef>
    <cs:spPr>
      <a:ln w="9525" cap="flat" cmpd="sng" algn="ctr">
        <a:solidFill>
          <a:srgbClr val="D4E3F4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1F497D"/>
    </cs:fontRef>
    <cs:spPr>
      <a:solidFill>
        <a:srgbClr val="FFFFFF"/>
      </a:solidFill>
      <a:ln w="9525" cap="flat" cmpd="sng" algn="ctr">
        <a:solidFill>
          <a:srgbClr val="D4E3F4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1F497D"/>
    </cs:fontRef>
    <cs:defRPr sz="900" kern="1200"/>
  </cs:dataLabel>
  <cs:dataLabelCallout>
    <cs:lnRef idx="0"/>
    <cs:fillRef idx="0"/>
    <cs:effectRef idx="0"/>
    <cs:fontRef idx="minor">
      <a:srgbClr val="17375E">
        <a:lumMod val="7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3">
      <cs:styleClr val="auto"/>
    </cs:fillRef>
    <cs:effectRef idx="2"/>
    <cs:fontRef idx="minor">
      <a:srgbClr val="1F497D"/>
    </cs:fontRef>
  </cs:dataPoint>
  <cs:dataPoint3D>
    <cs:lnRef idx="0"/>
    <cs:fillRef idx="3">
      <cs:styleClr val="auto"/>
    </cs:fillRef>
    <cs:effectRef idx="2"/>
    <cs:fontRef idx="minor">
      <a:srgbClr val="1F497D"/>
    </cs:fontRef>
  </cs:dataPoint3D>
  <cs:dataPointLine>
    <cs:lnRef idx="0">
      <cs:styleClr val="auto"/>
    </cs:lnRef>
    <cs:fillRef idx="3"/>
    <cs:effectRef idx="2"/>
    <cs:fontRef idx="minor">
      <a:srgbClr val="1F497D"/>
    </cs:fontRef>
    <cs:spPr>
      <a:ln w="31750" cap="rnd">
        <a:solidFill>
          <a:srgbClr val="FFFFFF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rgbClr val="1F497D"/>
    </cs:fontRef>
    <cs:spPr>
      <a:ln w="12700">
        <a:solidFill>
          <a:srgbClr val="EEECE1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rgbClr val="1F497D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1F497D"/>
    </cs:fontRef>
    <cs:spPr>
      <a:ln w="9525">
        <a:solidFill>
          <a:srgbClr val="D4E3F4">
            <a:lumMod val="15000"/>
            <a:lumOff val="85000"/>
          </a:srgbClr>
        </a:solidFill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595959">
          <a:lumMod val="65000"/>
          <a:lumOff val="35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1F497D"/>
    </cs:fontRef>
    <cs:spPr>
      <a:ln w="9525">
        <a:solidFill>
          <a:srgbClr val="558ED5">
            <a:lumMod val="60000"/>
            <a:lumOff val="40000"/>
          </a:srgbClr>
        </a:solidFill>
        <a:prstDash val="dash"/>
      </a:ln>
    </cs:spPr>
  </cs:dropLine>
  <cs:errorBar>
    <cs:lnRef idx="0"/>
    <cs:fillRef idx="0"/>
    <cs:effectRef idx="0"/>
    <cs:fontRef idx="minor">
      <a:srgbClr val="1F497D"/>
    </cs:fontRef>
    <cs:spPr>
      <a:ln w="9525">
        <a:solidFill>
          <a:srgbClr val="17375E">
            <a:lumMod val="75000"/>
          </a:srgbClr>
        </a:solidFill>
        <a:round/>
      </a:ln>
    </cs:spPr>
  </cs:errorBar>
  <cs:floor>
    <cs:lnRef idx="0"/>
    <cs:fillRef idx="0"/>
    <cs:effectRef idx="0"/>
    <cs:fontRef idx="minor">
      <a:srgbClr val="1F497D"/>
    </cs:fontRef>
  </cs:floor>
  <cs:gridlineMajor>
    <cs:lnRef idx="0"/>
    <cs:fillRef idx="0"/>
    <cs:effectRef idx="0"/>
    <cs:fontRef idx="minor">
      <a:srgbClr val="1F497D"/>
    </cs:fontRef>
    <cs:spPr>
      <a:ln w="9525" cap="flat" cmpd="sng" algn="ctr">
        <a:solidFill>
          <a:srgbClr val="D4E3F4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1F497D"/>
    </cs:fontRef>
    <cs:spPr>
      <a:ln>
        <a:solidFill>
          <a:srgbClr val="F1F6FB">
            <a:lumMod val="5000"/>
            <a:lumOff val="95000"/>
          </a:srgbClr>
        </a:solidFill>
      </a:ln>
    </cs:spPr>
  </cs:gridlineMinor>
  <cs:hiLoLine>
    <cs:lnRef idx="0"/>
    <cs:fillRef idx="0"/>
    <cs:effectRef idx="0"/>
    <cs:fontRef idx="minor">
      <a:srgbClr val="1F497D"/>
    </cs:fontRef>
    <cs:spPr>
      <a:ln w="9525">
        <a:solidFill>
          <a:srgbClr val="558ED5">
            <a:lumMod val="60000"/>
            <a:lumOff val="40000"/>
          </a:srgbClr>
        </a:solidFill>
        <a:prstDash val="dash"/>
      </a:ln>
    </cs:spPr>
  </cs:hiLoLine>
  <cs:leaderLine>
    <cs:lnRef idx="0"/>
    <cs:fillRef idx="0"/>
    <cs:effectRef idx="0"/>
    <cs:fontRef idx="minor">
      <a:srgbClr val="1F497D"/>
    </cs:fontRef>
    <cs:spPr>
      <a:ln w="9525">
        <a:solidFill>
          <a:srgbClr val="9CBDE6">
            <a:lumMod val="35000"/>
            <a:lumOff val="65000"/>
          </a:srgbClr>
        </a:solidFill>
      </a:ln>
    </cs:spPr>
  </cs:leaderLine>
  <cs:legend>
    <cs:lnRef idx="0"/>
    <cs:fillRef idx="0"/>
    <cs:effectRef idx="0"/>
    <cs:fontRef idx="minor">
      <a:srgbClr val="1F497D"/>
    </cs:fontRef>
    <cs:defRPr sz="900" kern="1200"/>
  </cs:legend>
  <cs:plotArea>
    <cs:lnRef idx="0"/>
    <cs:fillRef idx="0"/>
    <cs:effectRef idx="0"/>
    <cs:fontRef idx="minor">
      <a:srgbClr val="1F497D"/>
    </cs:fontRef>
  </cs:plotArea>
  <cs:plotArea3D>
    <cs:lnRef idx="0"/>
    <cs:fillRef idx="0"/>
    <cs:effectRef idx="0"/>
    <cs:fontRef idx="minor">
      <a:srgbClr val="1F497D"/>
    </cs:fontRef>
  </cs:plotArea3D>
  <cs:seriesAxis>
    <cs:lnRef idx="0"/>
    <cs:fillRef idx="0"/>
    <cs:effectRef idx="0"/>
    <cs:fontRef idx="minor">
      <a:srgbClr val="1F497D"/>
    </cs:fontRef>
    <cs:spPr>
      <a:ln w="9525" cap="flat" cmpd="sng" algn="ctr">
        <a:solidFill>
          <a:srgbClr val="D4E3F4">
            <a:lumMod val="15000"/>
            <a:lumOff val="85000"/>
          </a:srgbClr>
        </a:solidFill>
        <a:round/>
      </a:ln>
    </cs:spPr>
    <cs:defRPr sz="900" kern="1200"/>
  </cs:seriesAxis>
  <cs:seriesLine>
    <cs:lnRef idx="0"/>
    <cs:fillRef idx="0"/>
    <cs:effectRef idx="0"/>
    <cs:fontRef idx="minor">
      <a:srgbClr val="1F497D"/>
    </cs:fontRef>
    <cs:spPr>
      <a:ln w="9525">
        <a:solidFill>
          <a:srgbClr val="558ED5">
            <a:lumMod val="60000"/>
            <a:lumOff val="40000"/>
          </a:srgbClr>
        </a:solidFill>
        <a:prstDash val="dash"/>
      </a:ln>
    </cs:spPr>
  </cs:seriesLine>
  <cs:title>
    <cs:lnRef idx="0"/>
    <cs:fillRef idx="0"/>
    <cs:effectRef idx="0"/>
    <cs:fontRef idx="minor">
      <a:srgbClr val="1F497D"/>
    </cs:fontRef>
    <cs:defRPr sz="1600" b="1" kern="1200"/>
  </cs:title>
  <cs:trendline>
    <cs:lnRef idx="0">
      <cs:styleClr val="auto"/>
    </cs:lnRef>
    <cs:fillRef idx="0"/>
    <cs:effectRef idx="0"/>
    <cs:fontRef idx="minor">
      <a:srgbClr val="1F497D"/>
    </cs:fontRef>
    <cs:spPr>
      <a:ln w="19050" cap="rnd">
        <a:solidFill>
          <a:srgbClr val="FFFFFF"/>
        </a:solidFill>
        <a:prstDash val="sysDash"/>
      </a:ln>
    </cs:spPr>
  </cs:trendline>
  <cs:trendlineLabel>
    <cs:lnRef idx="0"/>
    <cs:fillRef idx="0"/>
    <cs:effectRef idx="0"/>
    <cs:fontRef idx="minor">
      <a:srgbClr val="1F497D"/>
    </cs:fontRef>
    <cs:defRPr sz="900" kern="1200"/>
  </cs:trendlineLabel>
  <cs:upBar>
    <cs:lnRef idx="0"/>
    <cs:fillRef idx="0"/>
    <cs:effectRef idx="0"/>
    <cs:fontRef idx="minor">
      <a:srgbClr val="1F497D"/>
    </cs:fontRef>
    <cs:spPr>
      <a:solidFill>
        <a:srgbClr val="FFFFFF"/>
      </a:solidFill>
      <a:ln w="9525">
        <a:solidFill>
          <a:srgbClr val="D9D9D9">
            <a:lumMod val="15000"/>
            <a:lumOff val="85000"/>
          </a:srgbClr>
        </a:solidFill>
      </a:ln>
    </cs:spPr>
  </cs:upBar>
  <cs:valueAxis>
    <cs:lnRef idx="0"/>
    <cs:fillRef idx="0"/>
    <cs:effectRef idx="0"/>
    <cs:fontRef idx="minor">
      <a:srgbClr val="1F497D"/>
    </cs:fontRef>
    <cs:defRPr sz="900" kern="1200"/>
  </cs:valueAxis>
  <cs:wall>
    <cs:lnRef idx="0"/>
    <cs:fillRef idx="0"/>
    <cs:effectRef idx="0"/>
    <cs:fontRef idx="minor">
      <a:srgbClr val="1F497D"/>
    </cs:fontRef>
  </cs:wall>
</cs:chartStyle>
</file>

<file path=drs/downrev.xml><?xml version="1.0" encoding="utf-8"?>
<a:downRevStg xmlns:a="http://schemas.openxmlformats.org/drawingml/2006/main" shapeCheckSum="yrsdk0uhuTot27BAa2M2DW==&#10;" textCheckSum="" ver="1">
  <a:bounds l="-7" t="-7" r="7223" b="4343"/>
</a:downRevStg>
</file>

<file path=drs/e2oDoc.xml><?xml version="1.0" encoding="utf-8"?>
<wp:e2oholder xmlns:wp="http://schemas.openxmlformats.org/drawingml/2006/wordprocessingDrawing">
  <wp:effectOffset l="4445" t="4445" r="14605" b="14605"/>
  <a:graphic xmlns:a="http://schemas.openxmlformats.org/drawingml/2006/main">
    <a:graphicData uri="http://schemas.openxmlformats.org/drawingml/2006/chart">
      <c:chart xmlns:c="http://schemas.openxmlformats.org/drawingml/2006/chart" xmlns:r="http://schemas.openxmlformats.org/officeDocument/2006/relationships" r:id="rId1"/>
    </a:graphicData>
  </a:graphic>
</wp:e2oholder>
</file>