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3CFA2F">
      <w:pPr>
        <w:pStyle w:val="28"/>
        <w:keepNext w:val="0"/>
        <w:keepLines w:val="0"/>
        <w:pageBreakBefore w:val="0"/>
        <w:framePr w:w="9639" w:h="11316" w:hRule="exact" w:hSpace="0" w:vSpace="0" w:wrap="around" w:vAnchor="page" w:hAnchor="page" w:x="1225" w:y="3132"/>
        <w:widowControl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jc w:val="center"/>
        <w:textAlignment w:val="auto"/>
        <w:rPr>
          <w:rFonts w:hint="default" w:ascii="Times New Roman Regular" w:hAnsi="Times New Roman Regular" w:eastAsia="黑体" w:cs="Times New Roman Regular"/>
          <w:b w:val="0"/>
          <w:bCs w:val="0"/>
          <w:w w:val="100"/>
          <w:sz w:val="44"/>
          <w:szCs w:val="44"/>
        </w:rPr>
      </w:pPr>
      <w:r>
        <w:rPr>
          <w:rFonts w:hint="eastAsia" w:ascii="Times New Roman Regular" w:hAnsi="Times New Roman Regular" w:eastAsia="黑体" w:cs="Times New Roman Regular"/>
          <w:b w:val="0"/>
          <w:bCs w:val="0"/>
          <w:w w:val="100"/>
          <w:sz w:val="44"/>
          <w:szCs w:val="44"/>
          <w:lang w:val="en-US" w:eastAsia="zh-CN"/>
        </w:rPr>
        <w:t>川</w:t>
      </w:r>
      <w:r>
        <w:rPr>
          <w:rFonts w:hint="default" w:ascii="Times New Roman Regular" w:hAnsi="Times New Roman Regular" w:eastAsia="黑体" w:cs="Times New Roman Regular"/>
          <w:b w:val="0"/>
          <w:bCs w:val="0"/>
          <w:w w:val="100"/>
          <w:sz w:val="44"/>
          <w:szCs w:val="44"/>
          <w:lang w:val="en-US" w:eastAsia="zh-CN"/>
        </w:rPr>
        <w:t>渝区域</w:t>
      </w:r>
      <w:r>
        <w:rPr>
          <w:rFonts w:hint="default" w:ascii="Times New Roman Regular" w:hAnsi="Times New Roman Regular" w:eastAsia="黑体" w:cs="Times New Roman Regular"/>
          <w:b w:val="0"/>
          <w:bCs w:val="0"/>
          <w:w w:val="100"/>
          <w:sz w:val="44"/>
          <w:szCs w:val="44"/>
        </w:rPr>
        <w:t>地方标准</w:t>
      </w:r>
    </w:p>
    <w:p w14:paraId="11FFBFE5">
      <w:pPr>
        <w:framePr w:w="9639" w:h="11316" w:hRule="exact" w:wrap="around" w:vAnchor="page" w:hAnchor="page" w:x="1225" w:y="3132" w:anchorLock="1"/>
        <w:rPr>
          <w:rFonts w:hint="default"/>
        </w:rPr>
      </w:pPr>
    </w:p>
    <w:p w14:paraId="5A523787">
      <w:pPr>
        <w:pStyle w:val="29"/>
        <w:framePr w:h="11316" w:hRule="exact" w:wrap="around" w:x="1225" w:y="3132" w:anchorLock="1"/>
        <w:pBdr>
          <w:top w:val="none" w:color="auto" w:sz="0" w:space="0"/>
          <w:left w:val="none" w:color="auto" w:sz="0" w:space="0"/>
          <w:bottom w:val="none" w:color="auto" w:sz="0" w:space="0"/>
          <w:right w:val="none" w:color="auto" w:sz="0" w:space="0"/>
        </w:pBdr>
        <w:spacing w:line="360" w:lineRule="auto"/>
        <w:rPr>
          <w:rFonts w:hint="default" w:ascii="Times New Roman Regular" w:hAnsi="Times New Roman Regular" w:eastAsia="黑体" w:cs="Times New Roman Regular"/>
          <w:color w:val="auto"/>
          <w:sz w:val="52"/>
          <w:szCs w:val="52"/>
          <w:lang w:val="en-US" w:eastAsia="zh-CN"/>
        </w:rPr>
      </w:pPr>
      <w:r>
        <w:rPr>
          <w:rFonts w:hint="eastAsia" w:ascii="Times New Roman Regular" w:hAnsi="Times New Roman Regular" w:eastAsia="黑体" w:cs="Times New Roman Regular"/>
          <w:color w:val="auto"/>
          <w:kern w:val="2"/>
          <w:sz w:val="52"/>
          <w:szCs w:val="52"/>
          <w:lang w:val="en-US" w:eastAsia="zh-CN" w:bidi="ar-SA"/>
        </w:rPr>
        <w:br w:type="page"/>
      </w:r>
      <w:bookmarkStart w:id="0" w:name="_Hlk26473981"/>
      <w:r>
        <w:rPr>
          <w:rFonts w:hint="eastAsia" w:ascii="黑体" w:hAnsi="黑体" w:eastAsia="黑体" w:cs="黑体"/>
          <w:b/>
          <w:bCs/>
          <w:color w:val="auto"/>
          <w:sz w:val="52"/>
          <w:szCs w:val="52"/>
          <w:lang w:val="en-US" w:eastAsia="zh-CN"/>
        </w:rPr>
        <w:t>道路客运电子标志牌管理规</w:t>
      </w:r>
      <w:r>
        <w:rPr>
          <w:rFonts w:hint="eastAsia" w:cs="黑体"/>
          <w:b/>
          <w:bCs/>
          <w:color w:val="auto"/>
          <w:sz w:val="52"/>
          <w:szCs w:val="52"/>
          <w:lang w:val="en-US" w:eastAsia="zh-CN"/>
        </w:rPr>
        <w:t>范</w:t>
      </w:r>
    </w:p>
    <w:p w14:paraId="53ED04F6">
      <w:pPr>
        <w:pStyle w:val="29"/>
        <w:framePr w:h="11316" w:hRule="exact" w:wrap="around" w:x="1225" w:y="3132" w:anchorLock="1"/>
        <w:pBdr>
          <w:top w:val="none" w:color="auto" w:sz="0" w:space="0"/>
          <w:left w:val="none" w:color="auto" w:sz="0" w:space="0"/>
          <w:bottom w:val="none" w:color="auto" w:sz="0" w:space="0"/>
          <w:right w:val="none" w:color="auto" w:sz="0" w:space="0"/>
        </w:pBdr>
        <w:rPr>
          <w:rFonts w:hint="default" w:ascii="华文楷体" w:hAnsi="华文楷体" w:eastAsia="华文楷体" w:cs="华文楷体"/>
          <w:b/>
          <w:bCs/>
          <w:sz w:val="32"/>
          <w:szCs w:val="32"/>
          <w:lang w:val="en-US" w:eastAsia="zh-CN"/>
        </w:rPr>
      </w:pPr>
      <w:r>
        <w:rPr>
          <w:rFonts w:hint="default" w:ascii="华文楷体" w:hAnsi="华文楷体" w:eastAsia="华文楷体" w:cs="华文楷体"/>
          <w:b/>
          <w:bCs/>
          <w:sz w:val="32"/>
          <w:szCs w:val="32"/>
          <w:lang w:val="en-US" w:eastAsia="zh-CN"/>
        </w:rPr>
        <w:t>（</w:t>
      </w:r>
      <w:r>
        <w:rPr>
          <w:rFonts w:hint="eastAsia" w:ascii="华文楷体" w:hAnsi="华文楷体" w:eastAsia="华文楷体" w:cs="华文楷体"/>
          <w:b/>
          <w:bCs/>
          <w:sz w:val="32"/>
          <w:szCs w:val="32"/>
          <w:lang w:val="en-US" w:eastAsia="zh-CN"/>
        </w:rPr>
        <w:t>征求意见稿</w:t>
      </w:r>
      <w:r>
        <w:rPr>
          <w:rFonts w:hint="default" w:ascii="华文楷体" w:hAnsi="华文楷体" w:eastAsia="华文楷体" w:cs="华文楷体"/>
          <w:b/>
          <w:bCs/>
          <w:sz w:val="32"/>
          <w:szCs w:val="32"/>
          <w:lang w:val="en-US" w:eastAsia="zh-CN"/>
        </w:rPr>
        <w:t>）</w:t>
      </w:r>
    </w:p>
    <w:p w14:paraId="17E963D8">
      <w:pPr>
        <w:pStyle w:val="20"/>
        <w:framePr w:w="9639" w:h="11316" w:hRule="exact" w:wrap="around" w:vAnchor="page" w:hAnchor="page" w:x="1225" w:y="3132" w:anchorLock="1"/>
        <w:rPr>
          <w:rFonts w:hint="default" w:ascii="华文楷体" w:hAnsi="华文楷体" w:eastAsia="华文楷体" w:cs="华文楷体"/>
          <w:b/>
          <w:bCs/>
          <w:sz w:val="32"/>
          <w:szCs w:val="32"/>
          <w:lang w:val="en-US" w:eastAsia="zh-CN"/>
        </w:rPr>
      </w:pPr>
    </w:p>
    <w:p w14:paraId="58619235">
      <w:pPr>
        <w:pStyle w:val="20"/>
        <w:framePr w:w="9639" w:h="11316" w:hRule="exact" w:wrap="around" w:vAnchor="page" w:hAnchor="page" w:x="1225" w:y="3132" w:anchorLock="1"/>
        <w:rPr>
          <w:rFonts w:hint="default" w:ascii="华文楷体" w:hAnsi="华文楷体" w:eastAsia="华文楷体" w:cs="华文楷体"/>
          <w:b/>
          <w:bCs/>
          <w:sz w:val="32"/>
          <w:szCs w:val="32"/>
          <w:lang w:val="en-US" w:eastAsia="zh-CN"/>
        </w:rPr>
      </w:pPr>
    </w:p>
    <w:p w14:paraId="46F2702D">
      <w:pPr>
        <w:pStyle w:val="20"/>
        <w:framePr w:w="9639" w:h="11316" w:hRule="exact" w:wrap="around" w:vAnchor="page" w:hAnchor="page" w:x="1225" w:y="3132" w:anchorLock="1"/>
        <w:rPr>
          <w:rFonts w:hint="default" w:ascii="华文楷体" w:hAnsi="华文楷体" w:eastAsia="华文楷体" w:cs="华文楷体"/>
          <w:b/>
          <w:bCs/>
          <w:sz w:val="32"/>
          <w:szCs w:val="32"/>
          <w:lang w:val="en-US" w:eastAsia="zh-CN"/>
        </w:rPr>
      </w:pPr>
    </w:p>
    <w:p w14:paraId="28898A31">
      <w:pPr>
        <w:pStyle w:val="29"/>
        <w:framePr w:h="11316" w:hRule="exact" w:wrap="around" w:x="1225" w:y="3132" w:anchorLock="1"/>
        <w:pBdr>
          <w:top w:val="none" w:color="auto" w:sz="0" w:space="0"/>
          <w:left w:val="none" w:color="auto" w:sz="0" w:space="0"/>
          <w:bottom w:val="none" w:color="auto" w:sz="0" w:space="0"/>
          <w:right w:val="none" w:color="auto" w:sz="0" w:space="0"/>
        </w:pBdr>
        <w:spacing w:line="360" w:lineRule="auto"/>
        <w:rPr>
          <w:rFonts w:hint="eastAsia" w:ascii="黑体" w:hAnsi="黑体" w:eastAsia="黑体" w:cs="黑体"/>
          <w:b/>
          <w:bCs/>
          <w:color w:val="auto"/>
          <w:sz w:val="52"/>
          <w:szCs w:val="52"/>
          <w:lang w:val="en-US" w:eastAsia="zh-CN"/>
        </w:rPr>
      </w:pPr>
      <w:r>
        <w:rPr>
          <w:rFonts w:hint="eastAsia" w:ascii="黑体" w:hAnsi="黑体" w:eastAsia="黑体" w:cs="黑体"/>
          <w:b/>
          <w:bCs/>
          <w:color w:val="auto"/>
          <w:sz w:val="52"/>
          <w:szCs w:val="52"/>
          <w:lang w:val="en-US" w:eastAsia="zh-CN"/>
        </w:rPr>
        <w:t>编制说明</w:t>
      </w:r>
    </w:p>
    <w:p w14:paraId="7CB4433E">
      <w:pPr>
        <w:pStyle w:val="20"/>
        <w:framePr w:w="9639" w:h="11316" w:hRule="exact" w:wrap="around" w:vAnchor="page" w:hAnchor="page" w:x="1225" w:y="3132" w:anchorLock="1"/>
        <w:rPr>
          <w:rFonts w:hint="eastAsia" w:ascii="黑体" w:hAnsi="黑体" w:eastAsia="黑体" w:cs="黑体"/>
          <w:b/>
          <w:bCs/>
          <w:color w:val="auto"/>
          <w:sz w:val="52"/>
          <w:szCs w:val="52"/>
          <w:lang w:val="en-US" w:eastAsia="zh-CN"/>
        </w:rPr>
      </w:pPr>
    </w:p>
    <w:p w14:paraId="350CC3AB">
      <w:pPr>
        <w:pStyle w:val="20"/>
        <w:framePr w:w="9639" w:h="11316" w:hRule="exact" w:wrap="around" w:vAnchor="page" w:hAnchor="page" w:x="1225" w:y="3132" w:anchorLock="1"/>
        <w:rPr>
          <w:rFonts w:hint="eastAsia" w:ascii="黑体" w:hAnsi="黑体" w:eastAsia="黑体" w:cs="黑体"/>
          <w:b/>
          <w:bCs/>
          <w:color w:val="auto"/>
          <w:sz w:val="52"/>
          <w:szCs w:val="52"/>
          <w:lang w:val="en-US" w:eastAsia="zh-CN"/>
        </w:rPr>
      </w:pPr>
    </w:p>
    <w:p w14:paraId="1B3CA836">
      <w:pPr>
        <w:pStyle w:val="20"/>
        <w:framePr w:w="9639" w:h="11316" w:hRule="exact" w:wrap="around" w:vAnchor="page" w:hAnchor="page" w:x="1225" w:y="3132" w:anchorLock="1"/>
        <w:rPr>
          <w:rFonts w:hint="eastAsia" w:ascii="黑体" w:hAnsi="黑体" w:eastAsia="黑体" w:cs="黑体"/>
          <w:b/>
          <w:bCs/>
          <w:color w:val="auto"/>
          <w:sz w:val="52"/>
          <w:szCs w:val="52"/>
          <w:lang w:val="en-US" w:eastAsia="zh-CN"/>
        </w:rPr>
      </w:pPr>
    </w:p>
    <w:p w14:paraId="72E27004">
      <w:pPr>
        <w:pStyle w:val="20"/>
        <w:framePr w:w="9639" w:h="11316" w:hRule="exact" w:wrap="around" w:vAnchor="page" w:hAnchor="page" w:x="1225" w:y="3132" w:anchorLock="1"/>
        <w:rPr>
          <w:rFonts w:hint="eastAsia" w:ascii="黑体" w:hAnsi="黑体" w:eastAsia="黑体" w:cs="黑体"/>
          <w:b/>
          <w:bCs/>
          <w:color w:val="auto"/>
          <w:sz w:val="52"/>
          <w:szCs w:val="52"/>
          <w:lang w:val="en-US" w:eastAsia="zh-CN"/>
        </w:rPr>
      </w:pPr>
    </w:p>
    <w:p w14:paraId="17F89887">
      <w:pPr>
        <w:pStyle w:val="20"/>
        <w:framePr w:w="9639" w:h="11316" w:hRule="exact" w:wrap="around" w:vAnchor="page" w:hAnchor="page" w:x="1225" w:y="3132" w:anchorLock="1"/>
        <w:rPr>
          <w:rFonts w:hint="eastAsia" w:ascii="黑体" w:hAnsi="黑体" w:eastAsia="黑体" w:cs="黑体"/>
          <w:b/>
          <w:bCs/>
          <w:color w:val="auto"/>
          <w:sz w:val="52"/>
          <w:szCs w:val="52"/>
          <w:lang w:val="en-US" w:eastAsia="zh-CN"/>
        </w:rPr>
      </w:pPr>
    </w:p>
    <w:p w14:paraId="262B4FEF">
      <w:pPr>
        <w:pStyle w:val="20"/>
        <w:framePr w:w="9639" w:h="11316" w:hRule="exact" w:wrap="around" w:vAnchor="page" w:hAnchor="page" w:x="1225" w:y="3132" w:anchorLock="1"/>
        <w:ind w:left="0" w:leftChars="0" w:firstLine="0" w:firstLineChars="0"/>
        <w:jc w:val="center"/>
        <w:rPr>
          <w:rFonts w:hint="eastAsia" w:ascii="黑体" w:hAnsi="黑体" w:eastAsia="黑体" w:cs="黑体"/>
          <w:b/>
          <w:bCs/>
          <w:color w:val="auto"/>
          <w:sz w:val="32"/>
          <w:szCs w:val="32"/>
          <w:lang w:val="en-US" w:eastAsia="zh-CN"/>
        </w:rPr>
      </w:pPr>
      <w:r>
        <w:rPr>
          <w:rFonts w:hint="eastAsia" w:ascii="黑体" w:hAnsi="黑体" w:eastAsia="黑体" w:cs="黑体"/>
          <w:b/>
          <w:bCs/>
          <w:color w:val="auto"/>
          <w:sz w:val="32"/>
          <w:szCs w:val="32"/>
          <w:lang w:val="en-US" w:eastAsia="zh-CN"/>
        </w:rPr>
        <w:t>标准起草组</w:t>
      </w:r>
    </w:p>
    <w:p w14:paraId="6BF7AE1F">
      <w:pPr>
        <w:pStyle w:val="20"/>
        <w:framePr w:w="9639" w:h="11316" w:hRule="exact" w:wrap="around" w:vAnchor="page" w:hAnchor="page" w:x="1225" w:y="3132" w:anchorLock="1"/>
        <w:ind w:left="0" w:leftChars="0" w:firstLine="0" w:firstLineChars="0"/>
        <w:jc w:val="center"/>
        <w:rPr>
          <w:rFonts w:hint="default" w:ascii="黑体" w:hAnsi="黑体" w:eastAsia="黑体" w:cs="黑体"/>
          <w:b/>
          <w:bCs/>
          <w:color w:val="auto"/>
          <w:sz w:val="32"/>
          <w:szCs w:val="32"/>
          <w:lang w:val="en-US" w:eastAsia="zh-CN"/>
        </w:rPr>
      </w:pPr>
      <w:r>
        <w:rPr>
          <w:rFonts w:hint="eastAsia" w:ascii="黑体" w:hAnsi="黑体" w:eastAsia="黑体" w:cs="黑体"/>
          <w:b/>
          <w:bCs/>
          <w:color w:val="auto"/>
          <w:sz w:val="32"/>
          <w:szCs w:val="32"/>
          <w:lang w:val="en-US" w:eastAsia="zh-CN"/>
        </w:rPr>
        <w:t>2025年9月</w:t>
      </w:r>
    </w:p>
    <w:p w14:paraId="2FB0AFE9">
      <w:pPr>
        <w:pStyle w:val="20"/>
        <w:framePr w:w="9639" w:h="11316" w:hRule="exact" w:wrap="around" w:vAnchor="page" w:hAnchor="page" w:x="1225" w:y="3132" w:anchorLock="1"/>
        <w:rPr>
          <w:rFonts w:hint="eastAsia" w:ascii="黑体" w:hAnsi="黑体" w:eastAsia="黑体" w:cs="黑体"/>
          <w:b/>
          <w:bCs/>
          <w:color w:val="auto"/>
          <w:sz w:val="52"/>
          <w:szCs w:val="52"/>
          <w:lang w:val="en-US" w:eastAsia="zh-CN"/>
        </w:rPr>
      </w:pPr>
    </w:p>
    <w:p w14:paraId="1A9404F9">
      <w:pPr>
        <w:pStyle w:val="20"/>
        <w:framePr w:w="9639" w:h="11316" w:hRule="exact" w:wrap="around" w:vAnchor="page" w:hAnchor="page" w:x="1225" w:y="3132" w:anchorLock="1"/>
        <w:rPr>
          <w:rFonts w:hint="eastAsia" w:ascii="黑体" w:hAnsi="黑体" w:eastAsia="黑体" w:cs="黑体"/>
          <w:b/>
          <w:bCs/>
          <w:color w:val="auto"/>
          <w:sz w:val="52"/>
          <w:szCs w:val="52"/>
          <w:lang w:val="en-US" w:eastAsia="zh-CN"/>
        </w:rPr>
      </w:pPr>
    </w:p>
    <w:p w14:paraId="4340207A">
      <w:pPr>
        <w:pStyle w:val="20"/>
        <w:framePr w:w="9639" w:h="11316" w:hRule="exact" w:wrap="around" w:vAnchor="page" w:hAnchor="page" w:x="1225" w:y="3132" w:anchorLock="1"/>
        <w:rPr>
          <w:rFonts w:hint="eastAsia" w:ascii="黑体" w:hAnsi="黑体" w:eastAsia="黑体" w:cs="黑体"/>
          <w:b/>
          <w:bCs/>
          <w:color w:val="auto"/>
          <w:sz w:val="52"/>
          <w:szCs w:val="52"/>
          <w:lang w:val="en-US" w:eastAsia="zh-CN"/>
        </w:rPr>
      </w:pPr>
    </w:p>
    <w:p w14:paraId="5673C396">
      <w:pPr>
        <w:pStyle w:val="20"/>
        <w:framePr w:w="9639" w:h="11316" w:hRule="exact" w:wrap="around" w:vAnchor="page" w:hAnchor="page" w:x="1225" w:y="3132" w:anchorLock="1"/>
        <w:rPr>
          <w:rFonts w:hint="eastAsia" w:ascii="黑体" w:hAnsi="黑体" w:eastAsia="黑体" w:cs="黑体"/>
          <w:b/>
          <w:bCs/>
          <w:color w:val="auto"/>
          <w:sz w:val="52"/>
          <w:szCs w:val="52"/>
          <w:lang w:val="en-US" w:eastAsia="zh-CN"/>
        </w:rPr>
      </w:pPr>
    </w:p>
    <w:p w14:paraId="671D0BA1">
      <w:pPr>
        <w:pStyle w:val="20"/>
        <w:framePr w:w="9639" w:h="11316" w:hRule="exact" w:wrap="around" w:vAnchor="page" w:hAnchor="page" w:x="1225" w:y="3132" w:anchorLock="1"/>
        <w:rPr>
          <w:rFonts w:hint="eastAsia" w:ascii="黑体" w:hAnsi="黑体" w:eastAsia="黑体" w:cs="黑体"/>
          <w:b/>
          <w:bCs/>
          <w:color w:val="auto"/>
          <w:sz w:val="52"/>
          <w:szCs w:val="52"/>
          <w:lang w:val="en-US" w:eastAsia="zh-CN"/>
        </w:rPr>
      </w:pPr>
    </w:p>
    <w:p w14:paraId="12DC5D22">
      <w:pPr>
        <w:pStyle w:val="20"/>
        <w:framePr w:w="9639" w:h="11316" w:hRule="exact" w:wrap="around" w:vAnchor="page" w:hAnchor="page" w:x="1225" w:y="3132" w:anchorLock="1"/>
        <w:rPr>
          <w:rFonts w:hint="eastAsia" w:ascii="黑体" w:hAnsi="黑体" w:eastAsia="黑体" w:cs="黑体"/>
          <w:b/>
          <w:bCs/>
          <w:color w:val="auto"/>
          <w:sz w:val="52"/>
          <w:szCs w:val="52"/>
          <w:lang w:val="en-US" w:eastAsia="zh-CN"/>
        </w:rPr>
      </w:pPr>
    </w:p>
    <w:p w14:paraId="50F221E1">
      <w:pPr>
        <w:pStyle w:val="20"/>
        <w:framePr w:w="9639" w:h="11316" w:hRule="exact" w:wrap="around" w:vAnchor="page" w:hAnchor="page" w:x="1225" w:y="3132" w:anchorLock="1"/>
        <w:rPr>
          <w:rFonts w:hint="eastAsia" w:ascii="黑体" w:hAnsi="黑体" w:eastAsia="黑体" w:cs="黑体"/>
          <w:b/>
          <w:bCs/>
          <w:color w:val="auto"/>
          <w:sz w:val="52"/>
          <w:szCs w:val="52"/>
          <w:lang w:val="en-US" w:eastAsia="zh-CN"/>
        </w:rPr>
      </w:pPr>
    </w:p>
    <w:p w14:paraId="09F13740">
      <w:pPr>
        <w:pStyle w:val="20"/>
        <w:framePr w:w="9639" w:h="11316" w:hRule="exact" w:wrap="around" w:vAnchor="page" w:hAnchor="page" w:x="1225" w:y="3132" w:anchorLock="1"/>
        <w:rPr>
          <w:rFonts w:hint="eastAsia" w:ascii="黑体" w:hAnsi="黑体" w:eastAsia="黑体" w:cs="黑体"/>
          <w:b/>
          <w:bCs/>
          <w:color w:val="auto"/>
          <w:sz w:val="52"/>
          <w:szCs w:val="52"/>
          <w:lang w:val="en-US" w:eastAsia="zh-CN"/>
        </w:rPr>
      </w:pPr>
    </w:p>
    <w:p w14:paraId="0811F38A">
      <w:pPr>
        <w:pStyle w:val="20"/>
        <w:framePr w:w="9639" w:h="11316" w:hRule="exact" w:wrap="around" w:vAnchor="page" w:hAnchor="page" w:x="1225" w:y="3132" w:anchorLock="1"/>
        <w:rPr>
          <w:rFonts w:hint="default" w:ascii="黑体" w:hAnsi="黑体" w:eastAsia="黑体" w:cs="黑体"/>
          <w:b/>
          <w:bCs/>
          <w:color w:val="auto"/>
          <w:sz w:val="52"/>
          <w:szCs w:val="52"/>
          <w:lang w:val="en-US" w:eastAsia="zh-CN"/>
        </w:rPr>
      </w:pPr>
      <w:r>
        <w:rPr>
          <w:rFonts w:hint="eastAsia" w:ascii="黑体" w:hAnsi="黑体" w:eastAsia="黑体" w:cs="黑体"/>
          <w:b/>
          <w:bCs/>
          <w:color w:val="auto"/>
          <w:sz w:val="52"/>
          <w:szCs w:val="52"/>
          <w:lang w:val="en-US" w:eastAsia="zh-CN"/>
        </w:rPr>
        <w:t>标准去起草组</w:t>
      </w:r>
    </w:p>
    <w:bookmarkEnd w:id="0"/>
    <w:p w14:paraId="5C72EDCB">
      <w:pPr>
        <w:keepNext w:val="0"/>
        <w:keepLines w:val="0"/>
        <w:pageBreakBefore w:val="0"/>
        <w:widowControl w:val="0"/>
        <w:kinsoku/>
        <w:wordWrap/>
        <w:overflowPunct/>
        <w:topLinePunct w:val="0"/>
        <w:autoSpaceDE/>
        <w:autoSpaceDN/>
        <w:bidi w:val="0"/>
        <w:adjustRightInd/>
        <w:snapToGrid/>
        <w:spacing w:before="0" w:beforeLines="100" w:after="0" w:afterLines="100"/>
        <w:jc w:val="center"/>
        <w:textAlignment w:val="auto"/>
        <w:rPr>
          <w:rFonts w:hint="eastAsia" w:ascii="Times New Roman Regular" w:hAnsi="Times New Roman Regular" w:eastAsia="黑体" w:cs="Times New Roman Regular"/>
          <w:color w:val="auto"/>
          <w:kern w:val="2"/>
          <w:sz w:val="32"/>
          <w:szCs w:val="11"/>
          <w:lang w:val="en-US" w:eastAsia="zh-CN" w:bidi="ar-SA"/>
        </w:rPr>
        <w:sectPr>
          <w:pgSz w:w="11906" w:h="16838"/>
          <w:pgMar w:top="1440" w:right="1800" w:bottom="1440" w:left="1800" w:header="851" w:footer="992" w:gutter="0"/>
          <w:cols w:space="425" w:num="1"/>
          <w:docGrid w:type="lines" w:linePitch="312" w:charSpace="0"/>
        </w:sectPr>
      </w:pPr>
    </w:p>
    <w:p w14:paraId="74F6314E">
      <w:pPr>
        <w:keepNext w:val="0"/>
        <w:keepLines w:val="0"/>
        <w:pageBreakBefore w:val="0"/>
        <w:widowControl w:val="0"/>
        <w:kinsoku/>
        <w:wordWrap/>
        <w:overflowPunct/>
        <w:topLinePunct w:val="0"/>
        <w:autoSpaceDE/>
        <w:autoSpaceDN/>
        <w:bidi w:val="0"/>
        <w:adjustRightInd/>
        <w:snapToGrid/>
        <w:spacing w:before="0" w:beforeLines="100" w:after="0" w:afterLines="100"/>
        <w:jc w:val="center"/>
        <w:textAlignment w:val="auto"/>
        <w:rPr>
          <w:rFonts w:hint="eastAsia" w:ascii="Times New Roman Regular" w:hAnsi="Times New Roman Regular" w:eastAsia="黑体" w:cs="Times New Roman Regular"/>
          <w:color w:val="auto"/>
          <w:kern w:val="2"/>
          <w:sz w:val="32"/>
          <w:szCs w:val="11"/>
          <w:lang w:val="en-US" w:eastAsia="zh-CN" w:bidi="ar-SA"/>
        </w:rPr>
      </w:pPr>
      <w:r>
        <w:rPr>
          <w:rFonts w:hint="eastAsia" w:ascii="Times New Roman Regular" w:hAnsi="Times New Roman Regular" w:eastAsia="黑体" w:cs="Times New Roman Regular"/>
          <w:color w:val="auto"/>
          <w:kern w:val="2"/>
          <w:sz w:val="32"/>
          <w:szCs w:val="11"/>
          <w:lang w:val="en-US" w:eastAsia="zh-CN" w:bidi="ar-SA"/>
        </w:rPr>
        <w:t>《道路客运电子标志牌管理规范》标准编制说明</w:t>
      </w:r>
    </w:p>
    <w:p w14:paraId="19357104">
      <w:pPr>
        <w:keepNext w:val="0"/>
        <w:keepLines w:val="0"/>
        <w:pageBreakBefore w:val="0"/>
        <w:widowControl w:val="0"/>
        <w:tabs>
          <w:tab w:val="left" w:pos="319"/>
        </w:tabs>
        <w:kinsoku/>
        <w:wordWrap/>
        <w:overflowPunct/>
        <w:topLinePunct w:val="0"/>
        <w:autoSpaceDE/>
        <w:autoSpaceDN/>
        <w:bidi w:val="0"/>
        <w:adjustRightInd/>
        <w:snapToGrid/>
        <w:spacing w:before="0" w:beforeLines="0" w:afterLines="0" w:line="240" w:lineRule="auto"/>
        <w:ind w:firstLine="600" w:firstLineChars="200"/>
        <w:textAlignment w:val="auto"/>
        <w:rPr>
          <w:rFonts w:hint="eastAsia" w:ascii="楷体" w:hAnsi="楷体" w:eastAsia="楷体" w:cs="楷体"/>
          <w:b w:val="0"/>
          <w:bCs w:val="0"/>
          <w:sz w:val="28"/>
          <w:szCs w:val="28"/>
          <w:lang w:val="en-US" w:eastAsia="zh-CN"/>
        </w:rPr>
      </w:pPr>
      <w:r>
        <w:rPr>
          <w:rFonts w:hint="eastAsia" w:ascii="仿宋" w:hAnsi="仿宋" w:eastAsia="仿宋" w:cs="仿宋"/>
          <w:sz w:val="30"/>
          <w:szCs w:val="30"/>
          <w:lang w:val="en-US" w:eastAsia="zh-CN"/>
        </w:rPr>
        <w:t>为了统一川渝两地对道路客运电子标志牌的管理标准，促进电子标志牌的跨区域应用，按照</w:t>
      </w:r>
      <w:r>
        <w:rPr>
          <w:rFonts w:hint="eastAsia" w:ascii="仿宋" w:hAnsi="仿宋" w:eastAsia="仿宋" w:cs="仿宋"/>
          <w:sz w:val="30"/>
          <w:szCs w:val="30"/>
        </w:rPr>
        <w:t>《推动成渝地区双</w:t>
      </w:r>
      <w:r>
        <w:rPr>
          <w:rFonts w:hint="eastAsia" w:ascii="仿宋" w:hAnsi="仿宋" w:eastAsia="仿宋" w:cs="仿宋"/>
          <w:sz w:val="30"/>
          <w:szCs w:val="30"/>
          <w:lang w:val="en-US" w:eastAsia="zh-CN"/>
        </w:rPr>
        <w:t>城经济圈综合交通运输高质量发展标准体系》要求，由四川交通职业技术学院联合重庆市交通规划和技术发展中心等川渝两地多家单位，起草了《道路客运电子标志牌管理规范（征求意见稿）》（以下简称《规范》）。</w:t>
      </w:r>
      <w:r>
        <w:rPr>
          <w:rFonts w:hint="eastAsia" w:ascii="仿宋" w:hAnsi="仿宋" w:eastAsia="仿宋" w:cs="仿宋"/>
          <w:sz w:val="30"/>
          <w:szCs w:val="30"/>
        </w:rPr>
        <w:t>现就</w:t>
      </w:r>
      <w:r>
        <w:rPr>
          <w:rFonts w:hint="eastAsia" w:ascii="仿宋" w:hAnsi="仿宋" w:eastAsia="仿宋" w:cs="仿宋"/>
          <w:sz w:val="30"/>
          <w:szCs w:val="30"/>
          <w:lang w:val="en-US" w:eastAsia="zh-CN"/>
        </w:rPr>
        <w:t>编制</w:t>
      </w:r>
      <w:r>
        <w:rPr>
          <w:rFonts w:hint="eastAsia" w:ascii="仿宋" w:hAnsi="仿宋" w:eastAsia="仿宋" w:cs="仿宋"/>
          <w:sz w:val="30"/>
          <w:szCs w:val="30"/>
        </w:rPr>
        <w:t>情况说明如下：  </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b/>
          <w:bCs/>
          <w:sz w:val="32"/>
          <w:szCs w:val="32"/>
          <w:lang w:val="en-US" w:eastAsia="zh-CN"/>
        </w:rPr>
        <w:t xml:space="preserve"> 一、编制背景 </w:t>
      </w:r>
      <w:r>
        <w:rPr>
          <w:rFonts w:hint="eastAsia" w:ascii="仿宋" w:hAnsi="仿宋" w:eastAsia="仿宋" w:cs="仿宋"/>
          <w:sz w:val="32"/>
          <w:szCs w:val="32"/>
        </w:rPr>
        <w:t> </w:t>
      </w:r>
    </w:p>
    <w:p w14:paraId="17B94AD5">
      <w:pPr>
        <w:keepNext w:val="0"/>
        <w:keepLines w:val="0"/>
        <w:pageBreakBefore w:val="0"/>
        <w:widowControl w:val="0"/>
        <w:tabs>
          <w:tab w:val="left" w:pos="319"/>
        </w:tabs>
        <w:kinsoku/>
        <w:wordWrap/>
        <w:overflowPunct/>
        <w:topLinePunct w:val="0"/>
        <w:autoSpaceDE/>
        <w:autoSpaceDN/>
        <w:bidi w:val="0"/>
        <w:adjustRightInd/>
        <w:snapToGrid/>
        <w:spacing w:before="0" w:beforeLines="0" w:afterLines="0" w:line="24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按照道路运输管理法规规定，客运车辆须由车籍地交通运输主管部门根据客运类别配发相应客运标志牌。由于传统实体标志牌需由客运企业事前向主管部门申领，不仅耗时费力还影响对车辆的灵活调度，难以适应当前客运市场发展需要。近年来，川渝两地在国内率先试用基于无线通信技术的电子标志牌，实行远程数字化发牌管理，极大简化了客运管理办事手续。企业通过电子标志牌在线申领相应客运标志牌虚拟显示信息，既有助于减少人力物力投入，实现对车辆的远程网络化调度，增强跨地域快速响应客户需求能力并提高车辆周转利用率，又能极大方便行业安全实时监管、精准打击非法营运和旅客在途查询车辆客运信息。</w:t>
      </w:r>
    </w:p>
    <w:p w14:paraId="61DFF10F">
      <w:pPr>
        <w:keepNext w:val="0"/>
        <w:keepLines w:val="0"/>
        <w:pageBreakBefore w:val="0"/>
        <w:widowControl w:val="0"/>
        <w:tabs>
          <w:tab w:val="left" w:pos="319"/>
        </w:tabs>
        <w:kinsoku/>
        <w:wordWrap/>
        <w:overflowPunct/>
        <w:topLinePunct w:val="0"/>
        <w:autoSpaceDE/>
        <w:autoSpaceDN/>
        <w:bidi w:val="0"/>
        <w:adjustRightInd/>
        <w:snapToGrid/>
        <w:spacing w:before="0" w:beforeLines="0" w:afterLines="0" w:line="24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然而，电子标志牌作为一种新兴产物，目前对其使用范围、设置要求、信息显示、信息验证等还缺乏全国统一标准，难于在跨省市道路客运中应用及管理互认。随着成渝地区双城经济圈建设和交通运输网络不断完善，为促进川渝两地道路客运发展，提升客运服务与管理的智能化和协同化水平，方便人民群众交通出行，两地交通运输主管部门决定统一电子标志牌的使用与管理互认，并就电子标志牌的设置、信息显示、信息验证等管理问题编制统一的川渝区域地方标准。</w:t>
      </w:r>
    </w:p>
    <w:p w14:paraId="197ED51E">
      <w:pPr>
        <w:pStyle w:val="20"/>
        <w:keepNext w:val="0"/>
        <w:keepLines w:val="0"/>
        <w:pageBreakBefore w:val="0"/>
        <w:widowControl/>
        <w:numPr>
          <w:ilvl w:val="0"/>
          <w:numId w:val="3"/>
        </w:numPr>
        <w:kinsoku/>
        <w:wordWrap/>
        <w:overflowPunct/>
        <w:topLinePunct w:val="0"/>
        <w:autoSpaceDE w:val="0"/>
        <w:autoSpaceDN w:val="0"/>
        <w:bidi w:val="0"/>
        <w:adjustRightInd/>
        <w:snapToGrid/>
        <w:spacing w:line="400" w:lineRule="atLeast"/>
        <w:ind w:firstLine="420"/>
        <w:textAlignment w:val="auto"/>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工作简况</w:t>
      </w:r>
    </w:p>
    <w:p w14:paraId="09796797">
      <w:pPr>
        <w:keepNext w:val="0"/>
        <w:keepLines w:val="0"/>
        <w:widowControl/>
        <w:suppressLineNumbers w:val="0"/>
        <w:ind w:firstLine="600" w:firstLineChars="200"/>
        <w:jc w:val="both"/>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2024年3月11日，交通运输部 国家市场监督管理总局 重庆市人民政府 四川省人民政府联合印发《推动成渝地区双城经济圈综合交通运输高质量发展标准体系》（交科技发〔2024〕24号），将《省际包车客运电子标志牌》列为待编制标准，体系编号为201.2.3。按照标准编写计划，</w:t>
      </w:r>
      <w:r>
        <w:rPr>
          <w:rFonts w:hint="eastAsia" w:ascii="仿宋" w:hAnsi="仿宋" w:eastAsia="仿宋" w:cs="仿宋"/>
          <w:sz w:val="30"/>
          <w:szCs w:val="30"/>
          <w:lang w:val="en-US" w:eastAsia="zh-CN"/>
        </w:rPr>
        <w:t>两地交通运输主管部门共同组建了</w:t>
      </w:r>
      <w:r>
        <w:rPr>
          <w:rFonts w:hint="eastAsia" w:ascii="仿宋" w:hAnsi="仿宋" w:eastAsia="仿宋" w:cs="仿宋"/>
          <w:kern w:val="2"/>
          <w:sz w:val="30"/>
          <w:szCs w:val="30"/>
          <w:lang w:val="en-US" w:eastAsia="zh-CN" w:bidi="ar-SA"/>
        </w:rPr>
        <w:t>编写组，并由四川省方面主导、重庆市方面参编。2024年4月7日，标准编制工作率先获得重庆市市场监督管理局批准立项（立项文号：渝市监发〔2024〕29号）。但在申请四川省地方标准编制立项过程中，有业务部门和专家建议将班线客运、旅游客运等其他类型道路客运的标志牌也纳入标准范围，为此，经两地交通运输主管部门同意，将拟编制标准名称修改为《道路客运电子标志牌管理规范》，并对标准内容作相应调整。2025年2月6日，四川省市场监督管理局以修改后的标准名称批准立项（立项文号：川市监函〔</w:t>
      </w:r>
      <w:r>
        <w:rPr>
          <w:rFonts w:hint="default" w:ascii="仿宋" w:hAnsi="仿宋" w:eastAsia="仿宋" w:cs="仿宋"/>
          <w:kern w:val="2"/>
          <w:sz w:val="30"/>
          <w:szCs w:val="30"/>
          <w:lang w:val="en-US" w:eastAsia="zh-CN" w:bidi="ar-SA"/>
        </w:rPr>
        <w:t>2025〕29 号</w:t>
      </w:r>
      <w:r>
        <w:rPr>
          <w:rFonts w:hint="eastAsia" w:ascii="仿宋" w:hAnsi="仿宋" w:eastAsia="仿宋" w:cs="仿宋"/>
          <w:kern w:val="2"/>
          <w:sz w:val="30"/>
          <w:szCs w:val="30"/>
          <w:lang w:val="en-US" w:eastAsia="zh-CN" w:bidi="ar-SA"/>
        </w:rPr>
        <w:t>）。</w:t>
      </w:r>
    </w:p>
    <w:p w14:paraId="0E6FCBE6">
      <w:pPr>
        <w:keepNext w:val="0"/>
        <w:keepLines w:val="0"/>
        <w:widowControl/>
        <w:suppressLineNumbers w:val="0"/>
        <w:ind w:firstLine="600" w:firstLineChars="200"/>
        <w:jc w:val="both"/>
        <w:rPr>
          <w:rFonts w:hint="default"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在标准编制获得川渝两地地方标准立项前后，编写组对四川省甘孜州、阿坝州等地道路客运企业的道路客运电子标志牌推广试用情况，以及全国其他省市的开发、应用现状进行了广泛和深入调研，并根据道路客运行业发展需求及相关技术应用情况编写</w:t>
      </w:r>
      <w:r>
        <w:rPr>
          <w:rFonts w:hint="eastAsia" w:ascii="仿宋" w:hAnsi="仿宋" w:eastAsia="仿宋" w:cs="仿宋"/>
          <w:sz w:val="30"/>
          <w:szCs w:val="30"/>
          <w:lang w:val="en-US" w:eastAsia="zh-CN"/>
        </w:rPr>
        <w:t>《规范》</w:t>
      </w:r>
      <w:r>
        <w:rPr>
          <w:rFonts w:hint="eastAsia" w:ascii="仿宋" w:hAnsi="仿宋" w:eastAsia="仿宋" w:cs="仿宋"/>
          <w:kern w:val="2"/>
          <w:sz w:val="30"/>
          <w:szCs w:val="30"/>
          <w:lang w:val="en-US" w:eastAsia="zh-CN" w:bidi="ar-SA"/>
        </w:rPr>
        <w:t>初稿并反复讨论、修改。经过近1年时间的编写于2025年2月底形成征求意见稿之后，分别由四川省交通运输厅道路运输管理局、重庆市交通规划和技术发展中心向两地的各市（州、区）运管处(局)、道路运输服务中心、交通运输综合行政执法部门和相关专家征求意见，截至征求意见结束，编写组共收到19份书面反馈意见表，其中除了绵阳市交通运输局道路运输管理处和重庆市万州汽车运输（集团）有限责任公司提出有4条具体修改建议外，其余单位均为“无意见”。在反馈的4条修改意见中，有3条针对原稿第6.4条的道路客运类型简称问题，1条针对原稿第5.2条的电子号牌安装位置，经研究，项目组采纳了将四类客运班线简称分为“毗邻县班线”或“县内班线”的建议。</w:t>
      </w:r>
    </w:p>
    <w:p w14:paraId="2287DE7F">
      <w:pPr>
        <w:pStyle w:val="21"/>
        <w:keepNext w:val="0"/>
        <w:keepLines w:val="0"/>
        <w:pageBreakBefore w:val="0"/>
        <w:widowControl w:val="0"/>
        <w:numPr>
          <w:ilvl w:val="1"/>
          <w:numId w:val="0"/>
        </w:numPr>
        <w:kinsoku/>
        <w:wordWrap/>
        <w:overflowPunct/>
        <w:topLinePunct w:val="0"/>
        <w:autoSpaceDE/>
        <w:autoSpaceDN/>
        <w:bidi w:val="0"/>
        <w:adjustRightInd/>
        <w:snapToGrid/>
        <w:spacing w:before="0" w:beforeLines="0" w:after="0" w:afterLines="0"/>
        <w:ind w:leftChars="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2025年3月12日，按照川渝区域标准联席工作会安排,在重庆召开了由四川省交通运输厅、四川省市场监督管理局、重庆市市场监督管理局和特邀专家、标准编制单位相关人员参加的</w:t>
      </w:r>
      <w:r>
        <w:rPr>
          <w:rFonts w:hint="eastAsia" w:ascii="仿宋" w:hAnsi="仿宋" w:eastAsia="仿宋" w:cs="仿宋"/>
          <w:sz w:val="30"/>
          <w:szCs w:val="30"/>
          <w:lang w:val="en-US" w:eastAsia="zh-CN"/>
        </w:rPr>
        <w:t>《规范》</w:t>
      </w:r>
      <w:r>
        <w:rPr>
          <w:rFonts w:hint="eastAsia" w:ascii="仿宋" w:hAnsi="仿宋" w:eastAsia="仿宋" w:cs="仿宋"/>
          <w:kern w:val="2"/>
          <w:sz w:val="30"/>
          <w:szCs w:val="30"/>
          <w:lang w:val="en-US" w:eastAsia="zh-CN" w:bidi="ar-SA"/>
        </w:rPr>
        <w:t>内部审查会。经专家审查并讨论后一致同意通过审查，并提出了有关补充完善标准编制说明和进一步核实电子标志牌管理通讯接口协议适用性的建议。审查结束后，编写组根据专家组意见，对</w:t>
      </w:r>
      <w:r>
        <w:rPr>
          <w:rFonts w:hint="eastAsia" w:ascii="仿宋" w:hAnsi="仿宋" w:eastAsia="仿宋" w:cs="仿宋"/>
          <w:sz w:val="30"/>
          <w:szCs w:val="30"/>
          <w:lang w:val="en-US" w:eastAsia="zh-CN"/>
        </w:rPr>
        <w:t>《规范</w:t>
      </w:r>
      <w:r>
        <w:rPr>
          <w:rFonts w:hint="eastAsia" w:ascii="仿宋" w:hAnsi="仿宋" w:eastAsia="仿宋" w:cs="仿宋"/>
          <w:kern w:val="2"/>
          <w:sz w:val="30"/>
          <w:szCs w:val="30"/>
          <w:lang w:val="en-US" w:eastAsia="zh-CN" w:bidi="ar-SA"/>
        </w:rPr>
        <w:t>》全文进行了检查梳理，修改完善了个别条文，并删除了</w:t>
      </w:r>
      <w:bookmarkStart w:id="1" w:name="_Toc16835"/>
      <w:r>
        <w:rPr>
          <w:rFonts w:hint="eastAsia" w:ascii="仿宋" w:hAnsi="仿宋" w:eastAsia="仿宋" w:cs="仿宋"/>
          <w:kern w:val="2"/>
          <w:sz w:val="30"/>
          <w:szCs w:val="30"/>
          <w:lang w:val="en-US" w:eastAsia="zh-CN" w:bidi="ar-SA"/>
        </w:rPr>
        <w:t>原资料性附录A</w:t>
      </w:r>
      <w:bookmarkEnd w:id="1"/>
      <w:r>
        <w:rPr>
          <w:rFonts w:hint="eastAsia" w:ascii="仿宋" w:hAnsi="仿宋" w:eastAsia="仿宋" w:cs="仿宋"/>
          <w:kern w:val="2"/>
          <w:sz w:val="30"/>
          <w:szCs w:val="30"/>
          <w:lang w:val="en-US" w:eastAsia="zh-CN" w:bidi="ar-SA"/>
        </w:rPr>
        <w:t>“</w:t>
      </w:r>
      <w:bookmarkStart w:id="2" w:name="_Toc25380"/>
      <w:r>
        <w:rPr>
          <w:rFonts w:hint="eastAsia" w:ascii="仿宋" w:hAnsi="仿宋" w:eastAsia="仿宋" w:cs="仿宋"/>
          <w:kern w:val="2"/>
          <w:sz w:val="30"/>
          <w:szCs w:val="30"/>
          <w:lang w:val="en-US" w:eastAsia="zh-CN" w:bidi="ar-SA"/>
        </w:rPr>
        <w:t>电子标志牌管理系统的通讯接口与数据格式</w:t>
      </w:r>
      <w:bookmarkEnd w:id="2"/>
      <w:r>
        <w:rPr>
          <w:rFonts w:hint="eastAsia" w:ascii="仿宋" w:hAnsi="仿宋" w:eastAsia="仿宋" w:cs="仿宋"/>
          <w:kern w:val="2"/>
          <w:sz w:val="30"/>
          <w:szCs w:val="30"/>
          <w:lang w:val="en-US" w:eastAsia="zh-CN" w:bidi="ar-SA"/>
        </w:rPr>
        <w:t>”。</w:t>
      </w:r>
    </w:p>
    <w:p w14:paraId="41BE780A">
      <w:pPr>
        <w:keepNext w:val="0"/>
        <w:keepLines w:val="0"/>
        <w:pageBreakBefore w:val="0"/>
        <w:widowControl w:val="0"/>
        <w:suppressLineNumbers w:val="0"/>
        <w:kinsoku/>
        <w:wordWrap/>
        <w:overflowPunct/>
        <w:topLinePunct w:val="0"/>
        <w:autoSpaceDE/>
        <w:autoSpaceDN/>
        <w:bidi w:val="0"/>
        <w:adjustRightInd/>
        <w:snapToGrid/>
        <w:ind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2025年8月20日，经四川省机械科技情报研究院查新和出具</w:t>
      </w:r>
      <w:r>
        <w:rPr>
          <w:rFonts w:hint="eastAsia" w:ascii="仿宋" w:hAnsi="仿宋" w:eastAsia="仿宋" w:cs="仿宋"/>
          <w:sz w:val="30"/>
          <w:szCs w:val="30"/>
          <w:lang w:val="en-US" w:eastAsia="zh-CN"/>
        </w:rPr>
        <w:t>《标准评估报告》，评估结论为：委托标准具有新颖性，但标准主要要素有不合理情况、编排格式有不符合情况、标准编制说明有不规范情况。</w:t>
      </w:r>
      <w:r>
        <w:rPr>
          <w:rFonts w:hint="eastAsia" w:ascii="仿宋" w:hAnsi="仿宋" w:eastAsia="仿宋" w:cs="仿宋"/>
          <w:kern w:val="2"/>
          <w:sz w:val="30"/>
          <w:szCs w:val="30"/>
          <w:lang w:val="en-US" w:eastAsia="zh-CN" w:bidi="ar-SA"/>
        </w:rPr>
        <w:t>编写组根据标准评估报告结论和GBT 1.1-2020，再次对《规范》进行全面检查修改，修正</w:t>
      </w:r>
      <w:bookmarkStart w:id="210" w:name="_GoBack"/>
      <w:bookmarkEnd w:id="210"/>
      <w:r>
        <w:rPr>
          <w:rFonts w:hint="eastAsia" w:ascii="仿宋" w:hAnsi="仿宋" w:eastAsia="仿宋" w:cs="仿宋"/>
          <w:kern w:val="2"/>
          <w:sz w:val="30"/>
          <w:szCs w:val="30"/>
          <w:lang w:val="en-US" w:eastAsia="zh-CN" w:bidi="ar-SA"/>
        </w:rPr>
        <w:t>完善了文稿错误和要素、格式等，补充了编制说明内容。</w:t>
      </w:r>
    </w:p>
    <w:p w14:paraId="24E5FB06">
      <w:pPr>
        <w:pStyle w:val="20"/>
        <w:keepNext w:val="0"/>
        <w:keepLines w:val="0"/>
        <w:pageBreakBefore w:val="0"/>
        <w:widowControl/>
        <w:numPr>
          <w:ilvl w:val="0"/>
          <w:numId w:val="3"/>
        </w:numPr>
        <w:kinsoku/>
        <w:wordWrap/>
        <w:overflowPunct/>
        <w:topLinePunct w:val="0"/>
        <w:autoSpaceDE w:val="0"/>
        <w:autoSpaceDN w:val="0"/>
        <w:bidi w:val="0"/>
        <w:adjustRightInd/>
        <w:snapToGrid/>
        <w:spacing w:line="400" w:lineRule="atLeast"/>
        <w:ind w:firstLine="420"/>
        <w:textAlignment w:val="auto"/>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采用国际标准和国外先进标准的程度</w:t>
      </w:r>
    </w:p>
    <w:p w14:paraId="436A5745">
      <w:pPr>
        <w:pStyle w:val="20"/>
        <w:keepNext w:val="0"/>
        <w:keepLines w:val="0"/>
        <w:pageBreakBefore w:val="0"/>
        <w:widowControl/>
        <w:numPr>
          <w:ilvl w:val="0"/>
          <w:numId w:val="0"/>
        </w:numPr>
        <w:kinsoku/>
        <w:wordWrap/>
        <w:overflowPunct/>
        <w:topLinePunct w:val="0"/>
        <w:autoSpaceDE w:val="0"/>
        <w:autoSpaceDN w:val="0"/>
        <w:bidi w:val="0"/>
        <w:adjustRightInd/>
        <w:snapToGrid/>
        <w:spacing w:line="400" w:lineRule="atLeast"/>
        <w:ind w:firstLine="600" w:firstLineChars="200"/>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本《规范》没有可采用的国际标准和国外先进标准。</w:t>
      </w:r>
    </w:p>
    <w:p w14:paraId="451A05B6">
      <w:pPr>
        <w:pStyle w:val="20"/>
        <w:keepNext w:val="0"/>
        <w:keepLines w:val="0"/>
        <w:pageBreakBefore w:val="0"/>
        <w:widowControl/>
        <w:numPr>
          <w:ilvl w:val="0"/>
          <w:numId w:val="3"/>
        </w:numPr>
        <w:kinsoku/>
        <w:wordWrap/>
        <w:overflowPunct/>
        <w:topLinePunct w:val="0"/>
        <w:autoSpaceDE w:val="0"/>
        <w:autoSpaceDN w:val="0"/>
        <w:bidi w:val="0"/>
        <w:adjustRightInd/>
        <w:snapToGrid/>
        <w:spacing w:line="400" w:lineRule="atLeast"/>
        <w:ind w:firstLine="42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与有关的现行法律、法规和强制性国家标准的关系</w:t>
      </w:r>
    </w:p>
    <w:p w14:paraId="6ECFFF53">
      <w:pPr>
        <w:keepNext w:val="0"/>
        <w:keepLines w:val="0"/>
        <w:pageBreakBefore w:val="0"/>
        <w:widowControl w:val="0"/>
        <w:kinsoku/>
        <w:wordWrap/>
        <w:overflowPunct/>
        <w:topLinePunct w:val="0"/>
        <w:autoSpaceDE/>
        <w:autoSpaceDN/>
        <w:bidi w:val="0"/>
        <w:adjustRightInd/>
        <w:snapToGrid/>
        <w:spacing w:line="240" w:lineRule="auto"/>
        <w:ind w:firstLine="600" w:firstLineChars="200"/>
        <w:textAlignment w:val="auto"/>
        <w:rPr>
          <w:rFonts w:hint="default"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本《规范》主要依据</w:t>
      </w:r>
      <w:r>
        <w:rPr>
          <w:rFonts w:hint="default" w:ascii="仿宋" w:hAnsi="仿宋" w:eastAsia="仿宋" w:cs="仿宋"/>
          <w:kern w:val="2"/>
          <w:sz w:val="30"/>
          <w:szCs w:val="30"/>
          <w:lang w:val="en-US" w:eastAsia="zh-CN" w:bidi="ar-SA"/>
        </w:rPr>
        <w:t>《中华人民共和国道路运输条例》（2022年国务院令第752号）</w:t>
      </w:r>
      <w:r>
        <w:rPr>
          <w:rFonts w:hint="eastAsia" w:ascii="仿宋" w:hAnsi="仿宋" w:eastAsia="仿宋" w:cs="仿宋"/>
          <w:kern w:val="2"/>
          <w:sz w:val="30"/>
          <w:szCs w:val="30"/>
          <w:lang w:val="en-US" w:eastAsia="zh-CN" w:bidi="ar-SA"/>
        </w:rPr>
        <w:t>和</w:t>
      </w:r>
      <w:r>
        <w:rPr>
          <w:rFonts w:hint="default" w:ascii="仿宋" w:hAnsi="仿宋" w:eastAsia="仿宋" w:cs="仿宋"/>
          <w:kern w:val="2"/>
          <w:sz w:val="30"/>
          <w:szCs w:val="30"/>
          <w:lang w:val="en-US" w:eastAsia="zh-CN" w:bidi="ar-SA"/>
        </w:rPr>
        <w:t>《道路旅客运输及客运站管理规定》（交通运输部令2023年第18号）</w:t>
      </w:r>
      <w:r>
        <w:rPr>
          <w:rFonts w:hint="eastAsia" w:ascii="仿宋" w:hAnsi="仿宋" w:eastAsia="仿宋" w:cs="仿宋"/>
          <w:kern w:val="2"/>
          <w:sz w:val="30"/>
          <w:szCs w:val="30"/>
          <w:lang w:val="en-US" w:eastAsia="zh-CN" w:bidi="ar-SA"/>
        </w:rPr>
        <w:t>编制。其中，前者</w:t>
      </w:r>
      <w:r>
        <w:rPr>
          <w:rFonts w:hint="default" w:ascii="仿宋" w:hAnsi="仿宋" w:eastAsia="仿宋" w:cs="仿宋"/>
          <w:kern w:val="2"/>
          <w:sz w:val="30"/>
          <w:szCs w:val="30"/>
          <w:lang w:val="en-US" w:eastAsia="zh-CN" w:bidi="ar-SA"/>
        </w:rPr>
        <w:t>规定从事</w:t>
      </w:r>
      <w:r>
        <w:rPr>
          <w:rFonts w:hint="eastAsia" w:ascii="仿宋" w:hAnsi="仿宋" w:eastAsia="仿宋" w:cs="仿宋"/>
          <w:kern w:val="2"/>
          <w:sz w:val="30"/>
          <w:szCs w:val="30"/>
          <w:lang w:val="en-US" w:eastAsia="zh-CN" w:bidi="ar-SA"/>
        </w:rPr>
        <w:t>道路</w:t>
      </w:r>
      <w:r>
        <w:rPr>
          <w:rFonts w:hint="default" w:ascii="仿宋" w:hAnsi="仿宋" w:eastAsia="仿宋" w:cs="仿宋"/>
          <w:kern w:val="2"/>
          <w:sz w:val="30"/>
          <w:szCs w:val="30"/>
          <w:lang w:val="en-US" w:eastAsia="zh-CN" w:bidi="ar-SA"/>
        </w:rPr>
        <w:t>客运经营</w:t>
      </w:r>
      <w:r>
        <w:rPr>
          <w:rFonts w:hint="eastAsia" w:ascii="仿宋" w:hAnsi="仿宋" w:eastAsia="仿宋" w:cs="仿宋"/>
          <w:kern w:val="2"/>
          <w:sz w:val="30"/>
          <w:szCs w:val="30"/>
          <w:lang w:val="en-US" w:eastAsia="zh-CN" w:bidi="ar-SA"/>
        </w:rPr>
        <w:t>必须事先取得相关</w:t>
      </w:r>
      <w:r>
        <w:rPr>
          <w:rFonts w:hint="default" w:ascii="仿宋" w:hAnsi="仿宋" w:eastAsia="仿宋" w:cs="仿宋"/>
          <w:kern w:val="2"/>
          <w:sz w:val="30"/>
          <w:szCs w:val="30"/>
          <w:lang w:val="en-US" w:eastAsia="zh-CN" w:bidi="ar-SA"/>
        </w:rPr>
        <w:t>人民政府交通运输主管部门</w:t>
      </w:r>
      <w:r>
        <w:rPr>
          <w:rFonts w:hint="eastAsia" w:ascii="仿宋" w:hAnsi="仿宋" w:eastAsia="仿宋" w:cs="仿宋"/>
          <w:kern w:val="2"/>
          <w:sz w:val="30"/>
          <w:szCs w:val="30"/>
          <w:lang w:val="en-US" w:eastAsia="zh-CN" w:bidi="ar-SA"/>
        </w:rPr>
        <w:t>的行政许可；后者规定</w:t>
      </w:r>
      <w:r>
        <w:rPr>
          <w:rFonts w:hint="default" w:ascii="仿宋" w:hAnsi="仿宋" w:eastAsia="仿宋" w:cs="仿宋"/>
          <w:kern w:val="2"/>
          <w:sz w:val="30"/>
          <w:szCs w:val="30"/>
          <w:lang w:val="en-US" w:eastAsia="zh-CN" w:bidi="ar-SA"/>
        </w:rPr>
        <w:t>道路运输管理机构应当为</w:t>
      </w:r>
      <w:r>
        <w:rPr>
          <w:rFonts w:hint="eastAsia" w:ascii="仿宋" w:hAnsi="仿宋" w:eastAsia="仿宋" w:cs="仿宋"/>
          <w:kern w:val="2"/>
          <w:sz w:val="30"/>
          <w:szCs w:val="30"/>
          <w:lang w:val="en-US" w:eastAsia="zh-CN" w:bidi="ar-SA"/>
        </w:rPr>
        <w:t>道路</w:t>
      </w:r>
      <w:r>
        <w:rPr>
          <w:rFonts w:hint="default" w:ascii="仿宋" w:hAnsi="仿宋" w:eastAsia="仿宋" w:cs="仿宋"/>
          <w:kern w:val="2"/>
          <w:sz w:val="30"/>
          <w:szCs w:val="30"/>
          <w:lang w:val="en-US" w:eastAsia="zh-CN" w:bidi="ar-SA"/>
        </w:rPr>
        <w:t>客运</w:t>
      </w:r>
      <w:r>
        <w:rPr>
          <w:rFonts w:hint="eastAsia" w:ascii="仿宋" w:hAnsi="仿宋" w:eastAsia="仿宋" w:cs="仿宋"/>
          <w:kern w:val="2"/>
          <w:sz w:val="30"/>
          <w:szCs w:val="30"/>
          <w:lang w:val="en-US" w:eastAsia="zh-CN" w:bidi="ar-SA"/>
        </w:rPr>
        <w:t>车辆</w:t>
      </w:r>
      <w:r>
        <w:rPr>
          <w:rFonts w:hint="default" w:ascii="仿宋" w:hAnsi="仿宋" w:eastAsia="仿宋" w:cs="仿宋"/>
          <w:kern w:val="2"/>
          <w:sz w:val="30"/>
          <w:szCs w:val="30"/>
          <w:lang w:val="en-US" w:eastAsia="zh-CN" w:bidi="ar-SA"/>
        </w:rPr>
        <w:t>配发</w:t>
      </w:r>
      <w:r>
        <w:rPr>
          <w:rFonts w:hint="eastAsia" w:ascii="仿宋" w:hAnsi="仿宋" w:eastAsia="仿宋" w:cs="仿宋"/>
          <w:kern w:val="2"/>
          <w:sz w:val="30"/>
          <w:szCs w:val="30"/>
          <w:lang w:val="en-US" w:eastAsia="zh-CN" w:bidi="ar-SA"/>
        </w:rPr>
        <w:t>相应</w:t>
      </w:r>
      <w:r>
        <w:rPr>
          <w:rFonts w:hint="default" w:ascii="仿宋" w:hAnsi="仿宋" w:eastAsia="仿宋" w:cs="仿宋"/>
          <w:kern w:val="2"/>
          <w:sz w:val="30"/>
          <w:szCs w:val="30"/>
          <w:lang w:val="en-US" w:eastAsia="zh-CN" w:bidi="ar-SA"/>
        </w:rPr>
        <w:t>客运标志牌</w:t>
      </w:r>
      <w:r>
        <w:rPr>
          <w:rFonts w:hint="eastAsia" w:ascii="仿宋" w:hAnsi="仿宋" w:eastAsia="仿宋" w:cs="仿宋"/>
          <w:kern w:val="2"/>
          <w:sz w:val="30"/>
          <w:szCs w:val="30"/>
          <w:lang w:val="en-US" w:eastAsia="zh-CN" w:bidi="ar-SA"/>
        </w:rPr>
        <w:t>，并规定了各类</w:t>
      </w:r>
      <w:r>
        <w:rPr>
          <w:rFonts w:hint="default" w:ascii="仿宋" w:hAnsi="仿宋" w:eastAsia="仿宋" w:cs="仿宋"/>
          <w:kern w:val="2"/>
          <w:sz w:val="30"/>
          <w:szCs w:val="30"/>
          <w:lang w:val="en-US" w:eastAsia="zh-CN" w:bidi="ar-SA"/>
        </w:rPr>
        <w:t>客运标志牌</w:t>
      </w:r>
      <w:r>
        <w:rPr>
          <w:rFonts w:hint="eastAsia" w:ascii="仿宋" w:hAnsi="仿宋" w:eastAsia="仿宋" w:cs="仿宋"/>
          <w:kern w:val="2"/>
          <w:sz w:val="30"/>
          <w:szCs w:val="30"/>
          <w:lang w:val="en-US" w:eastAsia="zh-CN" w:bidi="ar-SA"/>
        </w:rPr>
        <w:t>的基本样式和内容</w:t>
      </w:r>
      <w:r>
        <w:rPr>
          <w:rFonts w:hint="default" w:ascii="仿宋" w:hAnsi="仿宋" w:eastAsia="仿宋" w:cs="仿宋"/>
          <w:kern w:val="2"/>
          <w:sz w:val="30"/>
          <w:szCs w:val="30"/>
          <w:lang w:val="en-US" w:eastAsia="zh-CN" w:bidi="ar-SA"/>
        </w:rPr>
        <w:t>。</w:t>
      </w:r>
      <w:r>
        <w:rPr>
          <w:rFonts w:hint="eastAsia" w:ascii="仿宋" w:hAnsi="仿宋" w:eastAsia="仿宋" w:cs="仿宋"/>
          <w:kern w:val="2"/>
          <w:sz w:val="30"/>
          <w:szCs w:val="30"/>
          <w:lang w:val="en-US" w:eastAsia="zh-CN" w:bidi="ar-SA"/>
        </w:rPr>
        <w:t>本《规范》规定了以LED电子显示方式实现</w:t>
      </w:r>
      <w:r>
        <w:rPr>
          <w:rFonts w:hint="default" w:ascii="仿宋" w:hAnsi="仿宋" w:eastAsia="仿宋" w:cs="仿宋"/>
          <w:kern w:val="2"/>
          <w:sz w:val="30"/>
          <w:szCs w:val="30"/>
          <w:lang w:val="en-US" w:eastAsia="zh-CN" w:bidi="ar-SA"/>
        </w:rPr>
        <w:t>客运标志牌</w:t>
      </w:r>
      <w:r>
        <w:rPr>
          <w:rFonts w:hint="eastAsia" w:ascii="仿宋" w:hAnsi="仿宋" w:eastAsia="仿宋" w:cs="仿宋"/>
          <w:kern w:val="2"/>
          <w:sz w:val="30"/>
          <w:szCs w:val="30"/>
          <w:lang w:val="en-US" w:eastAsia="zh-CN" w:bidi="ar-SA"/>
        </w:rPr>
        <w:t>功能的管理技术要求，是对具体适用上述法规、规章的必要技术性补充。</w:t>
      </w:r>
    </w:p>
    <w:p w14:paraId="4779383F">
      <w:pPr>
        <w:pStyle w:val="20"/>
        <w:keepNext w:val="0"/>
        <w:keepLines w:val="0"/>
        <w:pageBreakBefore w:val="0"/>
        <w:widowControl/>
        <w:numPr>
          <w:ilvl w:val="0"/>
          <w:numId w:val="0"/>
        </w:numPr>
        <w:kinsoku/>
        <w:wordWrap/>
        <w:overflowPunct/>
        <w:topLinePunct w:val="0"/>
        <w:autoSpaceDE w:val="0"/>
        <w:autoSpaceDN w:val="0"/>
        <w:bidi w:val="0"/>
        <w:adjustRightInd/>
        <w:snapToGrid/>
        <w:spacing w:line="400" w:lineRule="atLeast"/>
        <w:ind w:firstLine="600" w:firstLineChars="200"/>
        <w:textAlignment w:val="auto"/>
        <w:rPr>
          <w:rFonts w:hint="eastAsia" w:ascii="仿宋" w:hAnsi="仿宋" w:eastAsia="仿宋" w:cs="仿宋"/>
          <w:b/>
          <w:bCs/>
          <w:sz w:val="32"/>
          <w:szCs w:val="32"/>
          <w:lang w:val="en-US" w:eastAsia="zh-CN"/>
        </w:rPr>
      </w:pPr>
      <w:r>
        <w:rPr>
          <w:rFonts w:hint="eastAsia" w:ascii="仿宋" w:hAnsi="仿宋" w:eastAsia="仿宋" w:cs="仿宋"/>
          <w:kern w:val="2"/>
          <w:sz w:val="30"/>
          <w:szCs w:val="30"/>
          <w:lang w:val="en-US" w:eastAsia="zh-CN" w:bidi="ar-SA"/>
        </w:rPr>
        <w:t>本《规范》除了由于需要采用LED电子屏显示文字符号而必须符合GB 18030的要求之外，其余引用的均为推荐性国家标准和行业标准，不涉及强制性国家标准。</w:t>
      </w:r>
    </w:p>
    <w:p w14:paraId="15C5DC4D">
      <w:pPr>
        <w:pStyle w:val="20"/>
        <w:keepNext w:val="0"/>
        <w:keepLines w:val="0"/>
        <w:pageBreakBefore w:val="0"/>
        <w:widowControl w:val="0"/>
        <w:numPr>
          <w:ilvl w:val="0"/>
          <w:numId w:val="3"/>
        </w:numPr>
        <w:kinsoku/>
        <w:wordWrap/>
        <w:overflowPunct/>
        <w:topLinePunct w:val="0"/>
        <w:autoSpaceDE w:val="0"/>
        <w:autoSpaceDN w:val="0"/>
        <w:bidi w:val="0"/>
        <w:adjustRightInd/>
        <w:snapToGrid/>
        <w:spacing w:line="400" w:lineRule="atLeast"/>
        <w:ind w:firstLine="42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重大分歧意见的处理经过和依据</w:t>
      </w:r>
    </w:p>
    <w:p w14:paraId="6B65ED6E">
      <w:pPr>
        <w:pStyle w:val="20"/>
        <w:keepNext w:val="0"/>
        <w:keepLines w:val="0"/>
        <w:pageBreakBefore w:val="0"/>
        <w:widowControl w:val="0"/>
        <w:numPr>
          <w:ilvl w:val="0"/>
          <w:numId w:val="0"/>
        </w:numPr>
        <w:kinsoku/>
        <w:wordWrap/>
        <w:overflowPunct/>
        <w:topLinePunct w:val="0"/>
        <w:autoSpaceDE w:val="0"/>
        <w:autoSpaceDN w:val="0"/>
        <w:bidi w:val="0"/>
        <w:adjustRightInd/>
        <w:snapToGrid/>
        <w:spacing w:line="400" w:lineRule="atLeast"/>
        <w:ind w:firstLine="600" w:firstLineChars="200"/>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本《规范》除了在立项过程中曾对标准名称及范围出现争议，认为原定《省际包车客运电子标志牌》的内容和适用范围过窄，不利于今后全行业的信息化发展和推广应用需要，并且最终以修改标准名称和内容方式予以解决之外，其余未出现过重大分歧意见。</w:t>
      </w:r>
    </w:p>
    <w:p w14:paraId="52BCA990">
      <w:pPr>
        <w:pStyle w:val="20"/>
        <w:keepNext w:val="0"/>
        <w:keepLines w:val="0"/>
        <w:pageBreakBefore w:val="0"/>
        <w:widowControl/>
        <w:numPr>
          <w:ilvl w:val="0"/>
          <w:numId w:val="3"/>
        </w:numPr>
        <w:kinsoku/>
        <w:wordWrap/>
        <w:overflowPunct/>
        <w:topLinePunct w:val="0"/>
        <w:autoSpaceDE w:val="0"/>
        <w:autoSpaceDN w:val="0"/>
        <w:bidi w:val="0"/>
        <w:adjustRightInd/>
        <w:snapToGrid/>
        <w:spacing w:line="400" w:lineRule="atLeast"/>
        <w:ind w:firstLine="42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作为强制性标准或推荐性标准的建议</w:t>
      </w:r>
    </w:p>
    <w:p w14:paraId="68D90679">
      <w:pPr>
        <w:pStyle w:val="20"/>
        <w:keepNext w:val="0"/>
        <w:keepLines w:val="0"/>
        <w:pageBreakBefore w:val="0"/>
        <w:widowControl/>
        <w:numPr>
          <w:ilvl w:val="0"/>
          <w:numId w:val="0"/>
        </w:numPr>
        <w:kinsoku/>
        <w:wordWrap/>
        <w:overflowPunct/>
        <w:topLinePunct w:val="0"/>
        <w:autoSpaceDE w:val="0"/>
        <w:autoSpaceDN w:val="0"/>
        <w:bidi w:val="0"/>
        <w:adjustRightInd/>
        <w:snapToGrid/>
        <w:spacing w:line="400" w:lineRule="atLeast"/>
        <w:ind w:firstLine="600" w:firstLineChars="200"/>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本《规范》以地方标准形式发布，建议作为推荐性标准。</w:t>
      </w:r>
    </w:p>
    <w:p w14:paraId="2160CD93">
      <w:pPr>
        <w:pStyle w:val="20"/>
        <w:keepNext w:val="0"/>
        <w:keepLines w:val="0"/>
        <w:pageBreakBefore w:val="0"/>
        <w:widowControl/>
        <w:numPr>
          <w:ilvl w:val="0"/>
          <w:numId w:val="3"/>
        </w:numPr>
        <w:kinsoku/>
        <w:wordWrap/>
        <w:overflowPunct/>
        <w:topLinePunct w:val="0"/>
        <w:autoSpaceDE w:val="0"/>
        <w:autoSpaceDN w:val="0"/>
        <w:bidi w:val="0"/>
        <w:adjustRightInd/>
        <w:snapToGrid/>
        <w:spacing w:line="400" w:lineRule="atLeast"/>
        <w:ind w:firstLine="420"/>
        <w:textAlignment w:val="auto"/>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实施标准的要求和措施建议</w:t>
      </w:r>
    </w:p>
    <w:p w14:paraId="049E4DD7">
      <w:pPr>
        <w:pStyle w:val="20"/>
        <w:keepNext w:val="0"/>
        <w:keepLines w:val="0"/>
        <w:pageBreakBefore w:val="0"/>
        <w:widowControl/>
        <w:numPr>
          <w:ilvl w:val="0"/>
          <w:numId w:val="0"/>
        </w:numPr>
        <w:kinsoku/>
        <w:wordWrap/>
        <w:overflowPunct/>
        <w:topLinePunct w:val="0"/>
        <w:autoSpaceDE w:val="0"/>
        <w:autoSpaceDN w:val="0"/>
        <w:bidi w:val="0"/>
        <w:adjustRightInd/>
        <w:snapToGrid/>
        <w:spacing w:line="400" w:lineRule="atLeast"/>
        <w:ind w:firstLine="600" w:firstLineChars="200"/>
        <w:textAlignment w:val="auto"/>
        <w:rPr>
          <w:rFonts w:hint="default"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本《规范》的实施有赖于成渝两地道路运输管理部门建立并使用符合《规范》要求的电子标志牌管理系统，以及电子标志牌在两地道路客运行业的广泛应用。</w:t>
      </w:r>
    </w:p>
    <w:p w14:paraId="544D5A44">
      <w:pPr>
        <w:pStyle w:val="20"/>
        <w:keepNext w:val="0"/>
        <w:keepLines w:val="0"/>
        <w:pageBreakBefore w:val="0"/>
        <w:widowControl/>
        <w:numPr>
          <w:ilvl w:val="0"/>
          <w:numId w:val="0"/>
        </w:numPr>
        <w:kinsoku/>
        <w:wordWrap/>
        <w:overflowPunct/>
        <w:topLinePunct w:val="0"/>
        <w:autoSpaceDE w:val="0"/>
        <w:autoSpaceDN w:val="0"/>
        <w:bidi w:val="0"/>
        <w:adjustRightInd/>
        <w:snapToGrid/>
        <w:spacing w:line="400" w:lineRule="atLeast"/>
        <w:ind w:firstLine="600" w:firstLineChars="200"/>
        <w:textAlignment w:val="auto"/>
        <w:rPr>
          <w:rFonts w:hint="default"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本《规范》的主体内容前期已</w:t>
      </w:r>
      <w:r>
        <w:rPr>
          <w:rFonts w:hint="default" w:ascii="仿宋" w:hAnsi="仿宋" w:eastAsia="仿宋" w:cs="仿宋"/>
          <w:kern w:val="2"/>
          <w:sz w:val="30"/>
          <w:szCs w:val="30"/>
          <w:lang w:val="en-US" w:eastAsia="zh-CN" w:bidi="ar-SA"/>
        </w:rPr>
        <w:t>通过“四川省道路运输综合管理与服务信息平台工程三标段（电子线路牌系统及配套终端）”项目，在乐山</w:t>
      </w:r>
      <w:r>
        <w:rPr>
          <w:rFonts w:hint="eastAsia" w:ascii="仿宋" w:hAnsi="仿宋" w:eastAsia="仿宋" w:cs="仿宋"/>
          <w:kern w:val="2"/>
          <w:sz w:val="30"/>
          <w:szCs w:val="30"/>
          <w:lang w:val="en-US" w:eastAsia="zh-CN" w:bidi="ar-SA"/>
        </w:rPr>
        <w:t>、阿坝</w:t>
      </w:r>
      <w:r>
        <w:rPr>
          <w:rFonts w:hint="default" w:ascii="仿宋" w:hAnsi="仿宋" w:eastAsia="仿宋" w:cs="仿宋"/>
          <w:kern w:val="2"/>
          <w:sz w:val="30"/>
          <w:szCs w:val="30"/>
          <w:lang w:val="en-US" w:eastAsia="zh-CN" w:bidi="ar-SA"/>
        </w:rPr>
        <w:t>等8市</w:t>
      </w:r>
      <w:r>
        <w:rPr>
          <w:rFonts w:hint="eastAsia" w:ascii="仿宋" w:hAnsi="仿宋" w:eastAsia="仿宋" w:cs="仿宋"/>
          <w:kern w:val="2"/>
          <w:sz w:val="30"/>
          <w:szCs w:val="30"/>
          <w:lang w:val="en-US" w:eastAsia="zh-CN" w:bidi="ar-SA"/>
        </w:rPr>
        <w:t>（</w:t>
      </w:r>
      <w:r>
        <w:rPr>
          <w:rFonts w:hint="default" w:ascii="仿宋" w:hAnsi="仿宋" w:eastAsia="仿宋" w:cs="仿宋"/>
          <w:kern w:val="2"/>
          <w:sz w:val="30"/>
          <w:szCs w:val="30"/>
          <w:lang w:val="en-US" w:eastAsia="zh-CN" w:bidi="ar-SA"/>
        </w:rPr>
        <w:t>州</w:t>
      </w:r>
      <w:r>
        <w:rPr>
          <w:rFonts w:hint="eastAsia" w:ascii="仿宋" w:hAnsi="仿宋" w:eastAsia="仿宋" w:cs="仿宋"/>
          <w:kern w:val="2"/>
          <w:sz w:val="30"/>
          <w:szCs w:val="30"/>
          <w:lang w:val="en-US" w:eastAsia="zh-CN" w:bidi="ar-SA"/>
        </w:rPr>
        <w:t>）试点应用，有</w:t>
      </w:r>
      <w:r>
        <w:rPr>
          <w:rFonts w:hint="default" w:ascii="仿宋" w:hAnsi="仿宋" w:eastAsia="仿宋" w:cs="仿宋"/>
          <w:kern w:val="2"/>
          <w:sz w:val="30"/>
          <w:szCs w:val="30"/>
          <w:lang w:val="en-US" w:eastAsia="zh-CN" w:bidi="ar-SA"/>
        </w:rPr>
        <w:t>2500</w:t>
      </w:r>
      <w:r>
        <w:rPr>
          <w:rFonts w:hint="eastAsia" w:ascii="仿宋" w:hAnsi="仿宋" w:eastAsia="仿宋" w:cs="仿宋"/>
          <w:kern w:val="2"/>
          <w:sz w:val="30"/>
          <w:szCs w:val="30"/>
          <w:lang w:val="en-US" w:eastAsia="zh-CN" w:bidi="ar-SA"/>
        </w:rPr>
        <w:t>余</w:t>
      </w:r>
      <w:r>
        <w:rPr>
          <w:rFonts w:hint="default" w:ascii="仿宋" w:hAnsi="仿宋" w:eastAsia="仿宋" w:cs="仿宋"/>
          <w:kern w:val="2"/>
          <w:sz w:val="30"/>
          <w:szCs w:val="30"/>
          <w:lang w:val="en-US" w:eastAsia="zh-CN" w:bidi="ar-SA"/>
        </w:rPr>
        <w:t>辆</w:t>
      </w:r>
      <w:r>
        <w:rPr>
          <w:rFonts w:hint="eastAsia" w:ascii="仿宋" w:hAnsi="仿宋" w:eastAsia="仿宋" w:cs="仿宋"/>
          <w:kern w:val="2"/>
          <w:sz w:val="30"/>
          <w:szCs w:val="30"/>
          <w:lang w:val="en-US" w:eastAsia="zh-CN" w:bidi="ar-SA"/>
        </w:rPr>
        <w:t>客运</w:t>
      </w:r>
      <w:r>
        <w:rPr>
          <w:rFonts w:hint="default" w:ascii="仿宋" w:hAnsi="仿宋" w:eastAsia="仿宋" w:cs="仿宋"/>
          <w:kern w:val="2"/>
          <w:sz w:val="30"/>
          <w:szCs w:val="30"/>
          <w:lang w:val="en-US" w:eastAsia="zh-CN" w:bidi="ar-SA"/>
        </w:rPr>
        <w:t>车安装电子线路牌</w:t>
      </w:r>
      <w:r>
        <w:rPr>
          <w:rFonts w:hint="eastAsia" w:ascii="仿宋" w:hAnsi="仿宋" w:eastAsia="仿宋" w:cs="仿宋"/>
          <w:kern w:val="2"/>
          <w:sz w:val="30"/>
          <w:szCs w:val="30"/>
          <w:lang w:val="en-US" w:eastAsia="zh-CN" w:bidi="ar-SA"/>
        </w:rPr>
        <w:t>接入系统运行，经过近3年试点，</w:t>
      </w:r>
      <w:r>
        <w:rPr>
          <w:rFonts w:hint="default" w:ascii="仿宋" w:hAnsi="仿宋" w:eastAsia="仿宋" w:cs="仿宋"/>
          <w:kern w:val="2"/>
          <w:sz w:val="30"/>
          <w:szCs w:val="30"/>
          <w:lang w:val="en-US" w:eastAsia="zh-CN" w:bidi="ar-SA"/>
        </w:rPr>
        <w:t>已</w:t>
      </w:r>
      <w:r>
        <w:rPr>
          <w:rFonts w:hint="eastAsia" w:ascii="仿宋" w:hAnsi="仿宋" w:eastAsia="仿宋" w:cs="仿宋"/>
          <w:kern w:val="2"/>
          <w:sz w:val="30"/>
          <w:szCs w:val="30"/>
          <w:lang w:val="en-US" w:eastAsia="zh-CN" w:bidi="ar-SA"/>
        </w:rPr>
        <w:t>就</w:t>
      </w:r>
      <w:r>
        <w:rPr>
          <w:rFonts w:hint="default" w:ascii="仿宋" w:hAnsi="仿宋" w:eastAsia="仿宋" w:cs="仿宋"/>
          <w:kern w:val="2"/>
          <w:sz w:val="30"/>
          <w:szCs w:val="30"/>
          <w:lang w:val="en-US" w:eastAsia="zh-CN" w:bidi="ar-SA"/>
        </w:rPr>
        <w:t>电子线路牌</w:t>
      </w:r>
      <w:r>
        <w:rPr>
          <w:rFonts w:hint="eastAsia" w:ascii="仿宋" w:hAnsi="仿宋" w:eastAsia="仿宋" w:cs="仿宋"/>
          <w:kern w:val="2"/>
          <w:sz w:val="30"/>
          <w:szCs w:val="30"/>
          <w:lang w:val="en-US" w:eastAsia="zh-CN" w:bidi="ar-SA"/>
        </w:rPr>
        <w:t>的使用与管理积累</w:t>
      </w:r>
      <w:r>
        <w:rPr>
          <w:rFonts w:hint="default" w:ascii="仿宋" w:hAnsi="仿宋" w:eastAsia="仿宋" w:cs="仿宋"/>
          <w:kern w:val="2"/>
          <w:sz w:val="30"/>
          <w:szCs w:val="30"/>
          <w:lang w:val="en-US" w:eastAsia="zh-CN" w:bidi="ar-SA"/>
        </w:rPr>
        <w:t>成熟</w:t>
      </w:r>
      <w:r>
        <w:rPr>
          <w:rFonts w:hint="eastAsia" w:ascii="仿宋" w:hAnsi="仿宋" w:eastAsia="仿宋" w:cs="仿宋"/>
          <w:kern w:val="2"/>
          <w:sz w:val="30"/>
          <w:szCs w:val="30"/>
          <w:lang w:val="en-US" w:eastAsia="zh-CN" w:bidi="ar-SA"/>
        </w:rPr>
        <w:t>经验，</w:t>
      </w:r>
      <w:r>
        <w:rPr>
          <w:rFonts w:hint="default" w:ascii="仿宋" w:hAnsi="仿宋" w:eastAsia="仿宋" w:cs="仿宋"/>
          <w:kern w:val="2"/>
          <w:sz w:val="30"/>
          <w:szCs w:val="30"/>
          <w:lang w:val="en-US" w:eastAsia="zh-CN" w:bidi="ar-SA"/>
        </w:rPr>
        <w:t>并取得满意</w:t>
      </w:r>
      <w:r>
        <w:rPr>
          <w:rFonts w:hint="eastAsia" w:ascii="仿宋" w:hAnsi="仿宋" w:eastAsia="仿宋" w:cs="仿宋"/>
          <w:kern w:val="2"/>
          <w:sz w:val="30"/>
          <w:szCs w:val="30"/>
          <w:lang w:val="en-US" w:eastAsia="zh-CN" w:bidi="ar-SA"/>
        </w:rPr>
        <w:t>效果</w:t>
      </w:r>
      <w:r>
        <w:rPr>
          <w:rFonts w:hint="default" w:ascii="仿宋" w:hAnsi="仿宋" w:eastAsia="仿宋" w:cs="仿宋"/>
          <w:kern w:val="2"/>
          <w:sz w:val="30"/>
          <w:szCs w:val="30"/>
          <w:lang w:val="en-US" w:eastAsia="zh-CN" w:bidi="ar-SA"/>
        </w:rPr>
        <w:t>。</w:t>
      </w:r>
      <w:r>
        <w:rPr>
          <w:rFonts w:hint="eastAsia" w:ascii="仿宋" w:hAnsi="仿宋" w:eastAsia="仿宋" w:cs="仿宋"/>
          <w:kern w:val="2"/>
          <w:sz w:val="30"/>
          <w:szCs w:val="30"/>
          <w:lang w:val="en-US" w:eastAsia="zh-CN" w:bidi="ar-SA"/>
        </w:rPr>
        <w:t>建议下一步由川渝两地道路运输行业管理部门，按照</w:t>
      </w:r>
      <w:r>
        <w:rPr>
          <w:rFonts w:hint="default" w:ascii="仿宋" w:hAnsi="仿宋" w:eastAsia="仿宋" w:cs="仿宋"/>
          <w:kern w:val="2"/>
          <w:sz w:val="30"/>
          <w:szCs w:val="30"/>
          <w:lang w:val="en-US" w:eastAsia="zh-CN" w:bidi="ar-SA"/>
        </w:rPr>
        <w:t>《成渝地区双城经济圈综合交通运输发展规划》</w:t>
      </w:r>
      <w:r>
        <w:rPr>
          <w:rFonts w:hint="eastAsia" w:ascii="仿宋" w:hAnsi="仿宋" w:eastAsia="仿宋" w:cs="仿宋"/>
          <w:kern w:val="2"/>
          <w:sz w:val="30"/>
          <w:szCs w:val="30"/>
          <w:lang w:val="en-US" w:eastAsia="zh-CN" w:bidi="ar-SA"/>
        </w:rPr>
        <w:t>要求，建立统一标准的电子标志牌管理系统，引导各类型道路客运企业积极推广应用电子标志牌。</w:t>
      </w:r>
    </w:p>
    <w:p w14:paraId="0F0CAEC9">
      <w:pPr>
        <w:pStyle w:val="20"/>
        <w:keepNext w:val="0"/>
        <w:keepLines w:val="0"/>
        <w:pageBreakBefore w:val="0"/>
        <w:widowControl/>
        <w:numPr>
          <w:ilvl w:val="0"/>
          <w:numId w:val="3"/>
        </w:numPr>
        <w:kinsoku/>
        <w:wordWrap/>
        <w:overflowPunct/>
        <w:topLinePunct w:val="0"/>
        <w:autoSpaceDE w:val="0"/>
        <w:autoSpaceDN w:val="0"/>
        <w:bidi w:val="0"/>
        <w:adjustRightInd/>
        <w:snapToGrid/>
        <w:spacing w:line="400" w:lineRule="atLeast"/>
        <w:ind w:firstLine="420"/>
        <w:textAlignment w:val="auto"/>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废止现行有关标准的建议</w:t>
      </w:r>
    </w:p>
    <w:p w14:paraId="04D665B7">
      <w:pPr>
        <w:pStyle w:val="20"/>
        <w:keepNext w:val="0"/>
        <w:keepLines w:val="0"/>
        <w:pageBreakBefore w:val="0"/>
        <w:widowControl/>
        <w:numPr>
          <w:ilvl w:val="0"/>
          <w:numId w:val="0"/>
        </w:numPr>
        <w:kinsoku/>
        <w:wordWrap/>
        <w:overflowPunct/>
        <w:topLinePunct w:val="0"/>
        <w:autoSpaceDE w:val="0"/>
        <w:autoSpaceDN w:val="0"/>
        <w:bidi w:val="0"/>
        <w:adjustRightInd/>
        <w:snapToGrid/>
        <w:spacing w:line="400" w:lineRule="atLeast"/>
        <w:ind w:firstLine="600" w:firstLineChars="200"/>
        <w:textAlignment w:val="auto"/>
        <w:rPr>
          <w:rFonts w:hint="default" w:ascii="仿宋" w:hAnsi="仿宋" w:eastAsia="仿宋" w:cs="仿宋"/>
          <w:b/>
          <w:bCs/>
          <w:sz w:val="32"/>
          <w:szCs w:val="32"/>
          <w:lang w:val="en-US" w:eastAsia="zh-CN"/>
        </w:rPr>
      </w:pPr>
      <w:r>
        <w:rPr>
          <w:rFonts w:hint="eastAsia" w:ascii="仿宋" w:hAnsi="仿宋" w:eastAsia="仿宋" w:cs="仿宋"/>
          <w:kern w:val="2"/>
          <w:sz w:val="30"/>
          <w:szCs w:val="30"/>
          <w:lang w:val="en-US" w:eastAsia="zh-CN" w:bidi="ar-SA"/>
        </w:rPr>
        <w:t>本《规范》为新制定标准，无现行有关标准需要废止。</w:t>
      </w:r>
    </w:p>
    <w:p w14:paraId="785A2FFB">
      <w:pPr>
        <w:pStyle w:val="20"/>
        <w:keepNext w:val="0"/>
        <w:keepLines w:val="0"/>
        <w:pageBreakBefore w:val="0"/>
        <w:widowControl/>
        <w:numPr>
          <w:ilvl w:val="0"/>
          <w:numId w:val="3"/>
        </w:numPr>
        <w:kinsoku/>
        <w:wordWrap/>
        <w:overflowPunct/>
        <w:topLinePunct w:val="0"/>
        <w:autoSpaceDE w:val="0"/>
        <w:autoSpaceDN w:val="0"/>
        <w:bidi w:val="0"/>
        <w:adjustRightInd/>
        <w:snapToGrid/>
        <w:spacing w:line="400" w:lineRule="atLeast"/>
        <w:ind w:firstLine="420"/>
        <w:textAlignment w:val="auto"/>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其他应与说明的事项</w:t>
      </w:r>
    </w:p>
    <w:p w14:paraId="13CE4A5E">
      <w:pPr>
        <w:pStyle w:val="20"/>
        <w:keepNext w:val="0"/>
        <w:keepLines w:val="0"/>
        <w:pageBreakBefore w:val="0"/>
        <w:widowControl/>
        <w:numPr>
          <w:ilvl w:val="0"/>
          <w:numId w:val="0"/>
        </w:numPr>
        <w:kinsoku/>
        <w:wordWrap/>
        <w:overflowPunct/>
        <w:topLinePunct w:val="0"/>
        <w:autoSpaceDE w:val="0"/>
        <w:autoSpaceDN w:val="0"/>
        <w:bidi w:val="0"/>
        <w:adjustRightInd/>
        <w:snapToGrid/>
        <w:spacing w:line="400" w:lineRule="atLeast"/>
        <w:ind w:firstLine="600" w:firstLineChars="200"/>
        <w:textAlignment w:val="auto"/>
        <w:rPr>
          <w:rFonts w:hint="default"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无其他需要说明的事项。</w:t>
      </w:r>
    </w:p>
    <w:p w14:paraId="575F42BB">
      <w:pPr>
        <w:pStyle w:val="20"/>
        <w:keepNext w:val="0"/>
        <w:keepLines w:val="0"/>
        <w:pageBreakBefore w:val="0"/>
        <w:widowControl/>
        <w:numPr>
          <w:ilvl w:val="0"/>
          <w:numId w:val="3"/>
        </w:numPr>
        <w:kinsoku/>
        <w:wordWrap/>
        <w:overflowPunct/>
        <w:topLinePunct w:val="0"/>
        <w:autoSpaceDE w:val="0"/>
        <w:autoSpaceDN w:val="0"/>
        <w:bidi w:val="0"/>
        <w:adjustRightInd/>
        <w:snapToGrid/>
        <w:spacing w:line="400" w:lineRule="atLeast"/>
        <w:ind w:firstLine="420"/>
        <w:textAlignment w:val="auto"/>
        <w:rPr>
          <w:rFonts w:hint="default" w:ascii="仿宋" w:hAnsi="仿宋" w:eastAsia="仿宋" w:cs="仿宋"/>
          <w:b/>
          <w:bCs/>
          <w:kern w:val="0"/>
          <w:sz w:val="32"/>
          <w:szCs w:val="32"/>
          <w:lang w:val="en-US" w:eastAsia="zh-CN" w:bidi="ar-SA"/>
        </w:rPr>
      </w:pPr>
      <w:r>
        <w:rPr>
          <w:rFonts w:hint="eastAsia" w:ascii="仿宋" w:hAnsi="仿宋" w:eastAsia="仿宋" w:cs="仿宋"/>
          <w:b/>
          <w:bCs/>
          <w:kern w:val="0"/>
          <w:sz w:val="32"/>
          <w:szCs w:val="32"/>
          <w:lang w:val="en-US" w:eastAsia="zh-CN" w:bidi="ar-SA"/>
        </w:rPr>
        <w:t>标准主要内容</w:t>
      </w:r>
    </w:p>
    <w:p w14:paraId="283D69E9">
      <w:pPr>
        <w:keepNext w:val="0"/>
        <w:keepLines w:val="0"/>
        <w:pageBreakBefore w:val="0"/>
        <w:widowControl w:val="0"/>
        <w:tabs>
          <w:tab w:val="left" w:pos="319"/>
        </w:tabs>
        <w:kinsoku/>
        <w:wordWrap/>
        <w:overflowPunct/>
        <w:topLinePunct w:val="0"/>
        <w:autoSpaceDE/>
        <w:autoSpaceDN/>
        <w:bidi w:val="0"/>
        <w:adjustRightInd/>
        <w:snapToGrid/>
        <w:spacing w:before="0" w:beforeLines="0" w:afterLines="0" w:line="24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kern w:val="2"/>
          <w:sz w:val="30"/>
          <w:szCs w:val="30"/>
          <w:lang w:val="en-US" w:eastAsia="zh-CN" w:bidi="ar-SA"/>
        </w:rPr>
        <w:t>《规范》分为</w:t>
      </w:r>
      <w:r>
        <w:rPr>
          <w:rFonts w:hint="default" w:ascii="仿宋" w:hAnsi="仿宋" w:eastAsia="仿宋" w:cs="仿宋"/>
          <w:kern w:val="2"/>
          <w:sz w:val="30"/>
          <w:szCs w:val="30"/>
          <w:lang w:val="en-US" w:eastAsia="zh-CN" w:bidi="ar-SA"/>
        </w:rPr>
        <w:fldChar w:fldCharType="begin"/>
      </w:r>
      <w:r>
        <w:rPr>
          <w:rFonts w:hint="default" w:ascii="仿宋" w:hAnsi="仿宋" w:eastAsia="仿宋" w:cs="仿宋"/>
          <w:kern w:val="2"/>
          <w:sz w:val="30"/>
          <w:szCs w:val="30"/>
          <w:lang w:val="en-US" w:eastAsia="zh-CN" w:bidi="ar-SA"/>
        </w:rPr>
        <w:instrText xml:space="preserve"> HYPERLINK \l _Toc20539 </w:instrText>
      </w:r>
      <w:r>
        <w:rPr>
          <w:rFonts w:hint="default" w:ascii="仿宋" w:hAnsi="仿宋" w:eastAsia="仿宋" w:cs="仿宋"/>
          <w:kern w:val="2"/>
          <w:sz w:val="30"/>
          <w:szCs w:val="30"/>
          <w:lang w:val="en-US" w:eastAsia="zh-CN" w:bidi="ar-SA"/>
        </w:rPr>
        <w:fldChar w:fldCharType="separate"/>
      </w:r>
      <w:r>
        <w:rPr>
          <w:rFonts w:hint="eastAsia" w:ascii="仿宋" w:hAnsi="仿宋" w:eastAsia="仿宋" w:cs="仿宋"/>
          <w:kern w:val="2"/>
          <w:sz w:val="30"/>
          <w:szCs w:val="30"/>
          <w:lang w:val="en-US" w:eastAsia="zh-CN" w:bidi="ar-SA"/>
        </w:rPr>
        <w:t>范围</w:t>
      </w:r>
      <w:r>
        <w:rPr>
          <w:rFonts w:hint="default" w:ascii="仿宋" w:hAnsi="仿宋" w:eastAsia="仿宋" w:cs="仿宋"/>
          <w:kern w:val="2"/>
          <w:sz w:val="30"/>
          <w:szCs w:val="30"/>
          <w:lang w:val="en-US" w:eastAsia="zh-CN" w:bidi="ar-SA"/>
        </w:rPr>
        <w:fldChar w:fldCharType="end"/>
      </w:r>
      <w:r>
        <w:rPr>
          <w:rFonts w:hint="eastAsia" w:ascii="仿宋" w:hAnsi="仿宋" w:eastAsia="仿宋" w:cs="仿宋"/>
          <w:kern w:val="2"/>
          <w:sz w:val="30"/>
          <w:szCs w:val="30"/>
          <w:lang w:val="en-US" w:eastAsia="zh-CN" w:bidi="ar-SA"/>
        </w:rPr>
        <w:t>、</w:t>
      </w:r>
      <w:r>
        <w:rPr>
          <w:rFonts w:hint="default" w:ascii="仿宋" w:hAnsi="仿宋" w:eastAsia="仿宋" w:cs="仿宋"/>
          <w:kern w:val="2"/>
          <w:sz w:val="30"/>
          <w:szCs w:val="30"/>
          <w:lang w:val="en-US" w:eastAsia="zh-CN" w:bidi="ar-SA"/>
        </w:rPr>
        <w:fldChar w:fldCharType="begin"/>
      </w:r>
      <w:r>
        <w:rPr>
          <w:rFonts w:hint="default" w:ascii="仿宋" w:hAnsi="仿宋" w:eastAsia="仿宋" w:cs="仿宋"/>
          <w:kern w:val="2"/>
          <w:sz w:val="30"/>
          <w:szCs w:val="30"/>
          <w:lang w:val="en-US" w:eastAsia="zh-CN" w:bidi="ar-SA"/>
        </w:rPr>
        <w:instrText xml:space="preserve"> HYPERLINK \l _Toc6625 </w:instrText>
      </w:r>
      <w:r>
        <w:rPr>
          <w:rFonts w:hint="default" w:ascii="仿宋" w:hAnsi="仿宋" w:eastAsia="仿宋" w:cs="仿宋"/>
          <w:kern w:val="2"/>
          <w:sz w:val="30"/>
          <w:szCs w:val="30"/>
          <w:lang w:val="en-US" w:eastAsia="zh-CN" w:bidi="ar-SA"/>
        </w:rPr>
        <w:fldChar w:fldCharType="separate"/>
      </w:r>
      <w:r>
        <w:rPr>
          <w:rFonts w:hint="eastAsia" w:ascii="仿宋" w:hAnsi="仿宋" w:eastAsia="仿宋" w:cs="仿宋"/>
          <w:kern w:val="2"/>
          <w:sz w:val="30"/>
          <w:szCs w:val="30"/>
          <w:lang w:val="en-US" w:eastAsia="zh-CN" w:bidi="ar-SA"/>
        </w:rPr>
        <w:t>规范性引用文件</w:t>
      </w:r>
      <w:r>
        <w:rPr>
          <w:rFonts w:hint="default" w:ascii="仿宋" w:hAnsi="仿宋" w:eastAsia="仿宋" w:cs="仿宋"/>
          <w:kern w:val="2"/>
          <w:sz w:val="30"/>
          <w:szCs w:val="30"/>
          <w:lang w:val="en-US" w:eastAsia="zh-CN" w:bidi="ar-SA"/>
        </w:rPr>
        <w:fldChar w:fldCharType="end"/>
      </w:r>
      <w:r>
        <w:rPr>
          <w:rFonts w:hint="default" w:ascii="仿宋" w:hAnsi="仿宋" w:eastAsia="仿宋" w:cs="仿宋"/>
          <w:kern w:val="2"/>
          <w:sz w:val="30"/>
          <w:szCs w:val="30"/>
          <w:lang w:val="en-US" w:eastAsia="zh-CN" w:bidi="ar-SA"/>
        </w:rPr>
        <w:fldChar w:fldCharType="begin"/>
      </w:r>
      <w:r>
        <w:rPr>
          <w:rFonts w:hint="default" w:ascii="仿宋" w:hAnsi="仿宋" w:eastAsia="仿宋" w:cs="仿宋"/>
          <w:kern w:val="2"/>
          <w:sz w:val="30"/>
          <w:szCs w:val="30"/>
          <w:lang w:val="en-US" w:eastAsia="zh-CN" w:bidi="ar-SA"/>
        </w:rPr>
        <w:instrText xml:space="preserve"> HYPERLINK \l _Toc960 </w:instrText>
      </w:r>
      <w:r>
        <w:rPr>
          <w:rFonts w:hint="default" w:ascii="仿宋" w:hAnsi="仿宋" w:eastAsia="仿宋" w:cs="仿宋"/>
          <w:kern w:val="2"/>
          <w:sz w:val="30"/>
          <w:szCs w:val="30"/>
          <w:lang w:val="en-US" w:eastAsia="zh-CN" w:bidi="ar-SA"/>
        </w:rPr>
        <w:fldChar w:fldCharType="separate"/>
      </w:r>
      <w:r>
        <w:rPr>
          <w:rFonts w:hint="eastAsia" w:ascii="仿宋" w:hAnsi="仿宋" w:eastAsia="仿宋" w:cs="仿宋"/>
          <w:kern w:val="2"/>
          <w:sz w:val="30"/>
          <w:szCs w:val="30"/>
          <w:lang w:val="en-US" w:eastAsia="zh-CN" w:bidi="ar-SA"/>
        </w:rPr>
        <w:t>、术语和定义</w:t>
      </w:r>
      <w:r>
        <w:rPr>
          <w:rFonts w:hint="default" w:ascii="仿宋" w:hAnsi="仿宋" w:eastAsia="仿宋" w:cs="仿宋"/>
          <w:kern w:val="2"/>
          <w:sz w:val="30"/>
          <w:szCs w:val="30"/>
          <w:lang w:val="en-US" w:eastAsia="zh-CN" w:bidi="ar-SA"/>
        </w:rPr>
        <w:fldChar w:fldCharType="end"/>
      </w:r>
      <w:r>
        <w:rPr>
          <w:rFonts w:hint="default" w:ascii="仿宋" w:hAnsi="仿宋" w:eastAsia="仿宋" w:cs="仿宋"/>
          <w:kern w:val="2"/>
          <w:sz w:val="30"/>
          <w:szCs w:val="30"/>
          <w:lang w:val="en-US" w:eastAsia="zh-CN" w:bidi="ar-SA"/>
        </w:rPr>
        <w:fldChar w:fldCharType="begin"/>
      </w:r>
      <w:r>
        <w:rPr>
          <w:rFonts w:hint="default" w:ascii="仿宋" w:hAnsi="仿宋" w:eastAsia="仿宋" w:cs="仿宋"/>
          <w:kern w:val="2"/>
          <w:sz w:val="30"/>
          <w:szCs w:val="30"/>
          <w:lang w:val="en-US" w:eastAsia="zh-CN" w:bidi="ar-SA"/>
        </w:rPr>
        <w:instrText xml:space="preserve"> HYPERLINK \l _Toc11317 </w:instrText>
      </w:r>
      <w:r>
        <w:rPr>
          <w:rFonts w:hint="default" w:ascii="仿宋" w:hAnsi="仿宋" w:eastAsia="仿宋" w:cs="仿宋"/>
          <w:kern w:val="2"/>
          <w:sz w:val="30"/>
          <w:szCs w:val="30"/>
          <w:lang w:val="en-US" w:eastAsia="zh-CN" w:bidi="ar-SA"/>
        </w:rPr>
        <w:fldChar w:fldCharType="separate"/>
      </w:r>
      <w:r>
        <w:rPr>
          <w:rFonts w:hint="eastAsia" w:ascii="仿宋" w:hAnsi="仿宋" w:eastAsia="仿宋" w:cs="仿宋"/>
          <w:kern w:val="2"/>
          <w:sz w:val="30"/>
          <w:szCs w:val="30"/>
          <w:lang w:val="en-US" w:eastAsia="zh-CN" w:bidi="ar-SA"/>
        </w:rPr>
        <w:t>、缩略语</w:t>
      </w:r>
      <w:r>
        <w:rPr>
          <w:rFonts w:hint="default" w:ascii="仿宋" w:hAnsi="仿宋" w:eastAsia="仿宋" w:cs="仿宋"/>
          <w:kern w:val="2"/>
          <w:sz w:val="30"/>
          <w:szCs w:val="30"/>
          <w:lang w:val="en-US" w:eastAsia="zh-CN" w:bidi="ar-SA"/>
        </w:rPr>
        <w:fldChar w:fldCharType="end"/>
      </w:r>
      <w:r>
        <w:rPr>
          <w:rFonts w:hint="eastAsia" w:ascii="仿宋" w:hAnsi="仿宋" w:eastAsia="仿宋" w:cs="仿宋"/>
          <w:kern w:val="2"/>
          <w:sz w:val="30"/>
          <w:szCs w:val="30"/>
          <w:lang w:val="en-US" w:eastAsia="zh-CN" w:bidi="ar-SA"/>
        </w:rPr>
        <w:t>、</w:t>
      </w:r>
      <w:r>
        <w:rPr>
          <w:rFonts w:hint="default" w:ascii="仿宋" w:hAnsi="仿宋" w:eastAsia="仿宋" w:cs="仿宋"/>
          <w:kern w:val="2"/>
          <w:sz w:val="30"/>
          <w:szCs w:val="30"/>
          <w:lang w:val="en-US" w:eastAsia="zh-CN" w:bidi="ar-SA"/>
        </w:rPr>
        <w:fldChar w:fldCharType="begin"/>
      </w:r>
      <w:r>
        <w:rPr>
          <w:rFonts w:hint="default" w:ascii="仿宋" w:hAnsi="仿宋" w:eastAsia="仿宋" w:cs="仿宋"/>
          <w:kern w:val="2"/>
          <w:sz w:val="30"/>
          <w:szCs w:val="30"/>
          <w:lang w:val="en-US" w:eastAsia="zh-CN" w:bidi="ar-SA"/>
        </w:rPr>
        <w:instrText xml:space="preserve"> HYPERLINK \l _Toc14271 </w:instrText>
      </w:r>
      <w:r>
        <w:rPr>
          <w:rFonts w:hint="default" w:ascii="仿宋" w:hAnsi="仿宋" w:eastAsia="仿宋" w:cs="仿宋"/>
          <w:kern w:val="2"/>
          <w:sz w:val="30"/>
          <w:szCs w:val="30"/>
          <w:lang w:val="en-US" w:eastAsia="zh-CN" w:bidi="ar-SA"/>
        </w:rPr>
        <w:fldChar w:fldCharType="separate"/>
      </w:r>
      <w:r>
        <w:rPr>
          <w:rFonts w:hint="eastAsia" w:ascii="仿宋" w:hAnsi="仿宋" w:eastAsia="仿宋" w:cs="仿宋"/>
          <w:kern w:val="2"/>
          <w:sz w:val="30"/>
          <w:szCs w:val="30"/>
          <w:lang w:val="en-US" w:eastAsia="zh-CN" w:bidi="ar-SA"/>
        </w:rPr>
        <w:t>总则</w:t>
      </w:r>
      <w:r>
        <w:rPr>
          <w:rFonts w:hint="default" w:ascii="仿宋" w:hAnsi="仿宋" w:eastAsia="仿宋" w:cs="仿宋"/>
          <w:kern w:val="2"/>
          <w:sz w:val="30"/>
          <w:szCs w:val="30"/>
          <w:lang w:val="en-US" w:eastAsia="zh-CN" w:bidi="ar-SA"/>
        </w:rPr>
        <w:fldChar w:fldCharType="end"/>
      </w:r>
      <w:r>
        <w:rPr>
          <w:rFonts w:hint="eastAsia" w:ascii="仿宋" w:hAnsi="仿宋" w:eastAsia="仿宋" w:cs="仿宋"/>
          <w:kern w:val="2"/>
          <w:sz w:val="30"/>
          <w:szCs w:val="30"/>
          <w:lang w:val="en-US" w:eastAsia="zh-CN" w:bidi="ar-SA"/>
        </w:rPr>
        <w:t>、</w:t>
      </w:r>
      <w:r>
        <w:rPr>
          <w:rFonts w:hint="default" w:ascii="仿宋" w:hAnsi="仿宋" w:eastAsia="仿宋" w:cs="仿宋"/>
          <w:kern w:val="2"/>
          <w:sz w:val="30"/>
          <w:szCs w:val="30"/>
          <w:lang w:val="en-US" w:eastAsia="zh-CN" w:bidi="ar-SA"/>
        </w:rPr>
        <w:fldChar w:fldCharType="begin"/>
      </w:r>
      <w:r>
        <w:rPr>
          <w:rFonts w:hint="default" w:ascii="仿宋" w:hAnsi="仿宋" w:eastAsia="仿宋" w:cs="仿宋"/>
          <w:kern w:val="2"/>
          <w:sz w:val="30"/>
          <w:szCs w:val="30"/>
          <w:lang w:val="en-US" w:eastAsia="zh-CN" w:bidi="ar-SA"/>
        </w:rPr>
        <w:instrText xml:space="preserve"> HYPERLINK \l _Toc20929 </w:instrText>
      </w:r>
      <w:r>
        <w:rPr>
          <w:rFonts w:hint="default" w:ascii="仿宋" w:hAnsi="仿宋" w:eastAsia="仿宋" w:cs="仿宋"/>
          <w:kern w:val="2"/>
          <w:sz w:val="30"/>
          <w:szCs w:val="30"/>
          <w:lang w:val="en-US" w:eastAsia="zh-CN" w:bidi="ar-SA"/>
        </w:rPr>
        <w:fldChar w:fldCharType="separate"/>
      </w:r>
      <w:r>
        <w:rPr>
          <w:rFonts w:hint="eastAsia" w:ascii="仿宋" w:hAnsi="仿宋" w:eastAsia="仿宋" w:cs="仿宋"/>
          <w:kern w:val="2"/>
          <w:sz w:val="30"/>
          <w:szCs w:val="30"/>
          <w:lang w:val="en-US" w:eastAsia="zh-CN" w:bidi="ar-SA"/>
        </w:rPr>
        <w:t>显示信息</w:t>
      </w:r>
      <w:r>
        <w:rPr>
          <w:rFonts w:hint="default" w:ascii="仿宋" w:hAnsi="仿宋" w:eastAsia="仿宋" w:cs="仿宋"/>
          <w:kern w:val="2"/>
          <w:sz w:val="30"/>
          <w:szCs w:val="30"/>
          <w:lang w:val="en-US" w:eastAsia="zh-CN" w:bidi="ar-SA"/>
        </w:rPr>
        <w:fldChar w:fldCharType="end"/>
      </w:r>
      <w:r>
        <w:rPr>
          <w:rFonts w:hint="default" w:ascii="仿宋" w:hAnsi="仿宋" w:eastAsia="仿宋" w:cs="仿宋"/>
          <w:kern w:val="2"/>
          <w:sz w:val="30"/>
          <w:szCs w:val="30"/>
          <w:lang w:val="en-US" w:eastAsia="zh-CN" w:bidi="ar-SA"/>
        </w:rPr>
        <w:fldChar w:fldCharType="begin"/>
      </w:r>
      <w:r>
        <w:rPr>
          <w:rFonts w:hint="default" w:ascii="仿宋" w:hAnsi="仿宋" w:eastAsia="仿宋" w:cs="仿宋"/>
          <w:kern w:val="2"/>
          <w:sz w:val="30"/>
          <w:szCs w:val="30"/>
          <w:lang w:val="en-US" w:eastAsia="zh-CN" w:bidi="ar-SA"/>
        </w:rPr>
        <w:instrText xml:space="preserve"> HYPERLINK \l _Toc15299 </w:instrText>
      </w:r>
      <w:r>
        <w:rPr>
          <w:rFonts w:hint="default" w:ascii="仿宋" w:hAnsi="仿宋" w:eastAsia="仿宋" w:cs="仿宋"/>
          <w:kern w:val="2"/>
          <w:sz w:val="30"/>
          <w:szCs w:val="30"/>
          <w:lang w:val="en-US" w:eastAsia="zh-CN" w:bidi="ar-SA"/>
        </w:rPr>
        <w:fldChar w:fldCharType="separate"/>
      </w:r>
      <w:r>
        <w:rPr>
          <w:rFonts w:hint="eastAsia" w:ascii="仿宋" w:hAnsi="仿宋" w:eastAsia="仿宋" w:cs="仿宋"/>
          <w:kern w:val="2"/>
          <w:sz w:val="30"/>
          <w:szCs w:val="30"/>
          <w:lang w:val="en-US" w:eastAsia="zh-CN" w:bidi="ar-SA"/>
        </w:rPr>
        <w:t>、信息管理</w:t>
      </w:r>
      <w:r>
        <w:rPr>
          <w:rFonts w:hint="default" w:ascii="仿宋" w:hAnsi="仿宋" w:eastAsia="仿宋" w:cs="仿宋"/>
          <w:kern w:val="2"/>
          <w:sz w:val="30"/>
          <w:szCs w:val="30"/>
          <w:lang w:val="en-US" w:eastAsia="zh-CN" w:bidi="ar-SA"/>
        </w:rPr>
        <w:fldChar w:fldCharType="end"/>
      </w:r>
      <w:r>
        <w:rPr>
          <w:rFonts w:hint="eastAsia" w:ascii="仿宋" w:hAnsi="仿宋" w:eastAsia="仿宋" w:cs="仿宋"/>
          <w:kern w:val="2"/>
          <w:sz w:val="30"/>
          <w:szCs w:val="30"/>
          <w:lang w:val="en-US" w:eastAsia="zh-CN" w:bidi="ar-SA"/>
        </w:rPr>
        <w:t>等7个部分。</w:t>
      </w:r>
    </w:p>
    <w:p w14:paraId="3AD93B8B">
      <w:pPr>
        <w:keepNext w:val="0"/>
        <w:keepLines w:val="0"/>
        <w:pageBreakBefore w:val="0"/>
        <w:widowControl w:val="0"/>
        <w:tabs>
          <w:tab w:val="left" w:pos="319"/>
        </w:tabs>
        <w:kinsoku/>
        <w:wordWrap/>
        <w:overflowPunct/>
        <w:topLinePunct w:val="0"/>
        <w:autoSpaceDE/>
        <w:autoSpaceDN/>
        <w:bidi w:val="0"/>
        <w:adjustRightInd/>
        <w:snapToGrid/>
        <w:spacing w:before="0" w:beforeLines="0" w:afterLines="0" w:line="240" w:lineRule="auto"/>
        <w:ind w:firstLine="600" w:firstLineChars="200"/>
        <w:textAlignment w:val="auto"/>
        <w:rPr>
          <w:rFonts w:hint="default"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（一）</w:t>
      </w:r>
      <w:r>
        <w:rPr>
          <w:rFonts w:hint="default" w:ascii="仿宋" w:hAnsi="仿宋" w:eastAsia="仿宋" w:cs="仿宋"/>
          <w:kern w:val="2"/>
          <w:sz w:val="30"/>
          <w:szCs w:val="30"/>
          <w:lang w:val="en-US" w:eastAsia="zh-CN" w:bidi="ar-SA"/>
        </w:rPr>
        <w:fldChar w:fldCharType="begin"/>
      </w:r>
      <w:r>
        <w:rPr>
          <w:rFonts w:hint="default" w:ascii="仿宋" w:hAnsi="仿宋" w:eastAsia="仿宋" w:cs="仿宋"/>
          <w:kern w:val="2"/>
          <w:sz w:val="30"/>
          <w:szCs w:val="30"/>
          <w:lang w:val="en-US" w:eastAsia="zh-CN" w:bidi="ar-SA"/>
        </w:rPr>
        <w:instrText xml:space="preserve"> HYPERLINK \l _Toc20539 </w:instrText>
      </w:r>
      <w:r>
        <w:rPr>
          <w:rFonts w:hint="default" w:ascii="仿宋" w:hAnsi="仿宋" w:eastAsia="仿宋" w:cs="仿宋"/>
          <w:kern w:val="2"/>
          <w:sz w:val="30"/>
          <w:szCs w:val="30"/>
          <w:lang w:val="en-US" w:eastAsia="zh-CN" w:bidi="ar-SA"/>
        </w:rPr>
        <w:fldChar w:fldCharType="separate"/>
      </w:r>
      <w:r>
        <w:rPr>
          <w:rFonts w:hint="eastAsia" w:ascii="仿宋" w:hAnsi="仿宋" w:eastAsia="仿宋" w:cs="仿宋"/>
          <w:kern w:val="2"/>
          <w:sz w:val="30"/>
          <w:szCs w:val="30"/>
          <w:lang w:val="en-US" w:eastAsia="zh-CN" w:bidi="ar-SA"/>
        </w:rPr>
        <w:t>范围</w:t>
      </w:r>
      <w:r>
        <w:rPr>
          <w:rFonts w:hint="default" w:ascii="仿宋" w:hAnsi="仿宋" w:eastAsia="仿宋" w:cs="仿宋"/>
          <w:kern w:val="2"/>
          <w:sz w:val="30"/>
          <w:szCs w:val="30"/>
          <w:lang w:val="en-US" w:eastAsia="zh-CN" w:bidi="ar-SA"/>
        </w:rPr>
        <w:fldChar w:fldCharType="end"/>
      </w:r>
    </w:p>
    <w:p w14:paraId="034B1E46">
      <w:pPr>
        <w:keepNext w:val="0"/>
        <w:keepLines w:val="0"/>
        <w:pageBreakBefore w:val="0"/>
        <w:widowControl w:val="0"/>
        <w:tabs>
          <w:tab w:val="left" w:pos="319"/>
        </w:tabs>
        <w:kinsoku/>
        <w:wordWrap/>
        <w:overflowPunct/>
        <w:topLinePunct w:val="0"/>
        <w:autoSpaceDE/>
        <w:autoSpaceDN/>
        <w:bidi w:val="0"/>
        <w:adjustRightInd/>
        <w:snapToGrid/>
        <w:spacing w:before="0" w:beforeLines="0" w:afterLines="0" w:line="240" w:lineRule="auto"/>
        <w:ind w:firstLine="600" w:firstLineChars="200"/>
        <w:textAlignment w:val="auto"/>
        <w:rPr>
          <w:rFonts w:hint="default"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主要明确了《规范》的标准化对象和所覆盖方面为</w:t>
      </w:r>
      <w:r>
        <w:rPr>
          <w:rFonts w:hint="default" w:ascii="仿宋" w:hAnsi="仿宋" w:eastAsia="仿宋" w:cs="仿宋"/>
          <w:kern w:val="2"/>
          <w:sz w:val="30"/>
          <w:szCs w:val="30"/>
          <w:lang w:val="en-US" w:eastAsia="zh-CN" w:bidi="ar-SA"/>
        </w:rPr>
        <w:t>道路运输客运电子标志牌的</w:t>
      </w:r>
      <w:r>
        <w:rPr>
          <w:rFonts w:hint="eastAsia" w:ascii="仿宋" w:hAnsi="仿宋" w:eastAsia="仿宋" w:cs="仿宋"/>
          <w:kern w:val="2"/>
          <w:sz w:val="30"/>
          <w:szCs w:val="30"/>
          <w:lang w:val="en-US" w:eastAsia="zh-CN" w:bidi="ar-SA"/>
        </w:rPr>
        <w:t>安装、显示信息和信息管理；适用界限为</w:t>
      </w:r>
      <w:r>
        <w:rPr>
          <w:rFonts w:hint="default" w:ascii="仿宋" w:hAnsi="仿宋" w:eastAsia="仿宋" w:cs="仿宋"/>
          <w:kern w:val="2"/>
          <w:sz w:val="30"/>
          <w:szCs w:val="30"/>
          <w:lang w:val="en-US" w:eastAsia="zh-CN" w:bidi="ar-SA"/>
        </w:rPr>
        <w:t>四川省和重庆市的道路运输客运电子标志牌</w:t>
      </w:r>
      <w:r>
        <w:rPr>
          <w:rFonts w:hint="eastAsia" w:ascii="仿宋" w:hAnsi="仿宋" w:eastAsia="仿宋" w:cs="仿宋"/>
          <w:kern w:val="2"/>
          <w:sz w:val="30"/>
          <w:szCs w:val="30"/>
          <w:lang w:val="en-US" w:eastAsia="zh-CN" w:bidi="ar-SA"/>
        </w:rPr>
        <w:t>管理</w:t>
      </w:r>
      <w:r>
        <w:rPr>
          <w:rFonts w:hint="default" w:ascii="仿宋" w:hAnsi="仿宋" w:eastAsia="仿宋" w:cs="仿宋"/>
          <w:kern w:val="2"/>
          <w:sz w:val="30"/>
          <w:szCs w:val="30"/>
          <w:lang w:val="en-US" w:eastAsia="zh-CN" w:bidi="ar-SA"/>
        </w:rPr>
        <w:t>。</w:t>
      </w:r>
    </w:p>
    <w:p w14:paraId="66622834">
      <w:pPr>
        <w:keepNext w:val="0"/>
        <w:keepLines w:val="0"/>
        <w:pageBreakBefore w:val="0"/>
        <w:widowControl w:val="0"/>
        <w:tabs>
          <w:tab w:val="left" w:pos="319"/>
        </w:tabs>
        <w:kinsoku/>
        <w:wordWrap/>
        <w:overflowPunct/>
        <w:topLinePunct w:val="0"/>
        <w:autoSpaceDE/>
        <w:autoSpaceDN/>
        <w:bidi w:val="0"/>
        <w:adjustRightInd/>
        <w:snapToGrid/>
        <w:spacing w:before="0" w:beforeLines="0" w:afterLines="0" w:line="240" w:lineRule="auto"/>
        <w:ind w:firstLine="600" w:firstLineChars="200"/>
        <w:textAlignment w:val="auto"/>
        <w:rPr>
          <w:rFonts w:hint="default"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（二）</w:t>
      </w:r>
      <w:r>
        <w:rPr>
          <w:rFonts w:hint="default" w:ascii="仿宋" w:hAnsi="仿宋" w:eastAsia="仿宋" w:cs="仿宋"/>
          <w:kern w:val="2"/>
          <w:sz w:val="30"/>
          <w:szCs w:val="30"/>
          <w:lang w:val="en-US" w:eastAsia="zh-CN" w:bidi="ar-SA"/>
        </w:rPr>
        <w:fldChar w:fldCharType="begin"/>
      </w:r>
      <w:r>
        <w:rPr>
          <w:rFonts w:hint="default" w:ascii="仿宋" w:hAnsi="仿宋" w:eastAsia="仿宋" w:cs="仿宋"/>
          <w:kern w:val="2"/>
          <w:sz w:val="30"/>
          <w:szCs w:val="30"/>
          <w:lang w:val="en-US" w:eastAsia="zh-CN" w:bidi="ar-SA"/>
        </w:rPr>
        <w:instrText xml:space="preserve"> HYPERLINK \l _Toc6625 </w:instrText>
      </w:r>
      <w:r>
        <w:rPr>
          <w:rFonts w:hint="default" w:ascii="仿宋" w:hAnsi="仿宋" w:eastAsia="仿宋" w:cs="仿宋"/>
          <w:kern w:val="2"/>
          <w:sz w:val="30"/>
          <w:szCs w:val="30"/>
          <w:lang w:val="en-US" w:eastAsia="zh-CN" w:bidi="ar-SA"/>
        </w:rPr>
        <w:fldChar w:fldCharType="separate"/>
      </w:r>
      <w:r>
        <w:rPr>
          <w:rFonts w:hint="eastAsia" w:ascii="仿宋" w:hAnsi="仿宋" w:eastAsia="仿宋" w:cs="仿宋"/>
          <w:kern w:val="2"/>
          <w:sz w:val="30"/>
          <w:szCs w:val="30"/>
          <w:lang w:val="en-US" w:eastAsia="zh-CN" w:bidi="ar-SA"/>
        </w:rPr>
        <w:t>规范性引用文件</w:t>
      </w:r>
      <w:r>
        <w:rPr>
          <w:rFonts w:hint="default" w:ascii="仿宋" w:hAnsi="仿宋" w:eastAsia="仿宋" w:cs="仿宋"/>
          <w:kern w:val="2"/>
          <w:sz w:val="30"/>
          <w:szCs w:val="30"/>
          <w:lang w:val="en-US" w:eastAsia="zh-CN" w:bidi="ar-SA"/>
        </w:rPr>
        <w:fldChar w:fldCharType="end"/>
      </w:r>
    </w:p>
    <w:p w14:paraId="25B1A03A">
      <w:pPr>
        <w:keepNext w:val="0"/>
        <w:keepLines w:val="0"/>
        <w:pageBreakBefore w:val="0"/>
        <w:widowControl w:val="0"/>
        <w:tabs>
          <w:tab w:val="left" w:pos="319"/>
        </w:tabs>
        <w:kinsoku/>
        <w:wordWrap/>
        <w:overflowPunct/>
        <w:topLinePunct w:val="0"/>
        <w:autoSpaceDE/>
        <w:autoSpaceDN/>
        <w:bidi w:val="0"/>
        <w:adjustRightInd/>
        <w:snapToGrid/>
        <w:spacing w:before="0" w:beforeLines="0" w:afterLines="0" w:line="240" w:lineRule="auto"/>
        <w:ind w:firstLine="600" w:firstLineChars="200"/>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列出了在《规范》中进行了规范性引用的</w:t>
      </w:r>
      <w:r>
        <w:rPr>
          <w:rFonts w:hint="default" w:ascii="仿宋" w:hAnsi="仿宋" w:eastAsia="仿宋" w:cs="仿宋"/>
          <w:kern w:val="2"/>
          <w:sz w:val="30"/>
          <w:szCs w:val="30"/>
          <w:lang w:val="en-US" w:eastAsia="zh-CN" w:bidi="ar-SA"/>
        </w:rPr>
        <w:t>GB/T 8226</w:t>
      </w:r>
      <w:r>
        <w:rPr>
          <w:rFonts w:hint="eastAsia" w:ascii="仿宋" w:hAnsi="仿宋" w:eastAsia="仿宋" w:cs="仿宋"/>
          <w:kern w:val="2"/>
          <w:sz w:val="30"/>
          <w:szCs w:val="30"/>
          <w:lang w:val="en-US" w:eastAsia="zh-CN" w:bidi="ar-SA"/>
        </w:rPr>
        <w:t>《</w:t>
      </w:r>
      <w:r>
        <w:rPr>
          <w:rFonts w:hint="default" w:ascii="仿宋" w:hAnsi="仿宋" w:eastAsia="仿宋" w:cs="仿宋"/>
          <w:kern w:val="2"/>
          <w:sz w:val="30"/>
          <w:szCs w:val="30"/>
          <w:lang w:val="en-US" w:eastAsia="zh-CN" w:bidi="ar-SA"/>
        </w:rPr>
        <w:t>道路运输术语</w:t>
      </w:r>
      <w:r>
        <w:rPr>
          <w:rFonts w:hint="eastAsia" w:ascii="仿宋" w:hAnsi="仿宋" w:eastAsia="仿宋" w:cs="仿宋"/>
          <w:kern w:val="2"/>
          <w:sz w:val="30"/>
          <w:szCs w:val="30"/>
          <w:lang w:val="en-US" w:eastAsia="zh-CN" w:bidi="ar-SA"/>
        </w:rPr>
        <w:t>》、</w:t>
      </w:r>
      <w:r>
        <w:rPr>
          <w:rFonts w:hint="default" w:ascii="仿宋" w:hAnsi="仿宋" w:eastAsia="仿宋" w:cs="仿宋"/>
          <w:kern w:val="2"/>
          <w:sz w:val="30"/>
          <w:szCs w:val="30"/>
          <w:lang w:val="en-US" w:eastAsia="zh-CN" w:bidi="ar-SA"/>
        </w:rPr>
        <w:t>GB</w:t>
      </w:r>
      <w:r>
        <w:rPr>
          <w:rFonts w:hint="eastAsia" w:ascii="仿宋" w:hAnsi="仿宋" w:eastAsia="仿宋" w:cs="仿宋"/>
          <w:kern w:val="2"/>
          <w:sz w:val="30"/>
          <w:szCs w:val="30"/>
          <w:lang w:val="en-US" w:eastAsia="zh-CN" w:bidi="ar-SA"/>
        </w:rPr>
        <w:t xml:space="preserve"> </w:t>
      </w:r>
      <w:r>
        <w:rPr>
          <w:rFonts w:hint="default" w:ascii="仿宋" w:hAnsi="仿宋" w:eastAsia="仿宋" w:cs="仿宋"/>
          <w:kern w:val="2"/>
          <w:sz w:val="30"/>
          <w:szCs w:val="30"/>
          <w:lang w:val="en-US" w:eastAsia="zh-CN" w:bidi="ar-SA"/>
        </w:rPr>
        <w:t>18030</w:t>
      </w:r>
      <w:r>
        <w:rPr>
          <w:rFonts w:hint="eastAsia" w:ascii="仿宋" w:hAnsi="仿宋" w:eastAsia="仿宋" w:cs="仿宋"/>
          <w:kern w:val="2"/>
          <w:sz w:val="30"/>
          <w:szCs w:val="30"/>
          <w:lang w:val="en-US" w:eastAsia="zh-CN" w:bidi="ar-SA"/>
        </w:rPr>
        <w:t>《</w:t>
      </w:r>
      <w:r>
        <w:rPr>
          <w:rFonts w:hint="default" w:ascii="仿宋" w:hAnsi="仿宋" w:eastAsia="仿宋" w:cs="仿宋"/>
          <w:kern w:val="2"/>
          <w:sz w:val="30"/>
          <w:szCs w:val="30"/>
          <w:lang w:val="en-US" w:eastAsia="zh-CN" w:bidi="ar-SA"/>
        </w:rPr>
        <w:t>信息技术</w:t>
      </w:r>
      <w:r>
        <w:rPr>
          <w:rFonts w:hint="eastAsia" w:ascii="仿宋" w:hAnsi="仿宋" w:eastAsia="仿宋" w:cs="仿宋"/>
          <w:kern w:val="2"/>
          <w:sz w:val="30"/>
          <w:szCs w:val="30"/>
          <w:lang w:val="en-US" w:eastAsia="zh-CN" w:bidi="ar-SA"/>
        </w:rPr>
        <w:t xml:space="preserve"> </w:t>
      </w:r>
      <w:r>
        <w:rPr>
          <w:rFonts w:hint="default" w:ascii="仿宋" w:hAnsi="仿宋" w:eastAsia="仿宋" w:cs="仿宋"/>
          <w:kern w:val="2"/>
          <w:sz w:val="30"/>
          <w:szCs w:val="30"/>
          <w:lang w:val="en-US" w:eastAsia="zh-CN" w:bidi="ar-SA"/>
        </w:rPr>
        <w:t>中文编码字符集</w:t>
      </w:r>
      <w:r>
        <w:rPr>
          <w:rFonts w:hint="eastAsia" w:ascii="仿宋" w:hAnsi="仿宋" w:eastAsia="仿宋" w:cs="仿宋"/>
          <w:kern w:val="2"/>
          <w:sz w:val="30"/>
          <w:szCs w:val="30"/>
          <w:lang w:val="en-US" w:eastAsia="zh-CN" w:bidi="ar-SA"/>
        </w:rPr>
        <w:t>》、</w:t>
      </w:r>
      <w:r>
        <w:rPr>
          <w:rFonts w:hint="default" w:ascii="仿宋" w:hAnsi="仿宋" w:eastAsia="仿宋" w:cs="仿宋"/>
          <w:kern w:val="2"/>
          <w:sz w:val="30"/>
          <w:szCs w:val="30"/>
          <w:lang w:val="en-US" w:eastAsia="zh-CN" w:bidi="ar-SA"/>
        </w:rPr>
        <w:t>GB/T</w:t>
      </w:r>
      <w:r>
        <w:rPr>
          <w:rFonts w:hint="eastAsia" w:ascii="仿宋" w:hAnsi="仿宋" w:eastAsia="仿宋" w:cs="仿宋"/>
          <w:kern w:val="2"/>
          <w:sz w:val="30"/>
          <w:szCs w:val="30"/>
          <w:lang w:val="en-US" w:eastAsia="zh-CN" w:bidi="ar-SA"/>
        </w:rPr>
        <w:t xml:space="preserve"> </w:t>
      </w:r>
      <w:r>
        <w:rPr>
          <w:rFonts w:hint="default" w:ascii="仿宋" w:hAnsi="仿宋" w:eastAsia="仿宋" w:cs="仿宋"/>
          <w:kern w:val="2"/>
          <w:sz w:val="30"/>
          <w:szCs w:val="30"/>
          <w:lang w:val="en-US" w:eastAsia="zh-CN" w:bidi="ar-SA"/>
        </w:rPr>
        <w:t>1988</w:t>
      </w:r>
      <w:r>
        <w:rPr>
          <w:rFonts w:hint="eastAsia" w:ascii="仿宋" w:hAnsi="仿宋" w:eastAsia="仿宋" w:cs="仿宋"/>
          <w:kern w:val="2"/>
          <w:sz w:val="30"/>
          <w:szCs w:val="30"/>
          <w:lang w:val="en-US" w:eastAsia="zh-CN" w:bidi="ar-SA"/>
        </w:rPr>
        <w:t>《</w:t>
      </w:r>
      <w:r>
        <w:rPr>
          <w:rFonts w:hint="default" w:ascii="仿宋" w:hAnsi="仿宋" w:eastAsia="仿宋" w:cs="仿宋"/>
          <w:kern w:val="2"/>
          <w:sz w:val="30"/>
          <w:szCs w:val="30"/>
          <w:lang w:val="en-US" w:eastAsia="zh-CN" w:bidi="ar-SA"/>
        </w:rPr>
        <w:t>信息技术</w:t>
      </w:r>
      <w:r>
        <w:rPr>
          <w:rFonts w:hint="eastAsia" w:ascii="仿宋" w:hAnsi="仿宋" w:eastAsia="仿宋" w:cs="仿宋"/>
          <w:kern w:val="2"/>
          <w:sz w:val="30"/>
          <w:szCs w:val="30"/>
          <w:lang w:val="en-US" w:eastAsia="zh-CN" w:bidi="ar-SA"/>
        </w:rPr>
        <w:t xml:space="preserve"> </w:t>
      </w:r>
      <w:r>
        <w:rPr>
          <w:rFonts w:hint="default" w:ascii="仿宋" w:hAnsi="仿宋" w:eastAsia="仿宋" w:cs="仿宋"/>
          <w:kern w:val="2"/>
          <w:sz w:val="30"/>
          <w:szCs w:val="30"/>
          <w:lang w:val="en-US" w:eastAsia="zh-CN" w:bidi="ar-SA"/>
        </w:rPr>
        <w:t>信息交换用七位编码字符集</w:t>
      </w:r>
      <w:r>
        <w:rPr>
          <w:rFonts w:hint="eastAsia" w:ascii="仿宋" w:hAnsi="仿宋" w:eastAsia="仿宋" w:cs="仿宋"/>
          <w:kern w:val="2"/>
          <w:sz w:val="30"/>
          <w:szCs w:val="30"/>
          <w:lang w:val="en-US" w:eastAsia="zh-CN" w:bidi="ar-SA"/>
        </w:rPr>
        <w:t>》、GB/T 40204《追溯二维码技术通则》、</w:t>
      </w:r>
      <w:r>
        <w:rPr>
          <w:rFonts w:hint="default" w:ascii="仿宋" w:hAnsi="仿宋" w:eastAsia="仿宋" w:cs="仿宋"/>
          <w:kern w:val="2"/>
          <w:sz w:val="30"/>
          <w:szCs w:val="30"/>
          <w:lang w:val="en-US" w:eastAsia="zh-CN" w:bidi="ar-SA"/>
        </w:rPr>
        <w:t>GB/T</w:t>
      </w:r>
      <w:r>
        <w:rPr>
          <w:rFonts w:hint="eastAsia" w:ascii="仿宋" w:hAnsi="仿宋" w:eastAsia="仿宋" w:cs="仿宋"/>
          <w:kern w:val="2"/>
          <w:sz w:val="30"/>
          <w:szCs w:val="30"/>
          <w:lang w:val="en-US" w:eastAsia="zh-CN" w:bidi="ar-SA"/>
        </w:rPr>
        <w:t xml:space="preserve"> </w:t>
      </w:r>
      <w:r>
        <w:rPr>
          <w:rFonts w:hint="default" w:ascii="仿宋" w:hAnsi="仿宋" w:eastAsia="仿宋" w:cs="仿宋"/>
          <w:kern w:val="2"/>
          <w:sz w:val="30"/>
          <w:szCs w:val="30"/>
          <w:lang w:val="en-US" w:eastAsia="zh-CN" w:bidi="ar-SA"/>
        </w:rPr>
        <w:t>40684</w:t>
      </w:r>
      <w:r>
        <w:rPr>
          <w:rFonts w:hint="eastAsia" w:ascii="仿宋" w:hAnsi="仿宋" w:eastAsia="仿宋" w:cs="仿宋"/>
          <w:kern w:val="2"/>
          <w:sz w:val="30"/>
          <w:szCs w:val="30"/>
          <w:lang w:val="en-US" w:eastAsia="zh-CN" w:bidi="ar-SA"/>
        </w:rPr>
        <w:t>《</w:t>
      </w:r>
      <w:r>
        <w:rPr>
          <w:rFonts w:hint="default" w:ascii="仿宋" w:hAnsi="仿宋" w:eastAsia="仿宋" w:cs="仿宋"/>
          <w:kern w:val="2"/>
          <w:sz w:val="30"/>
          <w:szCs w:val="30"/>
          <w:lang w:val="en-US" w:eastAsia="zh-CN" w:bidi="ar-SA"/>
        </w:rPr>
        <w:t>物联网</w:t>
      </w:r>
      <w:r>
        <w:rPr>
          <w:rFonts w:hint="eastAsia" w:ascii="仿宋" w:hAnsi="仿宋" w:eastAsia="仿宋" w:cs="仿宋"/>
          <w:kern w:val="2"/>
          <w:sz w:val="30"/>
          <w:szCs w:val="30"/>
          <w:lang w:val="en-US" w:eastAsia="zh-CN" w:bidi="ar-SA"/>
        </w:rPr>
        <w:t xml:space="preserve"> </w:t>
      </w:r>
      <w:r>
        <w:rPr>
          <w:rFonts w:hint="default" w:ascii="仿宋" w:hAnsi="仿宋" w:eastAsia="仿宋" w:cs="仿宋"/>
          <w:kern w:val="2"/>
          <w:sz w:val="30"/>
          <w:szCs w:val="30"/>
          <w:lang w:val="en-US" w:eastAsia="zh-CN" w:bidi="ar-SA"/>
        </w:rPr>
        <w:t>信息共享和交换平台通用要求</w:t>
      </w:r>
      <w:r>
        <w:rPr>
          <w:rFonts w:hint="eastAsia" w:ascii="仿宋" w:hAnsi="仿宋" w:eastAsia="仿宋" w:cs="仿宋"/>
          <w:kern w:val="2"/>
          <w:sz w:val="30"/>
          <w:szCs w:val="30"/>
          <w:lang w:val="en-US" w:eastAsia="zh-CN" w:bidi="ar-SA"/>
        </w:rPr>
        <w:t>》、</w:t>
      </w:r>
      <w:r>
        <w:rPr>
          <w:rFonts w:hint="default" w:ascii="仿宋" w:hAnsi="仿宋" w:eastAsia="仿宋" w:cs="仿宋"/>
          <w:kern w:val="2"/>
          <w:sz w:val="30"/>
          <w:szCs w:val="30"/>
          <w:lang w:val="en-US" w:eastAsia="zh-CN" w:bidi="ar-SA"/>
        </w:rPr>
        <w:t>GB/T</w:t>
      </w:r>
      <w:r>
        <w:rPr>
          <w:rFonts w:hint="eastAsia" w:ascii="仿宋" w:hAnsi="仿宋" w:eastAsia="仿宋" w:cs="仿宋"/>
          <w:kern w:val="2"/>
          <w:sz w:val="30"/>
          <w:szCs w:val="30"/>
          <w:lang w:val="en-US" w:eastAsia="zh-CN" w:bidi="ar-SA"/>
        </w:rPr>
        <w:t xml:space="preserve"> </w:t>
      </w:r>
      <w:r>
        <w:rPr>
          <w:rFonts w:hint="default" w:ascii="仿宋" w:hAnsi="仿宋" w:eastAsia="仿宋" w:cs="仿宋"/>
          <w:kern w:val="2"/>
          <w:sz w:val="30"/>
          <w:szCs w:val="30"/>
          <w:lang w:val="en-US" w:eastAsia="zh-CN" w:bidi="ar-SA"/>
        </w:rPr>
        <w:t>41239</w:t>
      </w:r>
      <w:r>
        <w:rPr>
          <w:rFonts w:hint="eastAsia" w:ascii="仿宋" w:hAnsi="仿宋" w:eastAsia="仿宋" w:cs="仿宋"/>
          <w:kern w:val="2"/>
          <w:sz w:val="30"/>
          <w:szCs w:val="30"/>
          <w:lang w:val="en-US" w:eastAsia="zh-CN" w:bidi="ar-SA"/>
        </w:rPr>
        <w:t>《</w:t>
      </w:r>
      <w:r>
        <w:rPr>
          <w:rFonts w:hint="default" w:ascii="仿宋" w:hAnsi="仿宋" w:eastAsia="仿宋" w:cs="仿宋"/>
          <w:kern w:val="2"/>
          <w:sz w:val="30"/>
          <w:szCs w:val="30"/>
          <w:lang w:val="en-US" w:eastAsia="zh-CN" w:bidi="ar-SA"/>
        </w:rPr>
        <w:t>公众电信网</w:t>
      </w:r>
      <w:r>
        <w:rPr>
          <w:rFonts w:hint="eastAsia" w:ascii="仿宋" w:hAnsi="仿宋" w:eastAsia="仿宋" w:cs="仿宋"/>
          <w:kern w:val="2"/>
          <w:sz w:val="30"/>
          <w:szCs w:val="30"/>
          <w:lang w:val="en-US" w:eastAsia="zh-CN" w:bidi="ar-SA"/>
        </w:rPr>
        <w:t xml:space="preserve"> </w:t>
      </w:r>
      <w:r>
        <w:rPr>
          <w:rFonts w:hint="default" w:ascii="仿宋" w:hAnsi="仿宋" w:eastAsia="仿宋" w:cs="仿宋"/>
          <w:kern w:val="2"/>
          <w:sz w:val="30"/>
          <w:szCs w:val="30"/>
          <w:lang w:val="en-US" w:eastAsia="zh-CN" w:bidi="ar-SA"/>
        </w:rPr>
        <w:t>汽车信息服务要求</w:t>
      </w:r>
      <w:r>
        <w:rPr>
          <w:rFonts w:hint="eastAsia" w:ascii="仿宋" w:hAnsi="仿宋" w:eastAsia="仿宋" w:cs="仿宋"/>
          <w:kern w:val="2"/>
          <w:sz w:val="30"/>
          <w:szCs w:val="30"/>
          <w:lang w:val="en-US" w:eastAsia="zh-CN" w:bidi="ar-SA"/>
        </w:rPr>
        <w:t>》等6项国家标准化文件和</w:t>
      </w:r>
      <w:r>
        <w:rPr>
          <w:rFonts w:hint="default" w:ascii="仿宋" w:hAnsi="仿宋" w:eastAsia="仿宋" w:cs="仿宋"/>
          <w:kern w:val="2"/>
          <w:sz w:val="30"/>
          <w:szCs w:val="30"/>
          <w:lang w:val="en-US" w:eastAsia="zh-CN" w:bidi="ar-SA"/>
        </w:rPr>
        <w:t>JT/T</w:t>
      </w:r>
      <w:r>
        <w:rPr>
          <w:rFonts w:hint="eastAsia" w:ascii="仿宋" w:hAnsi="仿宋" w:eastAsia="仿宋" w:cs="仿宋"/>
          <w:kern w:val="2"/>
          <w:sz w:val="30"/>
          <w:szCs w:val="30"/>
          <w:lang w:val="en-US" w:eastAsia="zh-CN" w:bidi="ar-SA"/>
        </w:rPr>
        <w:t xml:space="preserve"> </w:t>
      </w:r>
      <w:r>
        <w:rPr>
          <w:rFonts w:hint="default" w:ascii="仿宋" w:hAnsi="仿宋" w:eastAsia="仿宋" w:cs="仿宋"/>
          <w:kern w:val="2"/>
          <w:sz w:val="30"/>
          <w:szCs w:val="30"/>
          <w:lang w:val="en-US" w:eastAsia="zh-CN" w:bidi="ar-SA"/>
        </w:rPr>
        <w:t>415</w:t>
      </w:r>
      <w:r>
        <w:rPr>
          <w:rFonts w:hint="eastAsia" w:ascii="仿宋" w:hAnsi="仿宋" w:eastAsia="仿宋" w:cs="仿宋"/>
          <w:kern w:val="2"/>
          <w:sz w:val="30"/>
          <w:szCs w:val="30"/>
          <w:lang w:val="en-US" w:eastAsia="zh-CN" w:bidi="ar-SA"/>
        </w:rPr>
        <w:t>《</w:t>
      </w:r>
      <w:r>
        <w:rPr>
          <w:rFonts w:hint="default" w:ascii="仿宋" w:hAnsi="仿宋" w:eastAsia="仿宋" w:cs="仿宋"/>
          <w:kern w:val="2"/>
          <w:sz w:val="30"/>
          <w:szCs w:val="30"/>
          <w:lang w:val="en-US" w:eastAsia="zh-CN" w:bidi="ar-SA"/>
        </w:rPr>
        <w:t>道路运输电子政务平台信息分类与编码</w:t>
      </w:r>
      <w:r>
        <w:rPr>
          <w:rFonts w:hint="eastAsia" w:ascii="仿宋" w:hAnsi="仿宋" w:eastAsia="仿宋" w:cs="仿宋"/>
          <w:kern w:val="2"/>
          <w:sz w:val="30"/>
          <w:szCs w:val="30"/>
          <w:lang w:val="en-US" w:eastAsia="zh-CN" w:bidi="ar-SA"/>
        </w:rPr>
        <w:t>》1项行业标准化文件，并且均为不注明日期引用。</w:t>
      </w:r>
    </w:p>
    <w:p w14:paraId="76115338">
      <w:pPr>
        <w:keepNext w:val="0"/>
        <w:keepLines w:val="0"/>
        <w:pageBreakBefore w:val="0"/>
        <w:widowControl w:val="0"/>
        <w:tabs>
          <w:tab w:val="left" w:pos="319"/>
        </w:tabs>
        <w:kinsoku/>
        <w:wordWrap/>
        <w:overflowPunct/>
        <w:topLinePunct w:val="0"/>
        <w:autoSpaceDE/>
        <w:autoSpaceDN/>
        <w:bidi w:val="0"/>
        <w:adjustRightInd/>
        <w:snapToGrid/>
        <w:spacing w:before="0" w:beforeLines="0" w:afterLines="0" w:line="240" w:lineRule="auto"/>
        <w:ind w:firstLine="600" w:firstLineChars="200"/>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（三）术语和定义</w:t>
      </w:r>
    </w:p>
    <w:p w14:paraId="3193EED2">
      <w:pPr>
        <w:keepNext w:val="0"/>
        <w:keepLines w:val="0"/>
        <w:pageBreakBefore w:val="0"/>
        <w:widowControl w:val="0"/>
        <w:tabs>
          <w:tab w:val="left" w:pos="319"/>
        </w:tabs>
        <w:kinsoku/>
        <w:wordWrap/>
        <w:overflowPunct/>
        <w:topLinePunct w:val="0"/>
        <w:autoSpaceDE/>
        <w:autoSpaceDN/>
        <w:bidi w:val="0"/>
        <w:adjustRightInd/>
        <w:snapToGrid/>
        <w:spacing w:before="0" w:beforeLines="0" w:afterLines="0" w:line="240" w:lineRule="auto"/>
        <w:ind w:firstLine="600" w:firstLineChars="200"/>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主要根据</w:t>
      </w:r>
      <w:r>
        <w:rPr>
          <w:rFonts w:hint="default" w:ascii="仿宋" w:hAnsi="仿宋" w:eastAsia="仿宋" w:cs="仿宋"/>
          <w:kern w:val="2"/>
          <w:sz w:val="30"/>
          <w:szCs w:val="30"/>
          <w:lang w:val="en-US" w:eastAsia="zh-CN" w:bidi="ar-SA"/>
        </w:rPr>
        <w:t>《道路旅客运输及客运站管理规定》</w:t>
      </w:r>
      <w:r>
        <w:rPr>
          <w:rFonts w:hint="eastAsia" w:ascii="仿宋" w:hAnsi="仿宋" w:eastAsia="仿宋" w:cs="仿宋"/>
          <w:kern w:val="2"/>
          <w:sz w:val="30"/>
          <w:szCs w:val="30"/>
          <w:lang w:val="en-US" w:eastAsia="zh-CN" w:bidi="ar-SA"/>
        </w:rPr>
        <w:t>和</w:t>
      </w:r>
      <w:r>
        <w:rPr>
          <w:rFonts w:hint="default" w:ascii="仿宋" w:hAnsi="仿宋" w:eastAsia="仿宋" w:cs="仿宋"/>
          <w:kern w:val="2"/>
          <w:sz w:val="30"/>
          <w:szCs w:val="30"/>
          <w:lang w:val="en-US" w:eastAsia="zh-CN" w:bidi="ar-SA"/>
        </w:rPr>
        <w:t>GB/T 8226</w:t>
      </w:r>
      <w:r>
        <w:rPr>
          <w:rFonts w:hint="eastAsia" w:ascii="仿宋" w:hAnsi="仿宋" w:eastAsia="仿宋" w:cs="仿宋"/>
          <w:kern w:val="2"/>
          <w:sz w:val="30"/>
          <w:szCs w:val="30"/>
          <w:lang w:val="en-US" w:eastAsia="zh-CN" w:bidi="ar-SA"/>
        </w:rPr>
        <w:t>《</w:t>
      </w:r>
      <w:r>
        <w:rPr>
          <w:rFonts w:hint="default" w:ascii="仿宋" w:hAnsi="仿宋" w:eastAsia="仿宋" w:cs="仿宋"/>
          <w:kern w:val="2"/>
          <w:sz w:val="30"/>
          <w:szCs w:val="30"/>
          <w:lang w:val="en-US" w:eastAsia="zh-CN" w:bidi="ar-SA"/>
        </w:rPr>
        <w:t>道路运输术语</w:t>
      </w:r>
      <w:r>
        <w:rPr>
          <w:rFonts w:hint="eastAsia" w:ascii="仿宋" w:hAnsi="仿宋" w:eastAsia="仿宋" w:cs="仿宋"/>
          <w:kern w:val="2"/>
          <w:sz w:val="30"/>
          <w:szCs w:val="30"/>
          <w:lang w:val="en-US" w:eastAsia="zh-CN" w:bidi="ar-SA"/>
        </w:rPr>
        <w:t>》，对在《规范》中用到的</w:t>
      </w:r>
      <w:bookmarkStart w:id="3" w:name="_Toc15959"/>
      <w:bookmarkStart w:id="4" w:name="_Toc561"/>
      <w:r>
        <w:rPr>
          <w:rFonts w:hint="eastAsia" w:ascii="仿宋" w:hAnsi="仿宋" w:eastAsia="仿宋" w:cs="仿宋"/>
          <w:kern w:val="2"/>
          <w:sz w:val="30"/>
          <w:szCs w:val="30"/>
          <w:lang w:val="en-US" w:eastAsia="zh-CN" w:bidi="ar-SA"/>
        </w:rPr>
        <w:t>道路客运</w:t>
      </w:r>
      <w:bookmarkEnd w:id="3"/>
      <w:bookmarkEnd w:id="4"/>
      <w:r>
        <w:rPr>
          <w:rFonts w:hint="eastAsia" w:ascii="仿宋" w:hAnsi="仿宋" w:eastAsia="仿宋" w:cs="仿宋"/>
          <w:kern w:val="2"/>
          <w:sz w:val="30"/>
          <w:szCs w:val="30"/>
          <w:lang w:val="en-US" w:eastAsia="zh-CN" w:bidi="ar-SA"/>
        </w:rPr>
        <w:t>、班车客运（含一类客运班线、二类客运班线、三类客运班线、四类客运班线）、包车客运、旅游客运、</w:t>
      </w:r>
      <w:bookmarkStart w:id="5" w:name="_Toc6258"/>
      <w:bookmarkStart w:id="6" w:name="_Toc1760"/>
      <w:r>
        <w:rPr>
          <w:rFonts w:hint="eastAsia" w:ascii="仿宋" w:hAnsi="仿宋" w:eastAsia="仿宋" w:cs="仿宋"/>
          <w:kern w:val="2"/>
          <w:sz w:val="30"/>
          <w:szCs w:val="30"/>
          <w:lang w:val="en-US" w:eastAsia="zh-CN" w:bidi="ar-SA"/>
        </w:rPr>
        <w:t>电子标志牌</w:t>
      </w:r>
      <w:bookmarkEnd w:id="5"/>
      <w:bookmarkEnd w:id="6"/>
      <w:r>
        <w:rPr>
          <w:rFonts w:hint="eastAsia" w:ascii="仿宋" w:hAnsi="仿宋" w:eastAsia="仿宋" w:cs="仿宋"/>
          <w:kern w:val="2"/>
          <w:sz w:val="30"/>
          <w:szCs w:val="30"/>
          <w:lang w:val="en-US" w:eastAsia="zh-CN" w:bidi="ar-SA"/>
        </w:rPr>
        <w:t>、</w:t>
      </w:r>
      <w:bookmarkStart w:id="7" w:name="_Toc17056"/>
      <w:bookmarkStart w:id="8" w:name="_Toc16730"/>
      <w:r>
        <w:rPr>
          <w:rFonts w:hint="eastAsia" w:ascii="仿宋" w:hAnsi="仿宋" w:eastAsia="仿宋" w:cs="仿宋"/>
          <w:kern w:val="2"/>
          <w:sz w:val="30"/>
          <w:szCs w:val="30"/>
          <w:lang w:val="en-US" w:eastAsia="zh-CN" w:bidi="ar-SA"/>
        </w:rPr>
        <w:t>电子标志牌信息管理系统</w:t>
      </w:r>
      <w:bookmarkEnd w:id="7"/>
      <w:bookmarkEnd w:id="8"/>
      <w:r>
        <w:rPr>
          <w:rFonts w:hint="eastAsia" w:ascii="仿宋" w:hAnsi="仿宋" w:eastAsia="仿宋" w:cs="仿宋"/>
          <w:kern w:val="2"/>
          <w:sz w:val="30"/>
          <w:szCs w:val="30"/>
          <w:lang w:val="en-US" w:eastAsia="zh-CN" w:bidi="ar-SA"/>
        </w:rPr>
        <w:t>等术语作了定义。</w:t>
      </w:r>
    </w:p>
    <w:p w14:paraId="5C20024B">
      <w:pPr>
        <w:keepNext w:val="0"/>
        <w:keepLines w:val="0"/>
        <w:pageBreakBefore w:val="0"/>
        <w:widowControl w:val="0"/>
        <w:tabs>
          <w:tab w:val="left" w:pos="319"/>
        </w:tabs>
        <w:kinsoku/>
        <w:wordWrap/>
        <w:overflowPunct/>
        <w:topLinePunct w:val="0"/>
        <w:autoSpaceDE/>
        <w:autoSpaceDN/>
        <w:bidi w:val="0"/>
        <w:adjustRightInd/>
        <w:snapToGrid/>
        <w:spacing w:before="0" w:beforeLines="0" w:afterLines="0" w:line="240" w:lineRule="auto"/>
        <w:ind w:firstLine="600" w:firstLineChars="200"/>
        <w:textAlignment w:val="auto"/>
        <w:rPr>
          <w:rFonts w:hint="default"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（四）缩略语</w:t>
      </w:r>
    </w:p>
    <w:p w14:paraId="7A9D6651">
      <w:pPr>
        <w:keepNext w:val="0"/>
        <w:keepLines w:val="0"/>
        <w:pageBreakBefore w:val="0"/>
        <w:widowControl w:val="0"/>
        <w:tabs>
          <w:tab w:val="left" w:pos="319"/>
        </w:tabs>
        <w:kinsoku/>
        <w:wordWrap/>
        <w:overflowPunct/>
        <w:topLinePunct w:val="0"/>
        <w:autoSpaceDE/>
        <w:autoSpaceDN/>
        <w:bidi w:val="0"/>
        <w:adjustRightInd/>
        <w:snapToGrid/>
        <w:spacing w:before="0" w:beforeLines="0" w:afterLines="0" w:line="240" w:lineRule="auto"/>
        <w:ind w:firstLine="600" w:firstLineChars="200"/>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《规范》的第7.4.3 条中规定了IMEI合法性校验，为便于理解，给出了IMEI缩略语的含义。</w:t>
      </w:r>
    </w:p>
    <w:p w14:paraId="3EA335C2">
      <w:pPr>
        <w:keepNext w:val="0"/>
        <w:keepLines w:val="0"/>
        <w:pageBreakBefore w:val="0"/>
        <w:widowControl w:val="0"/>
        <w:tabs>
          <w:tab w:val="left" w:pos="319"/>
        </w:tabs>
        <w:kinsoku/>
        <w:wordWrap/>
        <w:overflowPunct/>
        <w:topLinePunct w:val="0"/>
        <w:autoSpaceDE/>
        <w:autoSpaceDN/>
        <w:bidi w:val="0"/>
        <w:adjustRightInd/>
        <w:snapToGrid/>
        <w:spacing w:before="0" w:beforeLines="0" w:afterLines="0" w:line="240" w:lineRule="auto"/>
        <w:ind w:firstLine="600" w:firstLineChars="200"/>
        <w:textAlignment w:val="auto"/>
        <w:rPr>
          <w:rFonts w:hint="default"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（五）总则</w:t>
      </w:r>
    </w:p>
    <w:p w14:paraId="72F1A3E7">
      <w:pPr>
        <w:keepNext w:val="0"/>
        <w:keepLines w:val="0"/>
        <w:pageBreakBefore w:val="0"/>
        <w:widowControl w:val="0"/>
        <w:tabs>
          <w:tab w:val="left" w:pos="319"/>
        </w:tabs>
        <w:kinsoku/>
        <w:wordWrap/>
        <w:overflowPunct/>
        <w:topLinePunct w:val="0"/>
        <w:autoSpaceDE/>
        <w:autoSpaceDN/>
        <w:bidi w:val="0"/>
        <w:adjustRightInd/>
        <w:snapToGrid/>
        <w:spacing w:before="0" w:beforeLines="0" w:afterLines="0" w:line="240" w:lineRule="auto"/>
        <w:ind w:firstLine="600" w:firstLineChars="200"/>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为确保电子标志牌能够满足道路客运管理与服务需要，达到实际使用效果，本部分主要根据目前电子标志牌所采用的主流LED电子显示屏性能以及</w:t>
      </w:r>
      <w:r>
        <w:rPr>
          <w:rFonts w:hint="default" w:ascii="仿宋" w:hAnsi="仿宋" w:eastAsia="仿宋" w:cs="仿宋"/>
          <w:kern w:val="2"/>
          <w:sz w:val="30"/>
          <w:szCs w:val="30"/>
          <w:lang w:val="en-US" w:eastAsia="zh-CN" w:bidi="ar-SA"/>
        </w:rPr>
        <w:t>《道路旅客运输及客运站管理规定》</w:t>
      </w:r>
      <w:r>
        <w:rPr>
          <w:rFonts w:hint="eastAsia" w:ascii="仿宋" w:hAnsi="仿宋" w:eastAsia="仿宋" w:cs="仿宋"/>
          <w:kern w:val="2"/>
          <w:sz w:val="30"/>
          <w:szCs w:val="30"/>
          <w:lang w:val="en-US" w:eastAsia="zh-CN" w:bidi="ar-SA"/>
        </w:rPr>
        <w:t>，对电子标志牌在客车上的安装位置、朝向、显示内容，以及在使用过程中的功能完好及显示完整性等基本使用要求作了规定。其中，以规范性引用方式规定了电子标志牌所显示的字符编码应符合</w:t>
      </w:r>
      <w:r>
        <w:rPr>
          <w:rFonts w:hint="default" w:ascii="仿宋" w:hAnsi="仿宋" w:eastAsia="仿宋" w:cs="仿宋"/>
          <w:kern w:val="2"/>
          <w:sz w:val="30"/>
          <w:szCs w:val="30"/>
          <w:lang w:val="en-US" w:eastAsia="zh-CN" w:bidi="ar-SA"/>
        </w:rPr>
        <w:t>GB</w:t>
      </w:r>
      <w:r>
        <w:rPr>
          <w:rFonts w:hint="eastAsia" w:ascii="仿宋" w:hAnsi="仿宋" w:eastAsia="仿宋" w:cs="仿宋"/>
          <w:kern w:val="2"/>
          <w:sz w:val="30"/>
          <w:szCs w:val="30"/>
          <w:lang w:val="en-US" w:eastAsia="zh-CN" w:bidi="ar-SA"/>
        </w:rPr>
        <w:t xml:space="preserve"> </w:t>
      </w:r>
      <w:r>
        <w:rPr>
          <w:rFonts w:hint="default" w:ascii="仿宋" w:hAnsi="仿宋" w:eastAsia="仿宋" w:cs="仿宋"/>
          <w:kern w:val="2"/>
          <w:sz w:val="30"/>
          <w:szCs w:val="30"/>
          <w:lang w:val="en-US" w:eastAsia="zh-CN" w:bidi="ar-SA"/>
        </w:rPr>
        <w:t>18030</w:t>
      </w:r>
      <w:r>
        <w:rPr>
          <w:rFonts w:hint="eastAsia" w:ascii="仿宋" w:hAnsi="仿宋" w:eastAsia="仿宋" w:cs="仿宋"/>
          <w:kern w:val="2"/>
          <w:sz w:val="30"/>
          <w:szCs w:val="30"/>
          <w:lang w:val="en-US" w:eastAsia="zh-CN" w:bidi="ar-SA"/>
        </w:rPr>
        <w:t>和</w:t>
      </w:r>
      <w:r>
        <w:rPr>
          <w:rFonts w:hint="default" w:ascii="仿宋" w:hAnsi="仿宋" w:eastAsia="仿宋" w:cs="仿宋"/>
          <w:kern w:val="2"/>
          <w:sz w:val="30"/>
          <w:szCs w:val="30"/>
          <w:lang w:val="en-US" w:eastAsia="zh-CN" w:bidi="ar-SA"/>
        </w:rPr>
        <w:t>GB/T</w:t>
      </w:r>
      <w:r>
        <w:rPr>
          <w:rFonts w:hint="eastAsia" w:ascii="仿宋" w:hAnsi="仿宋" w:eastAsia="仿宋" w:cs="仿宋"/>
          <w:kern w:val="2"/>
          <w:sz w:val="30"/>
          <w:szCs w:val="30"/>
          <w:lang w:val="en-US" w:eastAsia="zh-CN" w:bidi="ar-SA"/>
        </w:rPr>
        <w:t xml:space="preserve"> </w:t>
      </w:r>
      <w:r>
        <w:rPr>
          <w:rFonts w:hint="default" w:ascii="仿宋" w:hAnsi="仿宋" w:eastAsia="仿宋" w:cs="仿宋"/>
          <w:kern w:val="2"/>
          <w:sz w:val="30"/>
          <w:szCs w:val="30"/>
          <w:lang w:val="en-US" w:eastAsia="zh-CN" w:bidi="ar-SA"/>
        </w:rPr>
        <w:t>1988</w:t>
      </w:r>
      <w:r>
        <w:rPr>
          <w:rFonts w:hint="eastAsia" w:ascii="仿宋" w:hAnsi="仿宋" w:eastAsia="仿宋" w:cs="仿宋"/>
          <w:kern w:val="2"/>
          <w:sz w:val="30"/>
          <w:szCs w:val="30"/>
          <w:lang w:val="en-US" w:eastAsia="zh-CN" w:bidi="ar-SA"/>
        </w:rPr>
        <w:t>的要求，</w:t>
      </w:r>
      <w:r>
        <w:rPr>
          <w:rFonts w:hint="eastAsia" w:ascii="仿宋" w:hAnsi="仿宋" w:eastAsia="仿宋" w:cs="仿宋"/>
          <w:sz w:val="32"/>
          <w:szCs w:val="32"/>
          <w:lang w:val="en-US" w:eastAsia="zh-CN"/>
        </w:rPr>
        <w:t>追溯二维码符号质量</w:t>
      </w:r>
      <w:r>
        <w:rPr>
          <w:rFonts w:hint="eastAsia" w:ascii="仿宋" w:hAnsi="仿宋" w:eastAsia="仿宋" w:cs="仿宋"/>
          <w:kern w:val="2"/>
          <w:sz w:val="30"/>
          <w:szCs w:val="30"/>
          <w:lang w:val="en-US" w:eastAsia="zh-CN" w:bidi="ar-SA"/>
        </w:rPr>
        <w:t>应符合</w:t>
      </w:r>
      <w:r>
        <w:rPr>
          <w:rFonts w:hint="eastAsia" w:ascii="仿宋" w:hAnsi="仿宋" w:eastAsia="仿宋" w:cs="仿宋"/>
          <w:sz w:val="32"/>
          <w:szCs w:val="32"/>
          <w:lang w:val="en-US" w:eastAsia="zh-CN"/>
        </w:rPr>
        <w:t>GB/T 40204</w:t>
      </w:r>
      <w:r>
        <w:rPr>
          <w:rFonts w:hint="eastAsia" w:ascii="仿宋" w:hAnsi="仿宋" w:eastAsia="仿宋" w:cs="仿宋"/>
          <w:kern w:val="2"/>
          <w:sz w:val="30"/>
          <w:szCs w:val="30"/>
          <w:lang w:val="en-US" w:eastAsia="zh-CN" w:bidi="ar-SA"/>
        </w:rPr>
        <w:t>的要求。</w:t>
      </w:r>
    </w:p>
    <w:p w14:paraId="115F158B">
      <w:pPr>
        <w:keepNext w:val="0"/>
        <w:keepLines w:val="0"/>
        <w:pageBreakBefore w:val="0"/>
        <w:widowControl w:val="0"/>
        <w:tabs>
          <w:tab w:val="left" w:pos="319"/>
        </w:tabs>
        <w:kinsoku/>
        <w:wordWrap/>
        <w:overflowPunct/>
        <w:topLinePunct w:val="0"/>
        <w:autoSpaceDE/>
        <w:autoSpaceDN/>
        <w:bidi w:val="0"/>
        <w:adjustRightInd/>
        <w:snapToGrid/>
        <w:spacing w:before="0" w:beforeLines="0" w:afterLines="0" w:line="240" w:lineRule="auto"/>
        <w:ind w:firstLine="600" w:firstLineChars="200"/>
        <w:textAlignment w:val="auto"/>
        <w:rPr>
          <w:rFonts w:hint="default" w:ascii="仿宋" w:hAnsi="仿宋" w:eastAsia="仿宋" w:cs="仿宋"/>
          <w:kern w:val="2"/>
          <w:sz w:val="30"/>
          <w:szCs w:val="30"/>
          <w:lang w:val="en-US" w:eastAsia="zh-CN" w:bidi="ar-SA"/>
        </w:rPr>
      </w:pPr>
      <w:bookmarkStart w:id="9" w:name="_Toc24709"/>
      <w:bookmarkStart w:id="10" w:name="_Toc24926"/>
      <w:bookmarkStart w:id="11" w:name="_Toc20929"/>
      <w:r>
        <w:rPr>
          <w:rFonts w:hint="eastAsia" w:ascii="仿宋" w:hAnsi="仿宋" w:eastAsia="仿宋" w:cs="仿宋"/>
          <w:kern w:val="2"/>
          <w:sz w:val="30"/>
          <w:szCs w:val="30"/>
          <w:lang w:val="en-US" w:eastAsia="zh-CN" w:bidi="ar-SA"/>
        </w:rPr>
        <w:t>（六）显示信息</w:t>
      </w:r>
      <w:bookmarkEnd w:id="9"/>
      <w:bookmarkEnd w:id="10"/>
      <w:bookmarkEnd w:id="11"/>
    </w:p>
    <w:p w14:paraId="283F9182">
      <w:pPr>
        <w:keepNext w:val="0"/>
        <w:keepLines w:val="0"/>
        <w:pageBreakBefore w:val="0"/>
        <w:widowControl w:val="0"/>
        <w:tabs>
          <w:tab w:val="left" w:pos="319"/>
        </w:tabs>
        <w:kinsoku/>
        <w:wordWrap/>
        <w:overflowPunct/>
        <w:topLinePunct w:val="0"/>
        <w:autoSpaceDE/>
        <w:autoSpaceDN/>
        <w:bidi w:val="0"/>
        <w:adjustRightInd/>
        <w:snapToGrid/>
        <w:spacing w:before="0" w:beforeLines="0" w:afterLines="0" w:line="240" w:lineRule="auto"/>
        <w:ind w:firstLine="600" w:firstLineChars="200"/>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本部分主要在总则的基础上，为满足行业管理人员和社会公众对电子标志牌所显示信息的视认和理解需要，依据</w:t>
      </w:r>
      <w:r>
        <w:rPr>
          <w:rFonts w:hint="default" w:ascii="仿宋" w:hAnsi="仿宋" w:eastAsia="仿宋" w:cs="仿宋"/>
          <w:kern w:val="2"/>
          <w:sz w:val="30"/>
          <w:szCs w:val="30"/>
          <w:lang w:val="en-US" w:eastAsia="zh-CN" w:bidi="ar-SA"/>
        </w:rPr>
        <w:t>《道路旅客运输及客运站管理规定》</w:t>
      </w:r>
      <w:r>
        <w:rPr>
          <w:rFonts w:hint="eastAsia" w:ascii="仿宋" w:hAnsi="仿宋" w:eastAsia="仿宋" w:cs="仿宋"/>
          <w:kern w:val="2"/>
          <w:sz w:val="30"/>
          <w:szCs w:val="30"/>
          <w:lang w:val="en-US" w:eastAsia="zh-CN" w:bidi="ar-SA"/>
        </w:rPr>
        <w:t>和相关标准文件，进一步对电子标志牌显示信息的内容和样式作了具体规定。其中，在第6.1、6.2和6.3条中分别规定了不同类型道路客运对起点地和讫点地的地名选用规则，以及在必要时可在起点地、讫点地的地名后增加车站的交通设施名称；在第6.3条中针对不同类型班车客运、包车客运和旅游客运的道路客运类型简称作了规定；在第6.4和6.5条中，根据LED电子显示屏的本底颜色、可显示颜色和物理分辨率特性，对不同规格电子标志牌的显示样式以及文字和追溯二维码的显示尺寸作了具体规定，并对显示字数较多时采用分屏滚动显示的分屏数量和每屏显示时间、间隔时间作了要求。</w:t>
      </w:r>
    </w:p>
    <w:p w14:paraId="687481FB">
      <w:pPr>
        <w:keepNext w:val="0"/>
        <w:keepLines w:val="0"/>
        <w:pageBreakBefore w:val="0"/>
        <w:widowControl w:val="0"/>
        <w:tabs>
          <w:tab w:val="left" w:pos="319"/>
        </w:tabs>
        <w:kinsoku/>
        <w:wordWrap/>
        <w:overflowPunct/>
        <w:topLinePunct w:val="0"/>
        <w:autoSpaceDE/>
        <w:autoSpaceDN/>
        <w:bidi w:val="0"/>
        <w:adjustRightInd/>
        <w:snapToGrid/>
        <w:spacing w:before="0" w:beforeLines="0" w:afterLines="0" w:line="240" w:lineRule="auto"/>
        <w:ind w:firstLine="600" w:firstLineChars="200"/>
        <w:textAlignment w:val="auto"/>
        <w:rPr>
          <w:rFonts w:hint="default"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（七）信息管理</w:t>
      </w:r>
    </w:p>
    <w:p w14:paraId="350FD956">
      <w:pPr>
        <w:keepNext w:val="0"/>
        <w:keepLines w:val="0"/>
        <w:pageBreakBefore w:val="0"/>
        <w:widowControl w:val="0"/>
        <w:tabs>
          <w:tab w:val="left" w:pos="319"/>
        </w:tabs>
        <w:kinsoku/>
        <w:wordWrap/>
        <w:overflowPunct/>
        <w:topLinePunct w:val="0"/>
        <w:autoSpaceDE/>
        <w:autoSpaceDN/>
        <w:bidi w:val="0"/>
        <w:adjustRightInd/>
        <w:snapToGrid/>
        <w:spacing w:before="0" w:beforeLines="0" w:afterLines="0" w:line="240" w:lineRule="auto"/>
        <w:ind w:firstLine="600" w:firstLineChars="200"/>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本部分主要针对电子标志牌显示信息的生成、传输与显示、查询</w:t>
      </w:r>
      <w:bookmarkStart w:id="12" w:name="_Toc7248"/>
      <w:bookmarkStart w:id="13" w:name="_Toc25116"/>
      <w:bookmarkStart w:id="14" w:name="_Toc20999"/>
      <w:r>
        <w:rPr>
          <w:rFonts w:hint="eastAsia" w:ascii="仿宋" w:hAnsi="仿宋" w:eastAsia="仿宋" w:cs="仿宋"/>
          <w:kern w:val="2"/>
          <w:sz w:val="30"/>
          <w:szCs w:val="30"/>
          <w:lang w:val="en-US" w:eastAsia="zh-CN" w:bidi="ar-SA"/>
        </w:rPr>
        <w:t>以及数据安全</w:t>
      </w:r>
      <w:bookmarkEnd w:id="12"/>
      <w:bookmarkEnd w:id="13"/>
      <w:bookmarkEnd w:id="14"/>
      <w:r>
        <w:rPr>
          <w:rFonts w:hint="eastAsia" w:ascii="仿宋" w:hAnsi="仿宋" w:eastAsia="仿宋" w:cs="仿宋"/>
          <w:kern w:val="2"/>
          <w:sz w:val="30"/>
          <w:szCs w:val="30"/>
          <w:lang w:val="en-US" w:eastAsia="zh-CN" w:bidi="ar-SA"/>
        </w:rPr>
        <w:t>问题作了规定。其中：</w:t>
      </w:r>
    </w:p>
    <w:p w14:paraId="338919BD">
      <w:pPr>
        <w:keepNext w:val="0"/>
        <w:keepLines w:val="0"/>
        <w:pageBreakBefore w:val="0"/>
        <w:widowControl w:val="0"/>
        <w:tabs>
          <w:tab w:val="left" w:pos="319"/>
        </w:tabs>
        <w:kinsoku/>
        <w:wordWrap/>
        <w:overflowPunct/>
        <w:topLinePunct w:val="0"/>
        <w:autoSpaceDE/>
        <w:autoSpaceDN/>
        <w:bidi w:val="0"/>
        <w:adjustRightInd/>
        <w:snapToGrid/>
        <w:spacing w:before="0" w:beforeLines="0" w:afterLines="0" w:line="240" w:lineRule="auto"/>
        <w:ind w:firstLine="600" w:firstLineChars="200"/>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在第7.1条中，首先按照</w:t>
      </w:r>
      <w:r>
        <w:rPr>
          <w:rFonts w:hint="default" w:ascii="仿宋" w:hAnsi="仿宋" w:eastAsia="仿宋" w:cs="仿宋"/>
          <w:kern w:val="2"/>
          <w:sz w:val="30"/>
          <w:szCs w:val="30"/>
          <w:lang w:val="en-US" w:eastAsia="zh-CN" w:bidi="ar-SA"/>
        </w:rPr>
        <w:t>《中华人民共和国道路运输条例》</w:t>
      </w:r>
      <w:r>
        <w:rPr>
          <w:rFonts w:hint="eastAsia" w:ascii="仿宋" w:hAnsi="仿宋" w:eastAsia="仿宋" w:cs="仿宋"/>
          <w:kern w:val="2"/>
          <w:sz w:val="30"/>
          <w:szCs w:val="30"/>
          <w:lang w:val="en-US" w:eastAsia="zh-CN" w:bidi="ar-SA"/>
        </w:rPr>
        <w:t>对道路运输的地域管辖要求，规定客车担当的本运次道路客运经营信息和电子标志牌显示信息由道路客运经</w:t>
      </w:r>
      <w:r>
        <w:rPr>
          <w:rFonts w:hint="default" w:ascii="仿宋" w:hAnsi="仿宋" w:eastAsia="仿宋" w:cs="仿宋"/>
          <w:kern w:val="2"/>
          <w:sz w:val="30"/>
          <w:szCs w:val="30"/>
          <w:lang w:val="en-US" w:eastAsia="zh-CN" w:bidi="ar-SA"/>
        </w:rPr>
        <w:t>营主体</w:t>
      </w:r>
      <w:r>
        <w:rPr>
          <w:rFonts w:hint="eastAsia" w:ascii="仿宋" w:hAnsi="仿宋" w:eastAsia="仿宋" w:cs="仿宋"/>
          <w:kern w:val="2"/>
          <w:sz w:val="30"/>
          <w:szCs w:val="30"/>
          <w:lang w:val="en-US" w:eastAsia="zh-CN" w:bidi="ar-SA"/>
        </w:rPr>
        <w:t>归属地的电子标志牌管理系统生成，所生成信息的编码应符合</w:t>
      </w:r>
      <w:r>
        <w:rPr>
          <w:rFonts w:hint="default" w:ascii="仿宋" w:hAnsi="仿宋" w:eastAsia="仿宋" w:cs="仿宋"/>
          <w:kern w:val="2"/>
          <w:sz w:val="30"/>
          <w:szCs w:val="30"/>
          <w:lang w:val="en-US" w:eastAsia="zh-CN" w:bidi="ar-SA"/>
        </w:rPr>
        <w:t>JT/T 415</w:t>
      </w:r>
      <w:r>
        <w:rPr>
          <w:rFonts w:hint="eastAsia" w:ascii="仿宋" w:hAnsi="仿宋" w:eastAsia="仿宋" w:cs="仿宋"/>
          <w:kern w:val="2"/>
          <w:sz w:val="30"/>
          <w:szCs w:val="30"/>
          <w:lang w:val="en-US" w:eastAsia="zh-CN" w:bidi="ar-SA"/>
        </w:rPr>
        <w:t>的要求；然后参照</w:t>
      </w:r>
      <w:r>
        <w:rPr>
          <w:rFonts w:hint="default" w:ascii="仿宋" w:hAnsi="仿宋" w:eastAsia="仿宋" w:cs="仿宋"/>
          <w:kern w:val="2"/>
          <w:sz w:val="30"/>
          <w:szCs w:val="30"/>
          <w:lang w:val="en-US" w:eastAsia="zh-CN" w:bidi="ar-SA"/>
        </w:rPr>
        <w:t>《道路旅客运输及客运站管理规定》</w:t>
      </w:r>
      <w:r>
        <w:rPr>
          <w:rFonts w:hint="eastAsia" w:ascii="仿宋" w:hAnsi="仿宋" w:eastAsia="仿宋" w:cs="仿宋"/>
          <w:kern w:val="2"/>
          <w:sz w:val="30"/>
          <w:szCs w:val="30"/>
          <w:lang w:val="en-US" w:eastAsia="zh-CN" w:bidi="ar-SA"/>
        </w:rPr>
        <w:t>，区分不同客运类型对需要生成的道路客运经营信息基本内容作了要求；最后按照信息的使用与安全需要，规定所生成信息中的道路客运经营信息数据存储于道路客运经</w:t>
      </w:r>
      <w:r>
        <w:rPr>
          <w:rFonts w:hint="default" w:ascii="仿宋" w:hAnsi="仿宋" w:eastAsia="仿宋" w:cs="仿宋"/>
          <w:kern w:val="2"/>
          <w:sz w:val="30"/>
          <w:szCs w:val="30"/>
          <w:lang w:val="en-US" w:eastAsia="zh-CN" w:bidi="ar-SA"/>
        </w:rPr>
        <w:t>营主体</w:t>
      </w:r>
      <w:r>
        <w:rPr>
          <w:rFonts w:hint="eastAsia" w:ascii="仿宋" w:hAnsi="仿宋" w:eastAsia="仿宋" w:cs="仿宋"/>
          <w:kern w:val="2"/>
          <w:sz w:val="30"/>
          <w:szCs w:val="30"/>
          <w:lang w:val="en-US" w:eastAsia="zh-CN" w:bidi="ar-SA"/>
        </w:rPr>
        <w:t>归属地的电子标志牌管理系统数据库，</w:t>
      </w:r>
      <w:bookmarkStart w:id="15" w:name="_Toc28366"/>
      <w:bookmarkStart w:id="16" w:name="_Toc246"/>
      <w:bookmarkStart w:id="17" w:name="_Toc10923"/>
      <w:r>
        <w:rPr>
          <w:rFonts w:hint="eastAsia" w:ascii="仿宋" w:hAnsi="仿宋" w:eastAsia="仿宋" w:cs="仿宋"/>
          <w:kern w:val="2"/>
          <w:sz w:val="30"/>
          <w:szCs w:val="30"/>
          <w:lang w:val="en-US" w:eastAsia="zh-CN" w:bidi="ar-SA"/>
        </w:rPr>
        <w:t>电子标志牌显示信息数据存储于电子标志牌的本地存储器。</w:t>
      </w:r>
      <w:bookmarkEnd w:id="15"/>
      <w:bookmarkEnd w:id="16"/>
      <w:bookmarkEnd w:id="17"/>
    </w:p>
    <w:p w14:paraId="28AA03E5">
      <w:pPr>
        <w:keepNext w:val="0"/>
        <w:keepLines w:val="0"/>
        <w:pageBreakBefore w:val="0"/>
        <w:widowControl w:val="0"/>
        <w:tabs>
          <w:tab w:val="left" w:pos="319"/>
        </w:tabs>
        <w:kinsoku/>
        <w:wordWrap/>
        <w:overflowPunct/>
        <w:topLinePunct w:val="0"/>
        <w:autoSpaceDE/>
        <w:autoSpaceDN/>
        <w:bidi w:val="0"/>
        <w:adjustRightInd/>
        <w:snapToGrid/>
        <w:spacing w:before="0" w:beforeLines="0" w:afterLines="0" w:line="240" w:lineRule="auto"/>
        <w:ind w:firstLine="600" w:firstLineChars="200"/>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在第7.2条中，主要对电子标志牌管理系统与具体车载电子标志牌之间的数据传输与显示作了要求。首先，规定由电子标志牌管理系统向电子标志牌用户</w:t>
      </w:r>
      <w:r>
        <w:rPr>
          <w:rFonts w:hint="default" w:ascii="仿宋" w:hAnsi="仿宋" w:eastAsia="仿宋" w:cs="仿宋"/>
          <w:kern w:val="2"/>
          <w:sz w:val="30"/>
          <w:szCs w:val="30"/>
          <w:lang w:val="en-US" w:eastAsia="zh-CN" w:bidi="ar-SA"/>
        </w:rPr>
        <w:t>分配接入码，</w:t>
      </w:r>
      <w:r>
        <w:rPr>
          <w:rFonts w:hint="eastAsia" w:ascii="仿宋" w:hAnsi="仿宋" w:eastAsia="仿宋" w:cs="仿宋"/>
          <w:kern w:val="2"/>
          <w:sz w:val="30"/>
          <w:szCs w:val="30"/>
          <w:lang w:val="en-US" w:eastAsia="zh-CN" w:bidi="ar-SA"/>
        </w:rPr>
        <w:t>由用户通过公众移动通信网络将电子标志牌与电子标志牌管理系统建立通讯连接和进行</w:t>
      </w:r>
      <w:r>
        <w:rPr>
          <w:rFonts w:hint="default" w:ascii="仿宋" w:hAnsi="仿宋" w:eastAsia="仿宋" w:cs="仿宋"/>
          <w:kern w:val="2"/>
          <w:sz w:val="30"/>
          <w:szCs w:val="30"/>
          <w:lang w:val="en-US" w:eastAsia="zh-CN" w:bidi="ar-SA"/>
        </w:rPr>
        <w:t>消息订阅</w:t>
      </w:r>
      <w:r>
        <w:rPr>
          <w:rFonts w:hint="eastAsia" w:ascii="仿宋" w:hAnsi="仿宋" w:eastAsia="仿宋" w:cs="仿宋"/>
          <w:kern w:val="2"/>
          <w:sz w:val="30"/>
          <w:szCs w:val="30"/>
          <w:lang w:val="en-US" w:eastAsia="zh-CN" w:bidi="ar-SA"/>
        </w:rPr>
        <w:t>，并以附录A的参考性附录形式给出了具体通讯接口与数据传递流程；然后，为确保电子标志牌所显示信息的合法和有效性，规定了电子标志牌管理系统与电子标志牌之间的信息有效性核验及显示规则。</w:t>
      </w:r>
    </w:p>
    <w:p w14:paraId="406B5534">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600" w:firstLineChars="200"/>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在第7.3条中，主要对行业管理人员和社会公众通过扫描追溯二维码，来获取客车担当的本运次道路客运相关追溯服务信息作了规定。包括以附录B的参考性附录形式给出电子标志牌管理系统的接口与参数定义，以及针对行业管理人员和社会公众等不同用户的信息查询需要，规定了</w:t>
      </w:r>
      <w:bookmarkStart w:id="18" w:name="_Toc7139"/>
      <w:bookmarkStart w:id="19" w:name="_Toc15480"/>
      <w:r>
        <w:rPr>
          <w:rFonts w:hint="eastAsia" w:ascii="仿宋" w:hAnsi="仿宋" w:eastAsia="仿宋" w:cs="仿宋"/>
          <w:kern w:val="2"/>
          <w:sz w:val="30"/>
          <w:szCs w:val="30"/>
          <w:lang w:val="en-US" w:eastAsia="zh-CN" w:bidi="ar-SA"/>
        </w:rPr>
        <w:t>对扫描追溯二维码信息的用户进行身份校验和查询信息内容限制</w:t>
      </w:r>
      <w:bookmarkEnd w:id="18"/>
      <w:bookmarkEnd w:id="19"/>
      <w:bookmarkStart w:id="20" w:name="_Toc6585"/>
      <w:bookmarkStart w:id="21" w:name="_Toc4427"/>
      <w:bookmarkStart w:id="22" w:name="_Toc28025"/>
      <w:r>
        <w:rPr>
          <w:rFonts w:hint="eastAsia" w:ascii="仿宋" w:hAnsi="仿宋" w:eastAsia="仿宋" w:cs="仿宋"/>
          <w:kern w:val="2"/>
          <w:sz w:val="30"/>
          <w:szCs w:val="30"/>
          <w:lang w:val="en-US" w:eastAsia="zh-CN" w:bidi="ar-SA"/>
        </w:rPr>
        <w:t>。</w:t>
      </w:r>
      <w:bookmarkEnd w:id="20"/>
      <w:bookmarkEnd w:id="21"/>
      <w:bookmarkEnd w:id="22"/>
    </w:p>
    <w:p w14:paraId="307CF715">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600" w:firstLineChars="200"/>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在第7.4条中，主要围绕电子标志牌的数据安全，对</w:t>
      </w:r>
      <w:bookmarkStart w:id="23" w:name="_Toc10540"/>
      <w:bookmarkStart w:id="24" w:name="_Toc4500"/>
      <w:bookmarkStart w:id="25" w:name="_Toc17006"/>
      <w:r>
        <w:rPr>
          <w:rFonts w:hint="eastAsia" w:ascii="仿宋" w:hAnsi="仿宋" w:eastAsia="仿宋" w:cs="仿宋"/>
          <w:kern w:val="2"/>
          <w:sz w:val="30"/>
          <w:szCs w:val="30"/>
          <w:lang w:val="en-US" w:eastAsia="zh-CN" w:bidi="ar-SA"/>
        </w:rPr>
        <w:t>电子标志牌管理系统的传输数据加密</w:t>
      </w:r>
      <w:bookmarkEnd w:id="23"/>
      <w:bookmarkEnd w:id="24"/>
      <w:bookmarkEnd w:id="25"/>
      <w:bookmarkStart w:id="26" w:name="_Toc28470"/>
      <w:bookmarkStart w:id="27" w:name="_Toc24840"/>
      <w:bookmarkStart w:id="28" w:name="_Toc2348"/>
      <w:r>
        <w:rPr>
          <w:rFonts w:hint="eastAsia" w:ascii="仿宋" w:hAnsi="仿宋" w:eastAsia="仿宋" w:cs="仿宋"/>
          <w:kern w:val="2"/>
          <w:sz w:val="30"/>
          <w:szCs w:val="30"/>
          <w:lang w:val="en-US" w:eastAsia="zh-CN" w:bidi="ar-SA"/>
        </w:rPr>
        <w:t>、下行发布消息权限、电子标志牌登录IMEI合法性校验，以及</w:t>
      </w:r>
      <w:bookmarkEnd w:id="26"/>
      <w:bookmarkEnd w:id="27"/>
      <w:bookmarkEnd w:id="28"/>
      <w:bookmarkStart w:id="29" w:name="_Toc27744"/>
      <w:bookmarkStart w:id="30" w:name="_Toc30552"/>
      <w:bookmarkStart w:id="31" w:name="_Toc27108"/>
      <w:bookmarkStart w:id="32" w:name="_Toc31988"/>
      <w:bookmarkStart w:id="33" w:name="_Toc26232"/>
      <w:bookmarkStart w:id="34" w:name="_Toc17195"/>
      <w:bookmarkStart w:id="35" w:name="_Toc28012"/>
      <w:r>
        <w:rPr>
          <w:rFonts w:hint="eastAsia" w:ascii="仿宋" w:hAnsi="仿宋" w:eastAsia="仿宋" w:cs="仿宋"/>
          <w:kern w:val="2"/>
          <w:sz w:val="30"/>
          <w:szCs w:val="30"/>
          <w:lang w:val="en-US" w:eastAsia="zh-CN" w:bidi="ar-SA"/>
        </w:rPr>
        <w:t>电子标志牌本地保存的显示信息数据保护作了要求。</w:t>
      </w:r>
      <w:bookmarkEnd w:id="29"/>
      <w:bookmarkEnd w:id="30"/>
      <w:bookmarkEnd w:id="31"/>
      <w:bookmarkEnd w:id="32"/>
      <w:bookmarkEnd w:id="33"/>
      <w:bookmarkEnd w:id="34"/>
      <w:bookmarkEnd w:id="35"/>
      <w:r>
        <w:rPr>
          <w:rFonts w:hint="eastAsia" w:ascii="仿宋" w:hAnsi="仿宋" w:eastAsia="仿宋" w:cs="仿宋"/>
          <w:kern w:val="2"/>
          <w:sz w:val="30"/>
          <w:szCs w:val="30"/>
          <w:lang w:val="en-US" w:eastAsia="zh-CN" w:bidi="ar-SA"/>
        </w:rPr>
        <w:t>其中，要求对传输数据的加密机制应符合</w:t>
      </w:r>
      <w:r>
        <w:rPr>
          <w:rFonts w:hint="default" w:ascii="仿宋" w:hAnsi="仿宋" w:eastAsia="仿宋" w:cs="仿宋"/>
          <w:kern w:val="2"/>
          <w:sz w:val="30"/>
          <w:szCs w:val="30"/>
          <w:lang w:val="en-US" w:eastAsia="zh-CN" w:bidi="ar-SA"/>
        </w:rPr>
        <w:t>GB/T 40684</w:t>
      </w:r>
      <w:r>
        <w:rPr>
          <w:rFonts w:hint="eastAsia" w:ascii="仿宋" w:hAnsi="仿宋" w:eastAsia="仿宋" w:cs="仿宋"/>
          <w:kern w:val="2"/>
          <w:sz w:val="30"/>
          <w:szCs w:val="30"/>
          <w:lang w:val="en-US" w:eastAsia="zh-CN" w:bidi="ar-SA"/>
        </w:rPr>
        <w:t>和</w:t>
      </w:r>
      <w:r>
        <w:rPr>
          <w:rFonts w:hint="default" w:ascii="仿宋" w:hAnsi="仿宋" w:eastAsia="仿宋" w:cs="仿宋"/>
          <w:kern w:val="2"/>
          <w:sz w:val="30"/>
          <w:szCs w:val="30"/>
          <w:lang w:val="en-US" w:eastAsia="zh-CN" w:bidi="ar-SA"/>
        </w:rPr>
        <w:t>GB/T 41239</w:t>
      </w:r>
      <w:r>
        <w:rPr>
          <w:rFonts w:hint="eastAsia" w:ascii="仿宋" w:hAnsi="仿宋" w:eastAsia="仿宋" w:cs="仿宋"/>
          <w:kern w:val="2"/>
          <w:sz w:val="30"/>
          <w:szCs w:val="30"/>
          <w:lang w:val="en-US" w:eastAsia="zh-CN" w:bidi="ar-SA"/>
        </w:rPr>
        <w:t>的要求。</w:t>
      </w:r>
    </w:p>
    <w:p w14:paraId="50ACAC64">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附件1：《道路客运电子标志牌管理规范》条文说明</w:t>
      </w:r>
    </w:p>
    <w:p w14:paraId="31073C70">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textAlignment w:val="auto"/>
        <w:rPr>
          <w:rFonts w:hint="default"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附件2：《道路客运电子标志牌管理规范》前期征求意见采纳情况</w:t>
      </w:r>
    </w:p>
    <w:p w14:paraId="40B92614">
      <w:pPr>
        <w:rPr>
          <w:rFonts w:hint="default" w:ascii="仿宋" w:hAnsi="仿宋" w:eastAsia="仿宋" w:cs="仿宋"/>
          <w:kern w:val="2"/>
          <w:sz w:val="30"/>
          <w:szCs w:val="30"/>
          <w:lang w:val="en-US" w:eastAsia="zh-CN" w:bidi="ar-SA"/>
        </w:rPr>
      </w:pPr>
      <w:r>
        <w:rPr>
          <w:rFonts w:hint="default" w:ascii="仿宋" w:hAnsi="仿宋" w:eastAsia="仿宋" w:cs="仿宋"/>
          <w:kern w:val="2"/>
          <w:sz w:val="30"/>
          <w:szCs w:val="30"/>
          <w:lang w:val="en-US" w:eastAsia="zh-CN" w:bidi="ar-SA"/>
        </w:rPr>
        <w:br w:type="page"/>
      </w:r>
    </w:p>
    <w:p w14:paraId="3A016FD0">
      <w:pPr>
        <w:bidi w:val="0"/>
        <w:jc w:val="left"/>
        <w:rPr>
          <w:rFonts w:hint="default"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附件1：</w:t>
      </w:r>
    </w:p>
    <w:p w14:paraId="6A3D9FE0">
      <w:pPr>
        <w:bidi w:val="0"/>
        <w:jc w:val="center"/>
        <w:rPr>
          <w:rFonts w:hint="default" w:asciiTheme="minorHAnsi" w:hAnsiTheme="minorHAnsi" w:eastAsiaTheme="minorEastAsia" w:cstheme="minorBidi"/>
          <w:b/>
          <w:bCs/>
          <w:kern w:val="2"/>
          <w:sz w:val="21"/>
          <w:szCs w:val="24"/>
          <w:lang w:val="en-US" w:eastAsia="zh-CN" w:bidi="ar-SA"/>
        </w:rPr>
      </w:pPr>
      <w:r>
        <w:rPr>
          <w:rFonts w:hint="eastAsia" w:ascii="仿宋" w:hAnsi="仿宋" w:eastAsia="仿宋" w:cs="仿宋"/>
          <w:b/>
          <w:bCs/>
          <w:kern w:val="2"/>
          <w:sz w:val="30"/>
          <w:szCs w:val="30"/>
          <w:lang w:val="en-US" w:eastAsia="zh-CN" w:bidi="ar-SA"/>
        </w:rPr>
        <w:t>《道路客运电子标志牌管理规范》条文说明</w:t>
      </w:r>
    </w:p>
    <w:tbl>
      <w:tblPr>
        <w:tblStyle w:val="15"/>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3766"/>
        <w:gridCol w:w="4026"/>
      </w:tblGrid>
      <w:tr w14:paraId="25C9C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tcPr>
          <w:p w14:paraId="3BE17720">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条</w:t>
            </w:r>
          </w:p>
        </w:tc>
        <w:tc>
          <w:tcPr>
            <w:tcW w:w="3766" w:type="dxa"/>
          </w:tcPr>
          <w:p w14:paraId="5EBEA5CD">
            <w:pPr>
              <w:pStyle w:val="20"/>
              <w:keepNext w:val="0"/>
              <w:keepLines w:val="0"/>
              <w:pageBreakBefore w:val="0"/>
              <w:widowControl w:val="0"/>
              <w:kinsoku/>
              <w:wordWrap/>
              <w:overflowPunct/>
              <w:topLinePunct w:val="0"/>
              <w:autoSpaceDE w:val="0"/>
              <w:autoSpaceDN w:val="0"/>
              <w:bidi w:val="0"/>
              <w:adjustRightInd/>
              <w:snapToGrid/>
              <w:spacing w:line="400" w:lineRule="atLeast"/>
              <w:jc w:val="center"/>
              <w:textAlignment w:val="auto"/>
              <w:rPr>
                <w:rFonts w:hint="default"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条文内容</w:t>
            </w:r>
          </w:p>
        </w:tc>
        <w:tc>
          <w:tcPr>
            <w:tcW w:w="4026" w:type="dxa"/>
          </w:tcPr>
          <w:p w14:paraId="68C03342">
            <w:pPr>
              <w:pStyle w:val="20"/>
              <w:keepNext w:val="0"/>
              <w:keepLines w:val="0"/>
              <w:pageBreakBefore w:val="0"/>
              <w:widowControl w:val="0"/>
              <w:kinsoku/>
              <w:wordWrap/>
              <w:overflowPunct/>
              <w:topLinePunct w:val="0"/>
              <w:autoSpaceDE w:val="0"/>
              <w:autoSpaceDN w:val="0"/>
              <w:bidi w:val="0"/>
              <w:adjustRightInd/>
              <w:snapToGrid/>
              <w:spacing w:line="400" w:lineRule="atLeast"/>
              <w:jc w:val="center"/>
              <w:textAlignment w:val="auto"/>
              <w:rPr>
                <w:rFonts w:hint="default"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起草说明</w:t>
            </w:r>
          </w:p>
        </w:tc>
      </w:tr>
      <w:tr w14:paraId="75C56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69803D3E">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1</w:t>
            </w:r>
          </w:p>
        </w:tc>
        <w:tc>
          <w:tcPr>
            <w:tcW w:w="3766" w:type="dxa"/>
          </w:tcPr>
          <w:p w14:paraId="17FC6522">
            <w:pPr>
              <w:pStyle w:val="21"/>
              <w:keepNext w:val="0"/>
              <w:keepLines w:val="0"/>
              <w:pageBreakBefore w:val="0"/>
              <w:widowControl/>
              <w:numPr>
                <w:ilvl w:val="1"/>
                <w:numId w:val="0"/>
              </w:numPr>
              <w:kinsoku/>
              <w:wordWrap/>
              <w:overflowPunct/>
              <w:topLinePunct w:val="0"/>
              <w:bidi w:val="0"/>
              <w:adjustRightInd/>
              <w:snapToGrid/>
              <w:spacing w:before="0" w:beforeLines="0" w:after="0" w:afterLines="0" w:line="240" w:lineRule="auto"/>
              <w:ind w:leftChars="0"/>
              <w:textAlignment w:val="auto"/>
              <w:rPr>
                <w:rFonts w:hint="eastAsia" w:ascii="Times New Roman Regular" w:hAnsi="Times New Roman Regular" w:cs="Times New Roman Regular"/>
                <w:sz w:val="21"/>
                <w:szCs w:val="21"/>
              </w:rPr>
            </w:pPr>
            <w:bookmarkStart w:id="36" w:name="_Toc3969"/>
            <w:bookmarkStart w:id="37" w:name="heading_1"/>
            <w:bookmarkStart w:id="38" w:name="_Toc31293"/>
            <w:bookmarkStart w:id="39" w:name="_Toc20539"/>
            <w:r>
              <w:rPr>
                <w:rFonts w:hint="eastAsia" w:ascii="Times New Roman Regular" w:hAnsi="Times New Roman Regular" w:cs="Times New Roman Regular"/>
                <w:sz w:val="21"/>
                <w:szCs w:val="21"/>
                <w:lang w:val="en-US" w:eastAsia="zh-CN"/>
              </w:rPr>
              <w:t>1 范围</w:t>
            </w:r>
            <w:bookmarkEnd w:id="36"/>
            <w:bookmarkEnd w:id="37"/>
            <w:bookmarkEnd w:id="38"/>
            <w:bookmarkEnd w:id="39"/>
          </w:p>
          <w:p w14:paraId="75764B2C">
            <w:pPr>
              <w:pStyle w:val="20"/>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default" w:ascii="Times New Roman Regular" w:hAnsi="Times New Roman Regular" w:cs="Times New Roman Regular"/>
                <w:sz w:val="21"/>
                <w:szCs w:val="21"/>
                <w:lang w:val="en-US" w:eastAsia="zh-CN"/>
              </w:rPr>
            </w:pPr>
            <w:r>
              <w:rPr>
                <w:rFonts w:hint="default" w:ascii="Times New Roman Regular" w:hAnsi="Times New Roman Regular" w:cs="Times New Roman Regular"/>
                <w:sz w:val="21"/>
                <w:szCs w:val="21"/>
                <w:lang w:val="en-US" w:eastAsia="zh-CN"/>
              </w:rPr>
              <w:t>本</w:t>
            </w:r>
            <w:r>
              <w:rPr>
                <w:rFonts w:hint="eastAsia" w:ascii="Times New Roman Regular" w:hAnsi="Times New Roman Regular" w:cs="Times New Roman Regular"/>
                <w:sz w:val="21"/>
                <w:szCs w:val="21"/>
                <w:lang w:val="en-US" w:eastAsia="zh-CN"/>
              </w:rPr>
              <w:t>文件</w:t>
            </w:r>
            <w:r>
              <w:rPr>
                <w:rFonts w:hint="default" w:ascii="Times New Roman Regular" w:hAnsi="Times New Roman Regular" w:cs="Times New Roman Regular"/>
                <w:sz w:val="21"/>
                <w:szCs w:val="21"/>
                <w:lang w:val="en-US" w:eastAsia="zh-CN"/>
              </w:rPr>
              <w:t>规定了</w:t>
            </w:r>
            <w:r>
              <w:rPr>
                <w:rFonts w:hint="eastAsia" w:ascii="Times New Roman Regular" w:hAnsi="Times New Roman Regular" w:cs="Times New Roman Regular"/>
                <w:sz w:val="21"/>
                <w:szCs w:val="21"/>
                <w:lang w:val="en-US" w:eastAsia="zh-CN"/>
              </w:rPr>
              <w:t>道路</w:t>
            </w:r>
            <w:r>
              <w:rPr>
                <w:rFonts w:hint="default" w:ascii="Times New Roman Regular" w:hAnsi="Times New Roman Regular" w:cs="Times New Roman Regular"/>
                <w:sz w:val="21"/>
                <w:szCs w:val="21"/>
                <w:lang w:val="en-US" w:eastAsia="zh-CN"/>
              </w:rPr>
              <w:t>客运电子标志牌的</w:t>
            </w:r>
            <w:r>
              <w:rPr>
                <w:rFonts w:hint="eastAsia" w:ascii="Times New Roman Regular" w:hAnsi="Times New Roman Regular" w:cs="Times New Roman Regular"/>
                <w:sz w:val="21"/>
                <w:szCs w:val="21"/>
                <w:lang w:val="en-US" w:eastAsia="zh-CN"/>
              </w:rPr>
              <w:t>安装、显示信息和信息管理等要求</w:t>
            </w:r>
            <w:r>
              <w:rPr>
                <w:rFonts w:hint="default" w:ascii="Times New Roman Regular" w:hAnsi="Times New Roman Regular" w:cs="Times New Roman Regular"/>
                <w:sz w:val="21"/>
                <w:szCs w:val="21"/>
                <w:lang w:val="en-US" w:eastAsia="zh-CN"/>
              </w:rPr>
              <w:t>。</w:t>
            </w:r>
          </w:p>
          <w:p w14:paraId="43054A7A">
            <w:pPr>
              <w:pStyle w:val="20"/>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default" w:ascii="仿宋" w:hAnsi="仿宋" w:eastAsia="仿宋" w:cs="仿宋"/>
                <w:kern w:val="2"/>
                <w:sz w:val="21"/>
                <w:szCs w:val="21"/>
                <w:vertAlign w:val="baseline"/>
                <w:lang w:val="en-US" w:eastAsia="zh-CN" w:bidi="ar-SA"/>
              </w:rPr>
            </w:pPr>
            <w:r>
              <w:rPr>
                <w:rFonts w:hint="default" w:ascii="Times New Roman Regular" w:hAnsi="Times New Roman Regular" w:cs="Times New Roman Regular"/>
                <w:sz w:val="21"/>
                <w:szCs w:val="21"/>
                <w:lang w:val="en-US" w:eastAsia="zh-CN"/>
              </w:rPr>
              <w:t>本</w:t>
            </w:r>
            <w:r>
              <w:rPr>
                <w:rFonts w:hint="eastAsia" w:ascii="Times New Roman Regular" w:hAnsi="Times New Roman Regular" w:cs="Times New Roman Regular"/>
                <w:sz w:val="21"/>
                <w:szCs w:val="21"/>
                <w:lang w:val="en-US" w:eastAsia="zh-CN"/>
              </w:rPr>
              <w:t>文件</w:t>
            </w:r>
            <w:r>
              <w:rPr>
                <w:rFonts w:hint="default" w:ascii="Times New Roman Regular" w:hAnsi="Times New Roman Regular" w:cs="Times New Roman Regular"/>
                <w:sz w:val="21"/>
                <w:szCs w:val="21"/>
                <w:lang w:val="en-US" w:eastAsia="zh-CN"/>
              </w:rPr>
              <w:t>适用于四川省和重庆市的道路运输客运电子标志牌</w:t>
            </w:r>
            <w:r>
              <w:rPr>
                <w:rFonts w:hint="eastAsia" w:ascii="Times New Roman Regular" w:hAnsi="Times New Roman Regular" w:cs="Times New Roman Regular"/>
                <w:sz w:val="21"/>
                <w:szCs w:val="21"/>
                <w:lang w:val="en-US" w:eastAsia="zh-CN"/>
              </w:rPr>
              <w:t>管理</w:t>
            </w:r>
            <w:r>
              <w:rPr>
                <w:rFonts w:hint="default" w:ascii="Times New Roman Regular" w:hAnsi="Times New Roman Regular" w:cs="Times New Roman Regular"/>
                <w:sz w:val="21"/>
                <w:szCs w:val="21"/>
                <w:lang w:val="en-US" w:eastAsia="zh-CN"/>
              </w:rPr>
              <w:t>。</w:t>
            </w:r>
          </w:p>
        </w:tc>
        <w:tc>
          <w:tcPr>
            <w:tcW w:w="4026" w:type="dxa"/>
          </w:tcPr>
          <w:p w14:paraId="5C07FF98">
            <w:pPr>
              <w:pStyle w:val="20"/>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default" w:ascii="仿宋" w:hAnsi="仿宋" w:eastAsia="仿宋" w:cs="仿宋"/>
                <w:kern w:val="2"/>
                <w:sz w:val="21"/>
                <w:szCs w:val="21"/>
                <w:vertAlign w:val="baseline"/>
                <w:lang w:val="en-US" w:eastAsia="zh-CN" w:bidi="ar-SA"/>
              </w:rPr>
            </w:pPr>
            <w:r>
              <w:rPr>
                <w:rFonts w:hint="eastAsia" w:ascii="Times New Roman Regular" w:hAnsi="Times New Roman Regular" w:cs="Times New Roman Regular"/>
                <w:sz w:val="21"/>
                <w:szCs w:val="21"/>
                <w:lang w:val="en-US" w:eastAsia="zh-CN"/>
              </w:rPr>
              <w:t>本条明确了《规范》的标准化对象和所覆盖方面为</w:t>
            </w:r>
            <w:r>
              <w:rPr>
                <w:rFonts w:hint="default" w:ascii="Times New Roman Regular" w:hAnsi="Times New Roman Regular" w:cs="Times New Roman Regular"/>
                <w:sz w:val="21"/>
                <w:szCs w:val="21"/>
                <w:lang w:val="en-US" w:eastAsia="zh-CN"/>
              </w:rPr>
              <w:t>道路运输客运电子标志牌的</w:t>
            </w:r>
            <w:r>
              <w:rPr>
                <w:rFonts w:hint="eastAsia" w:ascii="Times New Roman Regular" w:hAnsi="Times New Roman Regular" w:cs="Times New Roman Regular"/>
                <w:sz w:val="21"/>
                <w:szCs w:val="21"/>
                <w:lang w:val="en-US" w:eastAsia="zh-CN"/>
              </w:rPr>
              <w:t>安装、显示信息和信息管理；适用界限为</w:t>
            </w:r>
            <w:r>
              <w:rPr>
                <w:rFonts w:hint="default" w:ascii="Times New Roman Regular" w:hAnsi="Times New Roman Regular" w:cs="Times New Roman Regular"/>
                <w:sz w:val="21"/>
                <w:szCs w:val="21"/>
                <w:lang w:val="en-US" w:eastAsia="zh-CN"/>
              </w:rPr>
              <w:t>四川省和重庆市的道路运输客运电子标志牌</w:t>
            </w:r>
            <w:r>
              <w:rPr>
                <w:rFonts w:hint="eastAsia" w:ascii="Times New Roman Regular" w:hAnsi="Times New Roman Regular" w:cs="Times New Roman Regular"/>
                <w:sz w:val="21"/>
                <w:szCs w:val="21"/>
                <w:lang w:val="en-US" w:eastAsia="zh-CN"/>
              </w:rPr>
              <w:t>管理</w:t>
            </w:r>
            <w:r>
              <w:rPr>
                <w:rFonts w:hint="default" w:ascii="Times New Roman Regular" w:hAnsi="Times New Roman Regular" w:cs="Times New Roman Regular"/>
                <w:sz w:val="21"/>
                <w:szCs w:val="21"/>
                <w:lang w:val="en-US" w:eastAsia="zh-CN"/>
              </w:rPr>
              <w:t>。</w:t>
            </w:r>
          </w:p>
        </w:tc>
      </w:tr>
      <w:tr w14:paraId="264BE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203D4904">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2</w:t>
            </w:r>
          </w:p>
        </w:tc>
        <w:tc>
          <w:tcPr>
            <w:tcW w:w="3766" w:type="dxa"/>
          </w:tcPr>
          <w:p w14:paraId="5C423FC5">
            <w:pPr>
              <w:pStyle w:val="21"/>
              <w:keepNext w:val="0"/>
              <w:keepLines w:val="0"/>
              <w:pageBreakBefore w:val="0"/>
              <w:widowControl/>
              <w:numPr>
                <w:ilvl w:val="1"/>
                <w:numId w:val="0"/>
              </w:numPr>
              <w:kinsoku/>
              <w:wordWrap/>
              <w:overflowPunct/>
              <w:topLinePunct w:val="0"/>
              <w:autoSpaceDE/>
              <w:autoSpaceDN/>
              <w:bidi w:val="0"/>
              <w:adjustRightInd/>
              <w:snapToGrid/>
              <w:spacing w:before="0" w:beforeLines="0" w:after="0" w:afterLines="0" w:line="240" w:lineRule="auto"/>
              <w:ind w:leftChars="0"/>
              <w:textAlignment w:val="auto"/>
              <w:rPr>
                <w:rFonts w:hint="eastAsia" w:ascii="Times New Roman Regular" w:hAnsi="Times New Roman Regular" w:cs="Times New Roman Regular"/>
                <w:sz w:val="21"/>
                <w:szCs w:val="21"/>
                <w:lang w:val="en-US" w:eastAsia="zh-CN"/>
              </w:rPr>
            </w:pPr>
            <w:bookmarkStart w:id="40" w:name="_Toc6625"/>
            <w:bookmarkStart w:id="41" w:name="_Toc11135"/>
            <w:bookmarkStart w:id="42" w:name="_Toc11329"/>
            <w:r>
              <w:rPr>
                <w:rFonts w:hint="eastAsia" w:ascii="Times New Roman Regular" w:hAnsi="Times New Roman Regular" w:cs="Times New Roman Regular"/>
                <w:sz w:val="21"/>
                <w:szCs w:val="21"/>
                <w:lang w:val="en-US" w:eastAsia="zh-CN"/>
              </w:rPr>
              <w:t>2 规范性引用文件</w:t>
            </w:r>
            <w:bookmarkEnd w:id="40"/>
            <w:bookmarkEnd w:id="41"/>
            <w:bookmarkEnd w:id="42"/>
          </w:p>
          <w:p w14:paraId="6F34EE9B">
            <w:pPr>
              <w:pStyle w:val="20"/>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eastAsia" w:ascii="Times New Roman Regular" w:hAnsi="Times New Roman Regular" w:cs="Times New Roman Regular"/>
                <w:sz w:val="21"/>
                <w:szCs w:val="21"/>
                <w:lang w:val="en-US" w:eastAsia="zh-CN"/>
              </w:rPr>
            </w:pPr>
            <w:r>
              <w:rPr>
                <w:rFonts w:hint="eastAsia" w:ascii="Times New Roman Regular" w:hAnsi="Times New Roman Regular" w:cs="Times New Roman Regular"/>
                <w:sz w:val="21"/>
                <w:szCs w:val="21"/>
                <w:lang w:val="en-US" w:eastAsia="zh-CN"/>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6C7C9A23">
            <w:pPr>
              <w:pStyle w:val="20"/>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default" w:ascii="Times New Roman Regular" w:hAnsi="Times New Roman Regular" w:cs="Times New Roman Regular"/>
                <w:sz w:val="21"/>
                <w:szCs w:val="21"/>
                <w:lang w:val="en-US" w:eastAsia="zh-CN"/>
              </w:rPr>
            </w:pPr>
            <w:r>
              <w:rPr>
                <w:rFonts w:hint="default" w:ascii="Times New Roman Regular" w:hAnsi="Times New Roman Regular" w:cs="Times New Roman Regular"/>
                <w:sz w:val="21"/>
                <w:szCs w:val="21"/>
                <w:lang w:val="en-US" w:eastAsia="zh-CN"/>
              </w:rPr>
              <w:t>GB/T 8226</w:t>
            </w:r>
            <w:r>
              <w:rPr>
                <w:rFonts w:hint="eastAsia" w:ascii="Times New Roman Regular" w:hAnsi="Times New Roman Regular" w:cs="Times New Roman Regular"/>
                <w:sz w:val="21"/>
                <w:szCs w:val="21"/>
                <w:lang w:val="en-US" w:eastAsia="zh-CN"/>
              </w:rPr>
              <w:t xml:space="preserve"> </w:t>
            </w:r>
            <w:r>
              <w:rPr>
                <w:rFonts w:hint="default" w:ascii="Times New Roman Regular" w:hAnsi="Times New Roman Regular" w:cs="Times New Roman Regular"/>
                <w:sz w:val="21"/>
                <w:szCs w:val="21"/>
                <w:lang w:val="en-US" w:eastAsia="zh-CN"/>
              </w:rPr>
              <w:t>道路运输术语</w:t>
            </w:r>
          </w:p>
          <w:p w14:paraId="0DA18B42">
            <w:pPr>
              <w:pStyle w:val="20"/>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default" w:ascii="Times New Roman Regular" w:hAnsi="Times New Roman Regular" w:cs="Times New Roman Regular"/>
                <w:sz w:val="21"/>
                <w:szCs w:val="21"/>
                <w:lang w:val="en-US" w:eastAsia="zh-CN"/>
              </w:rPr>
            </w:pPr>
            <w:r>
              <w:rPr>
                <w:rFonts w:hint="default" w:ascii="Times New Roman Regular" w:hAnsi="Times New Roman Regular" w:cs="Times New Roman Regular"/>
                <w:sz w:val="21"/>
                <w:szCs w:val="21"/>
                <w:lang w:val="en-US" w:eastAsia="zh-CN"/>
              </w:rPr>
              <w:t>GB</w:t>
            </w:r>
            <w:r>
              <w:rPr>
                <w:rFonts w:hint="eastAsia" w:ascii="Times New Roman Regular" w:hAnsi="Times New Roman Regular" w:cs="Times New Roman Regular"/>
                <w:sz w:val="21"/>
                <w:szCs w:val="21"/>
                <w:lang w:val="en-US" w:eastAsia="zh-CN"/>
              </w:rPr>
              <w:t xml:space="preserve"> </w:t>
            </w:r>
            <w:r>
              <w:rPr>
                <w:rFonts w:hint="default" w:ascii="Times New Roman Regular" w:hAnsi="Times New Roman Regular" w:cs="Times New Roman Regular"/>
                <w:sz w:val="21"/>
                <w:szCs w:val="21"/>
                <w:lang w:val="en-US" w:eastAsia="zh-CN"/>
              </w:rPr>
              <w:t>18030</w:t>
            </w:r>
            <w:r>
              <w:rPr>
                <w:rFonts w:hint="eastAsia" w:ascii="Times New Roman Regular" w:hAnsi="Times New Roman Regular" w:cs="Times New Roman Regular"/>
                <w:sz w:val="21"/>
                <w:szCs w:val="21"/>
                <w:lang w:val="en-US" w:eastAsia="zh-CN"/>
              </w:rPr>
              <w:t xml:space="preserve"> </w:t>
            </w:r>
            <w:r>
              <w:rPr>
                <w:rFonts w:hint="default" w:ascii="Times New Roman Regular" w:hAnsi="Times New Roman Regular" w:cs="Times New Roman Regular"/>
                <w:sz w:val="21"/>
                <w:szCs w:val="21"/>
                <w:lang w:val="en-US" w:eastAsia="zh-CN"/>
              </w:rPr>
              <w:t>信息技术</w:t>
            </w:r>
            <w:r>
              <w:rPr>
                <w:rFonts w:hint="eastAsia" w:ascii="Times New Roman Regular" w:hAnsi="Times New Roman Regular" w:cs="Times New Roman Regular"/>
                <w:sz w:val="21"/>
                <w:szCs w:val="21"/>
                <w:lang w:val="en-US" w:eastAsia="zh-CN"/>
              </w:rPr>
              <w:t xml:space="preserve"> </w:t>
            </w:r>
            <w:r>
              <w:rPr>
                <w:rFonts w:hint="default" w:ascii="Times New Roman Regular" w:hAnsi="Times New Roman Regular" w:cs="Times New Roman Regular"/>
                <w:sz w:val="21"/>
                <w:szCs w:val="21"/>
                <w:lang w:val="en-US" w:eastAsia="zh-CN"/>
              </w:rPr>
              <w:t>中文编码字符集</w:t>
            </w:r>
          </w:p>
          <w:p w14:paraId="32462818">
            <w:pPr>
              <w:pStyle w:val="20"/>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default" w:ascii="Times New Roman Regular" w:hAnsi="Times New Roman Regular" w:cs="Times New Roman Regular"/>
                <w:sz w:val="21"/>
                <w:szCs w:val="21"/>
                <w:lang w:val="en-US" w:eastAsia="zh-CN"/>
              </w:rPr>
            </w:pPr>
            <w:r>
              <w:rPr>
                <w:rFonts w:hint="default" w:ascii="Times New Roman Regular" w:hAnsi="Times New Roman Regular" w:cs="Times New Roman Regular"/>
                <w:sz w:val="21"/>
                <w:szCs w:val="21"/>
                <w:lang w:val="en-US" w:eastAsia="zh-CN"/>
              </w:rPr>
              <w:t>GB/T 1988</w:t>
            </w:r>
            <w:r>
              <w:rPr>
                <w:rFonts w:hint="eastAsia" w:ascii="Times New Roman Regular" w:hAnsi="Times New Roman Regular" w:cs="Times New Roman Regular"/>
                <w:sz w:val="21"/>
                <w:szCs w:val="21"/>
                <w:lang w:val="en-US" w:eastAsia="zh-CN"/>
              </w:rPr>
              <w:t xml:space="preserve"> </w:t>
            </w:r>
            <w:r>
              <w:rPr>
                <w:rFonts w:hint="default" w:ascii="Times New Roman Regular" w:hAnsi="Times New Roman Regular" w:cs="Times New Roman Regular"/>
                <w:sz w:val="21"/>
                <w:szCs w:val="21"/>
                <w:lang w:val="en-US" w:eastAsia="zh-CN"/>
              </w:rPr>
              <w:t>信息技术</w:t>
            </w:r>
            <w:r>
              <w:rPr>
                <w:rFonts w:hint="eastAsia" w:ascii="Times New Roman Regular" w:hAnsi="Times New Roman Regular" w:cs="Times New Roman Regular"/>
                <w:sz w:val="21"/>
                <w:szCs w:val="21"/>
                <w:lang w:val="en-US" w:eastAsia="zh-CN"/>
              </w:rPr>
              <w:t xml:space="preserve"> </w:t>
            </w:r>
            <w:r>
              <w:rPr>
                <w:rFonts w:hint="default" w:ascii="Times New Roman Regular" w:hAnsi="Times New Roman Regular" w:cs="Times New Roman Regular"/>
                <w:sz w:val="21"/>
                <w:szCs w:val="21"/>
                <w:lang w:val="en-US" w:eastAsia="zh-CN"/>
              </w:rPr>
              <w:t>信息交换用七位编码字符集</w:t>
            </w:r>
          </w:p>
          <w:p w14:paraId="2C02E992">
            <w:pPr>
              <w:pStyle w:val="20"/>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eastAsia" w:ascii="Times New Roman Regular" w:hAnsi="Times New Roman Regular" w:cs="Times New Roman Regular"/>
                <w:sz w:val="21"/>
                <w:szCs w:val="21"/>
                <w:lang w:val="en-US" w:eastAsia="zh-CN"/>
              </w:rPr>
            </w:pPr>
            <w:r>
              <w:rPr>
                <w:rFonts w:hint="eastAsia" w:ascii="Times New Roman Regular" w:hAnsi="Times New Roman Regular" w:cs="Times New Roman Regular"/>
                <w:sz w:val="21"/>
                <w:szCs w:val="21"/>
                <w:lang w:val="en-US" w:eastAsia="zh-CN"/>
              </w:rPr>
              <w:t>GB/T 40204 追溯二维码技术通则</w:t>
            </w:r>
          </w:p>
          <w:p w14:paraId="0DC14152">
            <w:pPr>
              <w:pStyle w:val="20"/>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default" w:ascii="Times New Roman Regular" w:hAnsi="Times New Roman Regular" w:cs="Times New Roman Regular"/>
                <w:sz w:val="21"/>
                <w:szCs w:val="21"/>
                <w:lang w:val="en-US" w:eastAsia="zh-CN"/>
              </w:rPr>
            </w:pPr>
            <w:r>
              <w:rPr>
                <w:rFonts w:hint="default" w:ascii="Times New Roman Regular" w:hAnsi="Times New Roman Regular" w:cs="Times New Roman Regular"/>
                <w:sz w:val="21"/>
                <w:szCs w:val="21"/>
                <w:lang w:val="en-US" w:eastAsia="zh-CN"/>
              </w:rPr>
              <w:t>GB/T 40684</w:t>
            </w:r>
            <w:r>
              <w:rPr>
                <w:rFonts w:hint="eastAsia" w:ascii="Times New Roman Regular" w:hAnsi="Times New Roman Regular" w:cs="Times New Roman Regular"/>
                <w:sz w:val="21"/>
                <w:szCs w:val="21"/>
                <w:lang w:val="en-US" w:eastAsia="zh-CN"/>
              </w:rPr>
              <w:t xml:space="preserve"> </w:t>
            </w:r>
            <w:r>
              <w:rPr>
                <w:rFonts w:hint="default" w:ascii="Times New Roman Regular" w:hAnsi="Times New Roman Regular" w:cs="Times New Roman Regular"/>
                <w:sz w:val="21"/>
                <w:szCs w:val="21"/>
                <w:lang w:val="en-US" w:eastAsia="zh-CN"/>
              </w:rPr>
              <w:t>物联网</w:t>
            </w:r>
            <w:r>
              <w:rPr>
                <w:rFonts w:hint="eastAsia" w:ascii="Times New Roman Regular" w:hAnsi="Times New Roman Regular" w:cs="Times New Roman Regular"/>
                <w:sz w:val="21"/>
                <w:szCs w:val="21"/>
                <w:lang w:val="en-US" w:eastAsia="zh-CN"/>
              </w:rPr>
              <w:t xml:space="preserve"> </w:t>
            </w:r>
            <w:r>
              <w:rPr>
                <w:rFonts w:hint="default" w:ascii="Times New Roman Regular" w:hAnsi="Times New Roman Regular" w:cs="Times New Roman Regular"/>
                <w:sz w:val="21"/>
                <w:szCs w:val="21"/>
                <w:lang w:val="en-US" w:eastAsia="zh-CN"/>
              </w:rPr>
              <w:t>信息共享和交换平台通用要求</w:t>
            </w:r>
          </w:p>
          <w:p w14:paraId="04F5BF31">
            <w:pPr>
              <w:pStyle w:val="20"/>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default" w:ascii="Times New Roman Regular" w:hAnsi="Times New Roman Regular" w:cs="Times New Roman Regular"/>
                <w:sz w:val="21"/>
                <w:szCs w:val="21"/>
                <w:lang w:val="en-US" w:eastAsia="zh-CN"/>
              </w:rPr>
            </w:pPr>
            <w:r>
              <w:rPr>
                <w:rFonts w:hint="default" w:ascii="Times New Roman Regular" w:hAnsi="Times New Roman Regular" w:cs="Times New Roman Regular"/>
                <w:sz w:val="21"/>
                <w:szCs w:val="21"/>
                <w:lang w:val="en-US" w:eastAsia="zh-CN"/>
              </w:rPr>
              <w:t>GB/T 41239</w:t>
            </w:r>
            <w:r>
              <w:rPr>
                <w:rFonts w:hint="eastAsia" w:ascii="Times New Roman Regular" w:hAnsi="Times New Roman Regular" w:cs="Times New Roman Regular"/>
                <w:sz w:val="21"/>
                <w:szCs w:val="21"/>
                <w:lang w:val="en-US" w:eastAsia="zh-CN"/>
              </w:rPr>
              <w:t xml:space="preserve"> </w:t>
            </w:r>
            <w:r>
              <w:rPr>
                <w:rFonts w:hint="default" w:ascii="Times New Roman Regular" w:hAnsi="Times New Roman Regular" w:cs="Times New Roman Regular"/>
                <w:sz w:val="21"/>
                <w:szCs w:val="21"/>
                <w:lang w:val="en-US" w:eastAsia="zh-CN"/>
              </w:rPr>
              <w:t>公众电信网</w:t>
            </w:r>
            <w:r>
              <w:rPr>
                <w:rFonts w:hint="eastAsia" w:ascii="Times New Roman Regular" w:hAnsi="Times New Roman Regular" w:cs="Times New Roman Regular"/>
                <w:sz w:val="21"/>
                <w:szCs w:val="21"/>
                <w:lang w:val="en-US" w:eastAsia="zh-CN"/>
              </w:rPr>
              <w:t xml:space="preserve"> </w:t>
            </w:r>
            <w:r>
              <w:rPr>
                <w:rFonts w:hint="default" w:ascii="Times New Roman Regular" w:hAnsi="Times New Roman Regular" w:cs="Times New Roman Regular"/>
                <w:sz w:val="21"/>
                <w:szCs w:val="21"/>
                <w:lang w:val="en-US" w:eastAsia="zh-CN"/>
              </w:rPr>
              <w:t>汽车信息服务要求</w:t>
            </w:r>
          </w:p>
          <w:p w14:paraId="649ED0E4">
            <w:pPr>
              <w:pStyle w:val="20"/>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default" w:ascii="仿宋" w:hAnsi="仿宋" w:eastAsia="仿宋" w:cs="仿宋"/>
                <w:kern w:val="2"/>
                <w:sz w:val="21"/>
                <w:szCs w:val="21"/>
                <w:vertAlign w:val="baseline"/>
                <w:lang w:val="en-US" w:eastAsia="zh-CN" w:bidi="ar-SA"/>
              </w:rPr>
            </w:pPr>
            <w:r>
              <w:rPr>
                <w:rFonts w:hint="default" w:ascii="Times New Roman Regular" w:hAnsi="Times New Roman Regular" w:cs="Times New Roman Regular"/>
                <w:sz w:val="21"/>
                <w:szCs w:val="21"/>
                <w:lang w:val="en-US" w:eastAsia="zh-CN"/>
              </w:rPr>
              <w:t>JT/T 415</w:t>
            </w:r>
            <w:r>
              <w:rPr>
                <w:rFonts w:hint="eastAsia" w:ascii="Times New Roman Regular" w:hAnsi="Times New Roman Regular" w:cs="Times New Roman Regular"/>
                <w:sz w:val="21"/>
                <w:szCs w:val="21"/>
                <w:lang w:val="en-US" w:eastAsia="zh-CN"/>
              </w:rPr>
              <w:t xml:space="preserve"> </w:t>
            </w:r>
            <w:r>
              <w:rPr>
                <w:rFonts w:hint="default" w:ascii="Times New Roman Regular" w:hAnsi="Times New Roman Regular" w:cs="Times New Roman Regular"/>
                <w:sz w:val="21"/>
                <w:szCs w:val="21"/>
                <w:lang w:val="en-US" w:eastAsia="zh-CN"/>
              </w:rPr>
              <w:t>道路运输电子政务平台信息分类与编码</w:t>
            </w:r>
          </w:p>
        </w:tc>
        <w:tc>
          <w:tcPr>
            <w:tcW w:w="4026" w:type="dxa"/>
          </w:tcPr>
          <w:p w14:paraId="6951B04C">
            <w:pPr>
              <w:keepNext w:val="0"/>
              <w:keepLines w:val="0"/>
              <w:pageBreakBefore w:val="0"/>
              <w:widowControl w:val="0"/>
              <w:tabs>
                <w:tab w:val="left" w:pos="319"/>
              </w:tabs>
              <w:kinsoku/>
              <w:wordWrap/>
              <w:overflowPunct/>
              <w:topLinePunct w:val="0"/>
              <w:autoSpaceDE/>
              <w:autoSpaceDN/>
              <w:bidi w:val="0"/>
              <w:adjustRightInd/>
              <w:snapToGrid/>
              <w:spacing w:before="0" w:line="240" w:lineRule="auto"/>
              <w:ind w:firstLine="420" w:firstLineChars="200"/>
              <w:textAlignment w:val="auto"/>
              <w:rPr>
                <w:rFonts w:hint="eastAsia" w:ascii="Times New Roman Regular" w:hAnsi="Times New Roman Regular" w:eastAsia="宋体" w:cs="Times New Roman Regular"/>
                <w:kern w:val="0"/>
                <w:sz w:val="21"/>
                <w:szCs w:val="21"/>
                <w:lang w:val="en-US" w:eastAsia="zh-CN" w:bidi="ar-SA"/>
              </w:rPr>
            </w:pPr>
            <w:r>
              <w:rPr>
                <w:rFonts w:hint="eastAsia" w:ascii="Times New Roman Regular" w:hAnsi="Times New Roman Regular" w:cs="Times New Roman Regular"/>
                <w:sz w:val="21"/>
                <w:szCs w:val="21"/>
                <w:lang w:val="en-US" w:eastAsia="zh-CN"/>
              </w:rPr>
              <w:t>本条</w:t>
            </w:r>
            <w:r>
              <w:rPr>
                <w:rFonts w:hint="eastAsia" w:ascii="Times New Roman Regular" w:hAnsi="Times New Roman Regular" w:eastAsia="宋体" w:cs="Times New Roman Regular"/>
                <w:kern w:val="0"/>
                <w:sz w:val="21"/>
                <w:szCs w:val="21"/>
                <w:lang w:val="en-US" w:eastAsia="zh-CN" w:bidi="ar-SA"/>
              </w:rPr>
              <w:t>列出了在《规范》中进行了规范性引用的6项国家标准化文件和1项交通运输行业标准化文件，并且均为不注明日期引用。</w:t>
            </w:r>
          </w:p>
          <w:p w14:paraId="16B4B746">
            <w:pPr>
              <w:pStyle w:val="20"/>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eastAsia" w:ascii="Times New Roman Regular" w:hAnsi="Times New Roman Regular" w:cs="Times New Roman Regular"/>
                <w:kern w:val="0"/>
                <w:sz w:val="21"/>
                <w:szCs w:val="21"/>
                <w:lang w:val="en-US" w:eastAsia="zh-CN" w:bidi="ar-SA"/>
              </w:rPr>
            </w:pPr>
            <w:r>
              <w:rPr>
                <w:rFonts w:hint="eastAsia" w:ascii="Times New Roman Regular" w:hAnsi="Times New Roman Regular" w:eastAsia="宋体" w:cs="Times New Roman Regular"/>
                <w:kern w:val="0"/>
                <w:sz w:val="21"/>
                <w:szCs w:val="21"/>
                <w:lang w:val="en-US" w:eastAsia="zh-CN" w:bidi="ar-SA"/>
              </w:rPr>
              <w:t>对于</w:t>
            </w:r>
            <w:r>
              <w:rPr>
                <w:rFonts w:hint="eastAsia" w:ascii="Times New Roman Regular" w:hAnsi="Times New Roman Regular" w:cs="Times New Roman Regular"/>
                <w:kern w:val="0"/>
                <w:sz w:val="21"/>
                <w:szCs w:val="21"/>
                <w:lang w:val="en-US" w:eastAsia="zh-CN" w:bidi="ar-SA"/>
              </w:rPr>
              <w:t>起草</w:t>
            </w:r>
            <w:r>
              <w:rPr>
                <w:rFonts w:hint="eastAsia" w:ascii="Times New Roman Regular" w:hAnsi="Times New Roman Regular" w:eastAsia="宋体" w:cs="Times New Roman Regular"/>
                <w:kern w:val="0"/>
                <w:sz w:val="21"/>
                <w:szCs w:val="21"/>
                <w:lang w:val="en-US" w:eastAsia="zh-CN" w:bidi="ar-SA"/>
              </w:rPr>
              <w:t>《规范》</w:t>
            </w:r>
            <w:r>
              <w:rPr>
                <w:rFonts w:hint="eastAsia" w:ascii="Times New Roman Regular" w:hAnsi="Times New Roman Regular" w:cs="Times New Roman Regular"/>
                <w:kern w:val="0"/>
                <w:sz w:val="21"/>
                <w:szCs w:val="21"/>
                <w:lang w:val="en-US" w:eastAsia="zh-CN" w:bidi="ar-SA"/>
              </w:rPr>
              <w:t>所依据的行政法规、规章等非标准文件，均作为附录，包括：</w:t>
            </w:r>
          </w:p>
          <w:p w14:paraId="0BFA446F">
            <w:pPr>
              <w:pStyle w:val="20"/>
              <w:keepNext w:val="0"/>
              <w:keepLines w:val="0"/>
              <w:pageBreakBefore w:val="0"/>
              <w:widowControl/>
              <w:numPr>
                <w:ilvl w:val="0"/>
                <w:numId w:val="4"/>
              </w:numPr>
              <w:kinsoku/>
              <w:wordWrap/>
              <w:overflowPunct/>
              <w:topLinePunct w:val="0"/>
              <w:autoSpaceDE w:val="0"/>
              <w:autoSpaceDN w:val="0"/>
              <w:bidi w:val="0"/>
              <w:adjustRightInd/>
              <w:snapToGrid/>
              <w:spacing w:line="240" w:lineRule="auto"/>
              <w:ind w:left="0" w:leftChars="0" w:firstLine="420" w:firstLineChars="200"/>
              <w:textAlignment w:val="auto"/>
              <w:rPr>
                <w:rFonts w:hint="default" w:ascii="Times New Roman Regular" w:hAnsi="Times New Roman Regular" w:cs="Times New Roman Regular"/>
                <w:sz w:val="21"/>
                <w:szCs w:val="21"/>
                <w:lang w:val="en-US" w:eastAsia="zh-CN"/>
              </w:rPr>
            </w:pPr>
            <w:r>
              <w:rPr>
                <w:rFonts w:hint="default" w:ascii="Times New Roman Regular" w:hAnsi="Times New Roman Regular" w:cs="Times New Roman Regular"/>
                <w:sz w:val="21"/>
                <w:szCs w:val="21"/>
                <w:lang w:val="en-US" w:eastAsia="zh-CN"/>
              </w:rPr>
              <w:t>中华人民共和国道路运输条例（2022年国务院令第752号）</w:t>
            </w:r>
          </w:p>
          <w:p w14:paraId="767B50AB">
            <w:pPr>
              <w:pStyle w:val="20"/>
              <w:keepNext w:val="0"/>
              <w:keepLines w:val="0"/>
              <w:pageBreakBefore w:val="0"/>
              <w:widowControl/>
              <w:numPr>
                <w:ilvl w:val="0"/>
                <w:numId w:val="4"/>
              </w:numPr>
              <w:kinsoku/>
              <w:wordWrap/>
              <w:overflowPunct/>
              <w:topLinePunct w:val="0"/>
              <w:autoSpaceDE w:val="0"/>
              <w:autoSpaceDN w:val="0"/>
              <w:bidi w:val="0"/>
              <w:adjustRightInd/>
              <w:snapToGrid/>
              <w:spacing w:line="240" w:lineRule="auto"/>
              <w:ind w:left="0" w:leftChars="0" w:firstLine="420" w:firstLineChars="200"/>
              <w:textAlignment w:val="auto"/>
              <w:rPr>
                <w:rFonts w:hint="default" w:ascii="Times New Roman Regular" w:hAnsi="Times New Roman Regular" w:cs="Times New Roman Regular"/>
                <w:sz w:val="21"/>
                <w:szCs w:val="21"/>
                <w:lang w:val="en-US" w:eastAsia="zh-CN"/>
              </w:rPr>
            </w:pPr>
            <w:r>
              <w:rPr>
                <w:rFonts w:hint="default" w:ascii="Times New Roman Regular" w:hAnsi="Times New Roman Regular" w:cs="Times New Roman Regular"/>
                <w:sz w:val="21"/>
                <w:szCs w:val="21"/>
                <w:lang w:val="en-US" w:eastAsia="zh-CN"/>
              </w:rPr>
              <w:t>道路旅客运输及客运站管理规定（交通运输部令2023年第18号）</w:t>
            </w:r>
          </w:p>
          <w:p w14:paraId="6A6A6793">
            <w:pPr>
              <w:pStyle w:val="20"/>
              <w:keepNext w:val="0"/>
              <w:keepLines w:val="0"/>
              <w:pageBreakBefore w:val="0"/>
              <w:widowControl/>
              <w:numPr>
                <w:ilvl w:val="0"/>
                <w:numId w:val="4"/>
              </w:numPr>
              <w:kinsoku/>
              <w:wordWrap/>
              <w:overflowPunct/>
              <w:topLinePunct w:val="0"/>
              <w:autoSpaceDE w:val="0"/>
              <w:autoSpaceDN w:val="0"/>
              <w:bidi w:val="0"/>
              <w:adjustRightInd/>
              <w:snapToGrid/>
              <w:spacing w:line="240" w:lineRule="auto"/>
              <w:ind w:left="0" w:leftChars="0" w:firstLine="420" w:firstLineChars="200"/>
              <w:textAlignment w:val="auto"/>
              <w:rPr>
                <w:rFonts w:hint="default" w:ascii="Times New Roman Regular" w:hAnsi="Times New Roman Regular" w:cs="Times New Roman Regular"/>
                <w:sz w:val="21"/>
                <w:szCs w:val="21"/>
                <w:lang w:val="en-US" w:eastAsia="zh-CN"/>
              </w:rPr>
            </w:pPr>
            <w:r>
              <w:rPr>
                <w:rFonts w:hint="default" w:ascii="Times New Roman Regular" w:hAnsi="Times New Roman Regular" w:cs="Times New Roman Regular"/>
                <w:sz w:val="21"/>
                <w:szCs w:val="21"/>
                <w:lang w:val="en-US" w:eastAsia="zh-CN"/>
              </w:rPr>
              <w:t>四川省道路旅客运输管理办法（2020年四川省人民政府令第338号）</w:t>
            </w:r>
          </w:p>
          <w:p w14:paraId="10CAD7FA">
            <w:pPr>
              <w:pStyle w:val="20"/>
              <w:keepNext w:val="0"/>
              <w:keepLines w:val="0"/>
              <w:pageBreakBefore w:val="0"/>
              <w:widowControl/>
              <w:numPr>
                <w:ilvl w:val="0"/>
                <w:numId w:val="4"/>
              </w:numPr>
              <w:kinsoku/>
              <w:wordWrap/>
              <w:overflowPunct/>
              <w:topLinePunct w:val="0"/>
              <w:autoSpaceDE w:val="0"/>
              <w:autoSpaceDN w:val="0"/>
              <w:bidi w:val="0"/>
              <w:adjustRightInd/>
              <w:snapToGrid/>
              <w:spacing w:line="240" w:lineRule="auto"/>
              <w:ind w:left="0" w:leftChars="0" w:firstLine="420" w:firstLineChars="200"/>
              <w:textAlignment w:val="auto"/>
              <w:rPr>
                <w:rFonts w:hint="default" w:ascii="Times New Roman Regular" w:hAnsi="Times New Roman Regular" w:cs="Times New Roman Regular"/>
                <w:kern w:val="0"/>
                <w:sz w:val="21"/>
                <w:szCs w:val="21"/>
                <w:lang w:val="en-US" w:eastAsia="zh-CN" w:bidi="ar-SA"/>
              </w:rPr>
            </w:pPr>
            <w:r>
              <w:rPr>
                <w:rFonts w:hint="default" w:ascii="Times New Roman Regular" w:hAnsi="Times New Roman Regular" w:cs="Times New Roman Regular"/>
                <w:sz w:val="21"/>
                <w:szCs w:val="21"/>
                <w:lang w:val="en-US" w:eastAsia="zh-CN"/>
              </w:rPr>
              <w:t>交通运输部 国家市场监督管理总局 重庆市人民政府 四川省人民政府关于印发《推动成渝地区双城经济圈综合交通运输高质量发展标准体系》的通知（交科技发〔2024〕24号）</w:t>
            </w:r>
          </w:p>
        </w:tc>
      </w:tr>
      <w:tr w14:paraId="378F6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096FF87A">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3.1</w:t>
            </w:r>
          </w:p>
        </w:tc>
        <w:tc>
          <w:tcPr>
            <w:tcW w:w="3766" w:type="dxa"/>
          </w:tcPr>
          <w:p w14:paraId="1244F059">
            <w:pPr>
              <w:pStyle w:val="21"/>
              <w:keepNext w:val="0"/>
              <w:keepLines w:val="0"/>
              <w:pageBreakBefore w:val="0"/>
              <w:widowControl/>
              <w:numPr>
                <w:ilvl w:val="1"/>
                <w:numId w:val="0"/>
              </w:numPr>
              <w:kinsoku/>
              <w:wordWrap/>
              <w:overflowPunct/>
              <w:topLinePunct w:val="0"/>
              <w:autoSpaceDE/>
              <w:autoSpaceDN/>
              <w:bidi w:val="0"/>
              <w:adjustRightInd/>
              <w:snapToGrid/>
              <w:spacing w:before="0" w:beforeLines="0" w:after="0" w:afterLines="0" w:line="240" w:lineRule="auto"/>
              <w:ind w:leftChars="0"/>
              <w:textAlignment w:val="auto"/>
              <w:rPr>
                <w:rFonts w:hint="eastAsia" w:ascii="Times New Roman Regular" w:hAnsi="Times New Roman Regular" w:cs="Times New Roman Regular"/>
                <w:lang w:val="en-US" w:eastAsia="zh-CN"/>
              </w:rPr>
            </w:pPr>
            <w:bookmarkStart w:id="43" w:name="_Toc27644"/>
            <w:bookmarkStart w:id="44" w:name="_Toc23245"/>
            <w:bookmarkStart w:id="45" w:name="_Toc960"/>
            <w:r>
              <w:rPr>
                <w:rFonts w:hint="eastAsia" w:ascii="Times New Roman Regular" w:hAnsi="Times New Roman Regular" w:cs="Times New Roman Regular"/>
                <w:lang w:val="en-US" w:eastAsia="zh-CN"/>
              </w:rPr>
              <w:t>3 术语和定义</w:t>
            </w:r>
            <w:bookmarkEnd w:id="43"/>
            <w:bookmarkEnd w:id="44"/>
            <w:bookmarkEnd w:id="45"/>
          </w:p>
          <w:p w14:paraId="30150866">
            <w:pPr>
              <w:pStyle w:val="20"/>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eastAsia" w:ascii="宋体" w:hAnsi="宋体" w:eastAsia="宋体" w:cs="宋体"/>
                <w:lang w:val="en-US" w:eastAsia="zh-CN"/>
              </w:rPr>
            </w:pPr>
            <w:r>
              <w:rPr>
                <w:rFonts w:hint="eastAsia" w:ascii="宋体" w:hAnsi="宋体" w:eastAsia="宋体" w:cs="宋体"/>
                <w:lang w:val="en-US" w:eastAsia="zh-CN"/>
              </w:rPr>
              <w:t>下列术语和定义适用于本文件。</w:t>
            </w:r>
          </w:p>
          <w:p w14:paraId="609CA4D6">
            <w:pPr>
              <w:pStyle w:val="22"/>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line="240" w:lineRule="auto"/>
              <w:ind w:leftChars="0"/>
              <w:textAlignment w:val="auto"/>
              <w:rPr>
                <w:rFonts w:hint="default" w:ascii="黑体" w:hAnsi="黑体" w:eastAsia="黑体" w:cs="黑体"/>
                <w:lang w:val="en-US" w:eastAsia="zh-CN"/>
              </w:rPr>
            </w:pPr>
            <w:bookmarkStart w:id="46" w:name="_Toc24491"/>
            <w:bookmarkStart w:id="47" w:name="_Toc8276"/>
            <w:bookmarkStart w:id="48" w:name="_Toc10163"/>
            <w:bookmarkStart w:id="49" w:name="_Toc21412"/>
            <w:bookmarkStart w:id="50" w:name="_Toc930"/>
            <w:r>
              <w:rPr>
                <w:rFonts w:hint="eastAsia" w:ascii="黑体" w:hAnsi="黑体" w:eastAsia="黑体" w:cs="黑体"/>
                <w:lang w:val="en-US" w:eastAsia="zh-CN"/>
              </w:rPr>
              <w:t>3.1</w:t>
            </w:r>
          </w:p>
          <w:p w14:paraId="79D500C4">
            <w:pPr>
              <w:pStyle w:val="22"/>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line="240" w:lineRule="auto"/>
              <w:ind w:leftChars="0" w:firstLine="42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道路客运</w:t>
            </w:r>
            <w:r>
              <w:rPr>
                <w:rFonts w:hint="eastAsia" w:hAnsi="黑体" w:cs="黑体"/>
                <w:lang w:val="en-US" w:eastAsia="zh-CN"/>
              </w:rPr>
              <w:t xml:space="preserve">  </w:t>
            </w:r>
            <w:r>
              <w:rPr>
                <w:rFonts w:hint="eastAsia" w:ascii="黑体" w:hAnsi="黑体" w:eastAsia="黑体" w:cs="黑体"/>
                <w:lang w:val="en-US" w:eastAsia="zh-CN"/>
              </w:rPr>
              <w:t>road passenger transportation</w:t>
            </w:r>
            <w:bookmarkEnd w:id="46"/>
            <w:bookmarkEnd w:id="47"/>
            <w:bookmarkEnd w:id="48"/>
            <w:bookmarkEnd w:id="49"/>
            <w:bookmarkEnd w:id="50"/>
          </w:p>
          <w:p w14:paraId="6D6F7AC8">
            <w:pPr>
              <w:pStyle w:val="20"/>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default" w:ascii="仿宋" w:hAnsi="仿宋" w:eastAsia="仿宋" w:cs="仿宋"/>
                <w:kern w:val="2"/>
                <w:sz w:val="30"/>
                <w:szCs w:val="30"/>
                <w:vertAlign w:val="baseline"/>
                <w:lang w:val="en-US" w:eastAsia="zh-CN" w:bidi="ar-SA"/>
              </w:rPr>
            </w:pPr>
            <w:r>
              <w:rPr>
                <w:rFonts w:hint="eastAsia" w:ascii="宋体" w:hAnsi="宋体" w:eastAsia="宋体" w:cs="宋体"/>
                <w:lang w:val="en-US" w:eastAsia="zh-CN"/>
              </w:rPr>
              <w:t>使用客车运送旅客、为社会公众提供服务、具有商业性质的道路客运活动，包括班车（加班车）客运、包车客运、旅游客运等客运类型。</w:t>
            </w:r>
          </w:p>
        </w:tc>
        <w:tc>
          <w:tcPr>
            <w:tcW w:w="4026" w:type="dxa"/>
          </w:tcPr>
          <w:p w14:paraId="22C71A38">
            <w:pPr>
              <w:pStyle w:val="20"/>
              <w:keepNext w:val="0"/>
              <w:keepLines w:val="0"/>
              <w:pageBreakBefore w:val="0"/>
              <w:widowControl/>
              <w:numPr>
                <w:ilvl w:val="0"/>
                <w:numId w:val="0"/>
              </w:numPr>
              <w:tabs>
                <w:tab w:val="left" w:pos="0"/>
              </w:tabs>
              <w:kinsoku/>
              <w:wordWrap/>
              <w:overflowPunct/>
              <w:topLinePunct w:val="0"/>
              <w:autoSpaceDE w:val="0"/>
              <w:autoSpaceDN w:val="0"/>
              <w:bidi w:val="0"/>
              <w:adjustRightInd/>
              <w:snapToGrid/>
              <w:spacing w:line="240" w:lineRule="auto"/>
              <w:ind w:firstLine="420" w:firstLineChars="200"/>
              <w:textAlignment w:val="auto"/>
              <w:rPr>
                <w:rFonts w:hint="eastAsia" w:ascii="Times New Roman Regular" w:hAnsi="Times New Roman Regular" w:cs="Times New Roman Regular"/>
                <w:sz w:val="21"/>
                <w:szCs w:val="21"/>
                <w:lang w:val="en-US" w:eastAsia="zh-CN"/>
              </w:rPr>
            </w:pPr>
            <w:r>
              <w:rPr>
                <w:rFonts w:hint="eastAsia" w:ascii="Times New Roman Regular" w:hAnsi="Times New Roman Regular" w:cs="Times New Roman Regular"/>
                <w:sz w:val="21"/>
                <w:szCs w:val="21"/>
                <w:lang w:val="en-US" w:eastAsia="zh-CN"/>
              </w:rPr>
              <w:t>本条术语及</w:t>
            </w:r>
            <w:r>
              <w:rPr>
                <w:rFonts w:hint="eastAsia" w:ascii="Times New Roman Regular" w:hAnsi="Times New Roman Regular" w:eastAsia="宋体" w:cs="Times New Roman Regular"/>
                <w:kern w:val="0"/>
                <w:sz w:val="21"/>
                <w:szCs w:val="21"/>
                <w:lang w:val="en-US" w:eastAsia="zh-CN" w:bidi="ar-SA"/>
              </w:rPr>
              <w:t>定义</w:t>
            </w:r>
            <w:r>
              <w:rPr>
                <w:rFonts w:hint="eastAsia" w:ascii="Times New Roman Regular" w:hAnsi="Times New Roman Regular" w:cs="Times New Roman Regular"/>
                <w:sz w:val="21"/>
                <w:szCs w:val="21"/>
                <w:lang w:val="en-US" w:eastAsia="zh-CN"/>
              </w:rPr>
              <w:t>根据</w:t>
            </w:r>
            <w:r>
              <w:rPr>
                <w:rFonts w:hint="default" w:ascii="Times New Roman Regular" w:hAnsi="Times New Roman Regular" w:cs="Times New Roman Regular"/>
                <w:sz w:val="21"/>
                <w:szCs w:val="21"/>
                <w:lang w:val="en-US" w:eastAsia="zh-CN"/>
              </w:rPr>
              <w:t>《道路旅客运输及客运站管理规定》</w:t>
            </w:r>
            <w:r>
              <w:rPr>
                <w:rFonts w:hint="eastAsia" w:ascii="Times New Roman Regular" w:hAnsi="Times New Roman Regular" w:cs="Times New Roman Regular"/>
                <w:sz w:val="21"/>
                <w:szCs w:val="21"/>
                <w:lang w:val="en-US" w:eastAsia="zh-CN"/>
              </w:rPr>
              <w:t>的</w:t>
            </w:r>
            <w:r>
              <w:rPr>
                <w:rFonts w:hint="eastAsia" w:ascii="Times New Roman Regular" w:hAnsi="Times New Roman Regular" w:eastAsia="宋体" w:cs="Times New Roman Regular"/>
                <w:kern w:val="0"/>
                <w:sz w:val="21"/>
                <w:szCs w:val="21"/>
                <w:lang w:val="en-US" w:eastAsia="zh-CN" w:bidi="ar-SA"/>
              </w:rPr>
              <w:t>第三条</w:t>
            </w:r>
            <w:r>
              <w:rPr>
                <w:rFonts w:hint="eastAsia" w:ascii="Times New Roman Regular" w:hAnsi="Times New Roman Regular" w:cs="Times New Roman Regular"/>
                <w:sz w:val="21"/>
                <w:szCs w:val="21"/>
                <w:lang w:val="en-US" w:eastAsia="zh-CN"/>
              </w:rPr>
              <w:t>起草。</w:t>
            </w:r>
          </w:p>
          <w:p w14:paraId="697AB254">
            <w:pPr>
              <w:pStyle w:val="20"/>
              <w:keepNext w:val="0"/>
              <w:keepLines w:val="0"/>
              <w:pageBreakBefore w:val="0"/>
              <w:widowControl/>
              <w:numPr>
                <w:ilvl w:val="0"/>
                <w:numId w:val="0"/>
              </w:numPr>
              <w:tabs>
                <w:tab w:val="left" w:pos="0"/>
              </w:tabs>
              <w:kinsoku/>
              <w:wordWrap/>
              <w:overflowPunct/>
              <w:topLinePunct w:val="0"/>
              <w:autoSpaceDE w:val="0"/>
              <w:autoSpaceDN w:val="0"/>
              <w:bidi w:val="0"/>
              <w:adjustRightInd/>
              <w:snapToGrid/>
              <w:spacing w:line="240" w:lineRule="auto"/>
              <w:ind w:firstLine="420" w:firstLineChars="200"/>
              <w:textAlignment w:val="auto"/>
              <w:rPr>
                <w:rFonts w:hint="default" w:ascii="仿宋" w:hAnsi="仿宋" w:eastAsia="仿宋" w:cs="仿宋"/>
                <w:kern w:val="2"/>
                <w:sz w:val="30"/>
                <w:szCs w:val="30"/>
                <w:vertAlign w:val="baseline"/>
                <w:lang w:val="en-US" w:eastAsia="zh-CN" w:bidi="ar-SA"/>
              </w:rPr>
            </w:pPr>
            <w:r>
              <w:rPr>
                <w:rFonts w:hint="default" w:ascii="Times New Roman Regular" w:hAnsi="Times New Roman Regular" w:cs="Times New Roman Regular"/>
                <w:sz w:val="21"/>
                <w:szCs w:val="21"/>
                <w:lang w:val="en-US" w:eastAsia="zh-CN"/>
              </w:rPr>
              <w:t>《道路旅客运输及客运站管理规定》</w:t>
            </w:r>
            <w:r>
              <w:rPr>
                <w:rFonts w:hint="eastAsia" w:ascii="Times New Roman Regular" w:hAnsi="Times New Roman Regular" w:eastAsia="宋体" w:cs="Times New Roman Regular"/>
                <w:kern w:val="0"/>
                <w:sz w:val="21"/>
                <w:szCs w:val="21"/>
                <w:lang w:val="en-US" w:eastAsia="zh-CN" w:bidi="ar-SA"/>
              </w:rPr>
              <w:t>第三条</w:t>
            </w:r>
            <w:r>
              <w:rPr>
                <w:rFonts w:hint="eastAsia" w:ascii="Times New Roman Regular" w:hAnsi="Times New Roman Regular" w:cs="Times New Roman Regular"/>
                <w:sz w:val="21"/>
                <w:szCs w:val="21"/>
                <w:lang w:val="en-US" w:eastAsia="zh-CN"/>
              </w:rPr>
              <w:t>：</w:t>
            </w:r>
            <w:r>
              <w:rPr>
                <w:rFonts w:hint="eastAsia" w:ascii="Times New Roman Regular" w:hAnsi="Times New Roman Regular" w:eastAsia="宋体" w:cs="Times New Roman Regular"/>
                <w:kern w:val="0"/>
                <w:sz w:val="21"/>
                <w:szCs w:val="21"/>
                <w:lang w:val="en-US" w:eastAsia="zh-CN" w:bidi="ar-SA"/>
              </w:rPr>
              <w:t>本规定所称道路客运经营，是指使用客车运送旅客、为社会公众提供服务、具有商业性质的道路客运活动，包括班车（加班车）客运、包车客运、旅游客运。</w:t>
            </w:r>
          </w:p>
        </w:tc>
      </w:tr>
      <w:tr w14:paraId="5B19E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1B673015">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eastAsia"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3.2</w:t>
            </w:r>
          </w:p>
        </w:tc>
        <w:tc>
          <w:tcPr>
            <w:tcW w:w="3766" w:type="dxa"/>
          </w:tcPr>
          <w:p w14:paraId="484FE36A">
            <w:pPr>
              <w:pStyle w:val="22"/>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line="240" w:lineRule="auto"/>
              <w:ind w:leftChars="0"/>
              <w:textAlignment w:val="auto"/>
              <w:rPr>
                <w:rFonts w:hint="eastAsia" w:ascii="黑体" w:hAnsi="黑体" w:eastAsia="黑体" w:cs="黑体"/>
                <w:lang w:val="en-US" w:eastAsia="zh-CN"/>
              </w:rPr>
            </w:pPr>
            <w:bookmarkStart w:id="51" w:name="_Toc21925"/>
            <w:bookmarkStart w:id="52" w:name="_Toc2107"/>
            <w:bookmarkStart w:id="53" w:name="_Toc3935"/>
            <w:bookmarkStart w:id="54" w:name="_Toc17045"/>
            <w:r>
              <w:rPr>
                <w:rFonts w:hint="eastAsia" w:ascii="黑体" w:hAnsi="黑体" w:eastAsia="黑体" w:cs="黑体"/>
                <w:lang w:val="en-US" w:eastAsia="zh-CN"/>
              </w:rPr>
              <w:t>3.2  客运分类</w:t>
            </w:r>
          </w:p>
          <w:p w14:paraId="0BED85B1">
            <w:pPr>
              <w:pStyle w:val="22"/>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line="240" w:lineRule="auto"/>
              <w:textAlignment w:val="auto"/>
              <w:rPr>
                <w:rFonts w:hint="eastAsia" w:ascii="黑体" w:hAnsi="黑体" w:eastAsia="黑体" w:cs="黑体"/>
                <w:lang w:val="en-US" w:eastAsia="zh-CN"/>
              </w:rPr>
            </w:pPr>
            <w:r>
              <w:rPr>
                <w:rFonts w:hint="eastAsia" w:ascii="黑体" w:hAnsi="黑体" w:eastAsia="黑体" w:cs="黑体"/>
                <w:lang w:val="en-US" w:eastAsia="zh-CN"/>
              </w:rPr>
              <w:t>3.2.1</w:t>
            </w:r>
          </w:p>
          <w:p w14:paraId="0D09D679">
            <w:pPr>
              <w:pStyle w:val="22"/>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line="240" w:lineRule="auto"/>
              <w:ind w:leftChars="0" w:firstLine="420" w:firstLineChars="200"/>
              <w:textAlignment w:val="auto"/>
              <w:rPr>
                <w:rFonts w:hint="default" w:ascii="黑体" w:hAnsi="黑体" w:eastAsia="黑体" w:cs="黑体"/>
                <w:lang w:val="en-US" w:eastAsia="zh-CN"/>
              </w:rPr>
            </w:pPr>
            <w:r>
              <w:rPr>
                <w:rFonts w:hint="eastAsia" w:ascii="黑体" w:hAnsi="黑体" w:eastAsia="黑体" w:cs="黑体"/>
                <w:lang w:val="en-US" w:eastAsia="zh-CN"/>
              </w:rPr>
              <w:t>班车客运</w:t>
            </w:r>
            <w:r>
              <w:rPr>
                <w:rFonts w:hint="eastAsia" w:hAnsi="黑体" w:cs="黑体"/>
                <w:lang w:val="en-US" w:eastAsia="zh-CN"/>
              </w:rPr>
              <w:t xml:space="preserve">  </w:t>
            </w:r>
            <w:r>
              <w:rPr>
                <w:rFonts w:hint="eastAsia" w:ascii="黑体" w:hAnsi="黑体" w:eastAsia="黑体" w:cs="黑体"/>
                <w:lang w:val="en-US" w:eastAsia="zh-CN"/>
              </w:rPr>
              <w:t>scheduled passenger transport</w:t>
            </w:r>
            <w:bookmarkEnd w:id="51"/>
            <w:bookmarkEnd w:id="52"/>
            <w:bookmarkEnd w:id="53"/>
            <w:bookmarkEnd w:id="54"/>
          </w:p>
          <w:p w14:paraId="6288CEDD">
            <w:pPr>
              <w:pStyle w:val="20"/>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eastAsia" w:ascii="Times New Roman Regular" w:hAnsi="Times New Roman Regular" w:cs="Times New Roman Regular"/>
                <w:lang w:val="en-US" w:eastAsia="zh-CN"/>
              </w:rPr>
            </w:pPr>
            <w:r>
              <w:rPr>
                <w:rFonts w:hint="eastAsia" w:ascii="Times New Roman Regular" w:hAnsi="Times New Roman Regular" w:cs="Times New Roman Regular"/>
                <w:lang w:val="en-US" w:eastAsia="zh-CN"/>
              </w:rPr>
              <w:t>客车在城乡道路上按照固定的线路、时间、站点、班次运行的一种客运方式。</w:t>
            </w:r>
          </w:p>
          <w:p w14:paraId="4658E1B9">
            <w:pPr>
              <w:pStyle w:val="20"/>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eastAsia" w:ascii="宋体" w:hAnsi="宋体" w:cs="宋体"/>
                <w:sz w:val="21"/>
                <w:szCs w:val="20"/>
                <w:lang w:val="en-US" w:eastAsia="zh-CN"/>
              </w:rPr>
            </w:pPr>
            <w:r>
              <w:rPr>
                <w:rFonts w:hint="eastAsia" w:ascii="宋体" w:hAnsi="宋体" w:cs="宋体"/>
                <w:sz w:val="21"/>
                <w:szCs w:val="20"/>
                <w:lang w:val="en-US" w:eastAsia="zh-CN"/>
              </w:rPr>
              <w:t>[来源：GB/T 8226-2023,4.2.2,有修改]</w:t>
            </w:r>
          </w:p>
          <w:p w14:paraId="2A2E48F2">
            <w:pPr>
              <w:pStyle w:val="20"/>
              <w:keepNext w:val="0"/>
              <w:keepLines w:val="0"/>
              <w:pageBreakBefore w:val="0"/>
              <w:widowControl/>
              <w:kinsoku/>
              <w:wordWrap/>
              <w:overflowPunct/>
              <w:topLinePunct w:val="0"/>
              <w:autoSpaceDE w:val="0"/>
              <w:autoSpaceDN w:val="0"/>
              <w:bidi w:val="0"/>
              <w:adjustRightInd/>
              <w:snapToGrid/>
              <w:spacing w:line="240" w:lineRule="auto"/>
              <w:ind w:left="717" w:leftChars="170" w:hanging="360" w:hangingChars="200"/>
              <w:jc w:val="left"/>
              <w:textAlignment w:val="auto"/>
              <w:rPr>
                <w:rFonts w:hint="eastAsia" w:ascii="Times New Roman Regular" w:hAnsi="Times New Roman Regular" w:cs="Times New Roman Regular"/>
                <w:sz w:val="18"/>
                <w:szCs w:val="18"/>
                <w:lang w:val="en-US" w:eastAsia="zh-CN"/>
              </w:rPr>
            </w:pPr>
            <w:r>
              <w:rPr>
                <w:rFonts w:hint="eastAsia" w:ascii="黑体" w:hAnsi="黑体" w:eastAsia="黑体" w:cs="黑体"/>
                <w:sz w:val="18"/>
                <w:szCs w:val="18"/>
                <w:lang w:val="en-US" w:eastAsia="zh-CN"/>
              </w:rPr>
              <w:t>注：</w:t>
            </w:r>
            <w:r>
              <w:rPr>
                <w:rFonts w:hint="eastAsia" w:ascii="Times New Roman Regular" w:hAnsi="Times New Roman Regular" w:cs="Times New Roman Regular"/>
                <w:sz w:val="18"/>
                <w:szCs w:val="18"/>
                <w:lang w:val="en-US" w:eastAsia="zh-CN"/>
              </w:rPr>
              <w:t>加班车客运是班车客运的一种补充形式，是在客运班车不能满足需要或者无法正常运营时，临时增加或者调配客车按客运班车的线路、站点运行的方式。</w:t>
            </w:r>
          </w:p>
          <w:p w14:paraId="5C70BE15">
            <w:pPr>
              <w:pStyle w:val="22"/>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line="240" w:lineRule="auto"/>
              <w:textAlignment w:val="auto"/>
              <w:rPr>
                <w:rFonts w:hint="eastAsia" w:ascii="黑体" w:hAnsi="黑体" w:eastAsia="黑体" w:cs="黑体"/>
                <w:lang w:val="en-US" w:eastAsia="zh-CN"/>
              </w:rPr>
            </w:pPr>
            <w:bookmarkStart w:id="55" w:name="_Toc20731"/>
            <w:bookmarkStart w:id="56" w:name="_Toc20589"/>
            <w:bookmarkStart w:id="57" w:name="_Toc10118"/>
            <w:bookmarkStart w:id="58" w:name="_Toc2976"/>
            <w:r>
              <w:rPr>
                <w:rFonts w:hint="eastAsia" w:ascii="黑体" w:hAnsi="黑体" w:eastAsia="黑体" w:cs="黑体"/>
                <w:lang w:val="en-US" w:eastAsia="zh-CN"/>
              </w:rPr>
              <w:t>3.2.2</w:t>
            </w:r>
          </w:p>
          <w:p w14:paraId="3997B972">
            <w:pPr>
              <w:pStyle w:val="22"/>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line="240" w:lineRule="auto"/>
              <w:ind w:leftChars="0" w:firstLine="420" w:firstLineChars="200"/>
              <w:textAlignment w:val="auto"/>
              <w:rPr>
                <w:rFonts w:hint="default" w:ascii="黑体" w:hAnsi="黑体" w:eastAsia="黑体" w:cs="黑体"/>
                <w:lang w:val="en-US" w:eastAsia="zh-CN"/>
              </w:rPr>
            </w:pPr>
            <w:r>
              <w:rPr>
                <w:rFonts w:hint="eastAsia" w:ascii="黑体" w:hAnsi="黑体" w:eastAsia="黑体" w:cs="黑体"/>
                <w:lang w:val="en-US" w:eastAsia="zh-CN"/>
              </w:rPr>
              <w:t>包车客运</w:t>
            </w:r>
            <w:r>
              <w:rPr>
                <w:rFonts w:hint="eastAsia" w:hAnsi="黑体" w:cs="黑体"/>
                <w:lang w:val="en-US" w:eastAsia="zh-CN"/>
              </w:rPr>
              <w:t xml:space="preserve">  </w:t>
            </w:r>
            <w:r>
              <w:rPr>
                <w:rFonts w:hint="eastAsia" w:ascii="黑体" w:hAnsi="黑体" w:eastAsia="黑体" w:cs="黑体"/>
                <w:lang w:val="en-US" w:eastAsia="zh-CN"/>
              </w:rPr>
              <w:t>chartered passenger transport</w:t>
            </w:r>
            <w:bookmarkEnd w:id="55"/>
            <w:bookmarkEnd w:id="56"/>
            <w:bookmarkEnd w:id="57"/>
            <w:bookmarkEnd w:id="58"/>
          </w:p>
          <w:p w14:paraId="584F5108">
            <w:pPr>
              <w:pStyle w:val="20"/>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eastAsia" w:ascii="Times New Roman Regular" w:hAnsi="Times New Roman Regular" w:cs="Times New Roman Regular"/>
                <w:lang w:val="en-US" w:eastAsia="zh-CN"/>
              </w:rPr>
            </w:pPr>
            <w:r>
              <w:rPr>
                <w:rFonts w:hint="eastAsia" w:ascii="Times New Roman Regular" w:hAnsi="Times New Roman Regular" w:cs="Times New Roman Regular"/>
                <w:lang w:val="en-US" w:eastAsia="zh-CN"/>
              </w:rPr>
              <w:t>以运送团体旅客为目的，将客车包租给用户安排使用，提供驾驶劳务，按照约定的起始地、目的地和路线行驶，由包车用户统一支付费用的一种客运方式。</w:t>
            </w:r>
          </w:p>
          <w:p w14:paraId="0D519FFC">
            <w:pPr>
              <w:pStyle w:val="20"/>
              <w:keepNext w:val="0"/>
              <w:keepLines w:val="0"/>
              <w:pageBreakBefore w:val="0"/>
              <w:widowControl/>
              <w:kinsoku/>
              <w:wordWrap/>
              <w:overflowPunct/>
              <w:topLinePunct w:val="0"/>
              <w:bidi w:val="0"/>
              <w:adjustRightInd/>
              <w:snapToGrid/>
              <w:spacing w:line="240" w:lineRule="auto"/>
              <w:ind w:firstLine="420" w:firstLineChars="0"/>
              <w:textAlignment w:val="auto"/>
              <w:rPr>
                <w:rFonts w:hint="eastAsia" w:ascii="宋体" w:hAnsi="宋体" w:eastAsia="宋体" w:cs="宋体"/>
                <w:i w:val="0"/>
                <w:iCs w:val="0"/>
                <w:caps w:val="0"/>
                <w:spacing w:val="0"/>
                <w:sz w:val="21"/>
                <w:szCs w:val="20"/>
                <w:shd w:val="clear"/>
                <w:lang w:val="en-US" w:eastAsia="zh-CN" w:bidi="ar-SA"/>
              </w:rPr>
            </w:pPr>
            <w:r>
              <w:rPr>
                <w:rFonts w:hint="eastAsia" w:ascii="宋体" w:hAnsi="宋体" w:cs="宋体"/>
                <w:sz w:val="21"/>
                <w:szCs w:val="20"/>
                <w:lang w:val="en-US" w:eastAsia="zh-CN"/>
              </w:rPr>
              <w:t>[来源：GB/T 8226-2023,4.2.3,有修改]</w:t>
            </w:r>
          </w:p>
          <w:p w14:paraId="0259DC44">
            <w:pPr>
              <w:pStyle w:val="22"/>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line="240" w:lineRule="auto"/>
              <w:textAlignment w:val="auto"/>
              <w:rPr>
                <w:rFonts w:hint="eastAsia" w:ascii="黑体" w:hAnsi="黑体" w:eastAsia="黑体" w:cs="黑体"/>
                <w:lang w:val="en-US" w:eastAsia="zh-CN"/>
              </w:rPr>
            </w:pPr>
            <w:bookmarkStart w:id="59" w:name="_Toc18615"/>
            <w:bookmarkStart w:id="60" w:name="_Toc31635"/>
            <w:bookmarkStart w:id="61" w:name="_Toc23703"/>
            <w:bookmarkStart w:id="62" w:name="_Toc18458"/>
            <w:r>
              <w:rPr>
                <w:rFonts w:hint="eastAsia" w:ascii="黑体" w:hAnsi="黑体" w:eastAsia="黑体" w:cs="黑体"/>
                <w:lang w:val="en-US" w:eastAsia="zh-CN"/>
              </w:rPr>
              <w:t>3.2.3</w:t>
            </w:r>
          </w:p>
          <w:p w14:paraId="34B0DF49">
            <w:pPr>
              <w:pStyle w:val="22"/>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line="240" w:lineRule="auto"/>
              <w:ind w:leftChars="0" w:firstLine="420" w:firstLineChars="200"/>
              <w:textAlignment w:val="auto"/>
              <w:rPr>
                <w:rFonts w:hint="default" w:ascii="黑体" w:hAnsi="黑体" w:eastAsia="黑体" w:cs="黑体"/>
                <w:lang w:val="en-US" w:eastAsia="zh-CN"/>
              </w:rPr>
            </w:pPr>
            <w:r>
              <w:rPr>
                <w:rFonts w:hint="eastAsia" w:ascii="黑体" w:hAnsi="黑体" w:eastAsia="黑体" w:cs="黑体"/>
                <w:lang w:val="en-US" w:eastAsia="zh-CN"/>
              </w:rPr>
              <w:t>旅游客运</w:t>
            </w:r>
            <w:r>
              <w:rPr>
                <w:rFonts w:hint="eastAsia" w:hAnsi="黑体" w:cs="黑体"/>
                <w:lang w:val="en-US" w:eastAsia="zh-CN"/>
              </w:rPr>
              <w:t xml:space="preserve">  </w:t>
            </w:r>
            <w:r>
              <w:rPr>
                <w:rFonts w:hint="eastAsia" w:ascii="黑体" w:hAnsi="黑体" w:eastAsia="黑体" w:cs="黑体"/>
                <w:lang w:val="en-US" w:eastAsia="zh-CN"/>
              </w:rPr>
              <w:t>tourist service passenger transport</w:t>
            </w:r>
            <w:bookmarkEnd w:id="59"/>
            <w:bookmarkEnd w:id="60"/>
            <w:bookmarkEnd w:id="61"/>
            <w:bookmarkEnd w:id="62"/>
          </w:p>
          <w:p w14:paraId="5FA32431">
            <w:pPr>
              <w:pStyle w:val="20"/>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eastAsia" w:ascii="Times New Roman Regular" w:hAnsi="Times New Roman Regular" w:cs="Times New Roman Regular"/>
                <w:lang w:val="en-US" w:eastAsia="zh-CN"/>
              </w:rPr>
            </w:pPr>
            <w:r>
              <w:rPr>
                <w:rFonts w:hint="eastAsia" w:ascii="Times New Roman Regular" w:hAnsi="Times New Roman Regular" w:cs="Times New Roman Regular"/>
                <w:lang w:val="en-US" w:eastAsia="zh-CN"/>
              </w:rPr>
              <w:t>以运送旅游观光的旅客为目的，在旅游景区内运营或者其线路至少有一端在旅游景区（点）的一种客运方式。</w:t>
            </w:r>
          </w:p>
          <w:p w14:paraId="2D83BF8F">
            <w:pPr>
              <w:pStyle w:val="20"/>
              <w:keepNext w:val="0"/>
              <w:keepLines w:val="0"/>
              <w:pageBreakBefore w:val="0"/>
              <w:widowControl/>
              <w:kinsoku/>
              <w:wordWrap/>
              <w:overflowPunct/>
              <w:topLinePunct w:val="0"/>
              <w:bidi w:val="0"/>
              <w:adjustRightInd/>
              <w:snapToGrid/>
              <w:spacing w:line="240" w:lineRule="auto"/>
              <w:ind w:firstLine="420" w:firstLineChars="0"/>
              <w:textAlignment w:val="auto"/>
              <w:rPr>
                <w:rFonts w:hint="eastAsia" w:ascii="宋体" w:hAnsi="宋体" w:cs="宋体"/>
                <w:sz w:val="21"/>
                <w:szCs w:val="20"/>
                <w:lang w:val="en-US" w:eastAsia="zh-CN"/>
              </w:rPr>
            </w:pPr>
            <w:r>
              <w:rPr>
                <w:rFonts w:hint="eastAsia" w:ascii="宋体" w:hAnsi="宋体" w:cs="宋体"/>
                <w:sz w:val="21"/>
                <w:szCs w:val="20"/>
                <w:lang w:val="en-US" w:eastAsia="zh-CN"/>
              </w:rPr>
              <w:t>[来源：GB/T 8226-2023,4.2.4,有修改]</w:t>
            </w:r>
          </w:p>
        </w:tc>
        <w:tc>
          <w:tcPr>
            <w:tcW w:w="4026" w:type="dxa"/>
          </w:tcPr>
          <w:p w14:paraId="36133AE8">
            <w:pPr>
              <w:pStyle w:val="20"/>
              <w:keepNext w:val="0"/>
              <w:keepLines w:val="0"/>
              <w:pageBreakBefore w:val="0"/>
              <w:widowControl/>
              <w:numPr>
                <w:ilvl w:val="0"/>
                <w:numId w:val="0"/>
              </w:numPr>
              <w:tabs>
                <w:tab w:val="left" w:pos="0"/>
              </w:tabs>
              <w:kinsoku/>
              <w:wordWrap/>
              <w:overflowPunct/>
              <w:topLinePunct w:val="0"/>
              <w:autoSpaceDE w:val="0"/>
              <w:autoSpaceDN w:val="0"/>
              <w:bidi w:val="0"/>
              <w:adjustRightInd/>
              <w:snapToGrid/>
              <w:spacing w:line="240" w:lineRule="auto"/>
              <w:ind w:firstLine="420" w:firstLineChars="200"/>
              <w:textAlignment w:val="auto"/>
              <w:rPr>
                <w:rFonts w:hint="eastAsia" w:ascii="Times New Roman Regular" w:hAnsi="Times New Roman Regular" w:cs="Times New Roman Regular"/>
                <w:sz w:val="21"/>
                <w:szCs w:val="21"/>
                <w:lang w:val="en-US" w:eastAsia="zh-CN"/>
              </w:rPr>
            </w:pPr>
            <w:r>
              <w:rPr>
                <w:rFonts w:hint="eastAsia" w:ascii="Times New Roman Regular" w:hAnsi="Times New Roman Regular" w:cs="Times New Roman Regular"/>
                <w:sz w:val="21"/>
                <w:szCs w:val="21"/>
                <w:lang w:val="en-US" w:eastAsia="zh-CN"/>
              </w:rPr>
              <w:t>本条术语及</w:t>
            </w:r>
            <w:r>
              <w:rPr>
                <w:rFonts w:hint="eastAsia" w:ascii="Times New Roman Regular" w:hAnsi="Times New Roman Regular" w:eastAsia="宋体" w:cs="Times New Roman Regular"/>
                <w:kern w:val="0"/>
                <w:sz w:val="21"/>
                <w:szCs w:val="21"/>
                <w:lang w:val="en-US" w:eastAsia="zh-CN" w:bidi="ar-SA"/>
              </w:rPr>
              <w:t>定义</w:t>
            </w:r>
            <w:r>
              <w:rPr>
                <w:rFonts w:hint="eastAsia" w:ascii="Times New Roman Regular" w:hAnsi="Times New Roman Regular" w:cs="Times New Roman Regular"/>
                <w:sz w:val="21"/>
                <w:szCs w:val="21"/>
                <w:lang w:val="en-US" w:eastAsia="zh-CN"/>
              </w:rPr>
              <w:t>根据</w:t>
            </w:r>
            <w:r>
              <w:rPr>
                <w:rFonts w:hint="default" w:ascii="Times New Roman Regular" w:hAnsi="Times New Roman Regular" w:cs="Times New Roman Regular"/>
                <w:sz w:val="21"/>
                <w:szCs w:val="21"/>
                <w:lang w:val="en-US" w:eastAsia="zh-CN"/>
              </w:rPr>
              <w:t>《道路旅客运输及客运站管理规定》</w:t>
            </w:r>
            <w:r>
              <w:rPr>
                <w:rFonts w:hint="eastAsia" w:ascii="Times New Roman Regular" w:hAnsi="Times New Roman Regular" w:cs="Times New Roman Regular"/>
                <w:sz w:val="21"/>
                <w:szCs w:val="21"/>
                <w:lang w:val="en-US" w:eastAsia="zh-CN"/>
              </w:rPr>
              <w:t>，并参考</w:t>
            </w:r>
            <w:r>
              <w:rPr>
                <w:rFonts w:hint="default" w:ascii="Times New Roman Regular" w:hAnsi="Times New Roman Regular" w:cs="Times New Roman Regular"/>
                <w:sz w:val="21"/>
                <w:szCs w:val="21"/>
                <w:lang w:val="en-US" w:eastAsia="zh-CN"/>
              </w:rPr>
              <w:t>GB/T 8226</w:t>
            </w:r>
            <w:r>
              <w:rPr>
                <w:rFonts w:hint="eastAsia" w:ascii="Times New Roman Regular" w:hAnsi="Times New Roman Regular" w:cs="Times New Roman Regular"/>
                <w:sz w:val="21"/>
                <w:szCs w:val="21"/>
                <w:lang w:val="en-US" w:eastAsia="zh-CN"/>
              </w:rPr>
              <w:t>《</w:t>
            </w:r>
            <w:r>
              <w:rPr>
                <w:rFonts w:hint="default" w:ascii="Times New Roman Regular" w:hAnsi="Times New Roman Regular" w:cs="Times New Roman Regular"/>
                <w:sz w:val="21"/>
                <w:szCs w:val="21"/>
                <w:lang w:val="en-US" w:eastAsia="zh-CN"/>
              </w:rPr>
              <w:t>道路运输术语</w:t>
            </w:r>
            <w:r>
              <w:rPr>
                <w:rFonts w:hint="eastAsia" w:ascii="Times New Roman Regular" w:hAnsi="Times New Roman Regular" w:cs="Times New Roman Regular"/>
                <w:sz w:val="21"/>
                <w:szCs w:val="21"/>
                <w:lang w:val="en-US" w:eastAsia="zh-CN"/>
              </w:rPr>
              <w:t>》起草。对于二者对个别术语的定义存有差异的，主要依据</w:t>
            </w:r>
            <w:r>
              <w:rPr>
                <w:rFonts w:hint="default" w:ascii="Times New Roman Regular" w:hAnsi="Times New Roman Regular" w:cs="Times New Roman Regular"/>
                <w:sz w:val="21"/>
                <w:szCs w:val="21"/>
                <w:lang w:val="en-US" w:eastAsia="zh-CN"/>
              </w:rPr>
              <w:t>《道路旅客运输及客运站管理规定》</w:t>
            </w:r>
            <w:r>
              <w:rPr>
                <w:rFonts w:hint="eastAsia" w:ascii="Times New Roman Regular" w:hAnsi="Times New Roman Regular" w:cs="Times New Roman Regular"/>
                <w:sz w:val="21"/>
                <w:szCs w:val="21"/>
                <w:lang w:val="en-US" w:eastAsia="zh-CN"/>
              </w:rPr>
              <w:t>进行了修改。</w:t>
            </w:r>
          </w:p>
          <w:p w14:paraId="60FEEA2D">
            <w:pPr>
              <w:pStyle w:val="20"/>
              <w:keepNext w:val="0"/>
              <w:keepLines w:val="0"/>
              <w:pageBreakBefore w:val="0"/>
              <w:widowControl/>
              <w:numPr>
                <w:ilvl w:val="0"/>
                <w:numId w:val="0"/>
              </w:numPr>
              <w:tabs>
                <w:tab w:val="left" w:pos="0"/>
              </w:tabs>
              <w:kinsoku/>
              <w:wordWrap/>
              <w:overflowPunct/>
              <w:topLinePunct w:val="0"/>
              <w:autoSpaceDE w:val="0"/>
              <w:autoSpaceDN w:val="0"/>
              <w:bidi w:val="0"/>
              <w:adjustRightInd/>
              <w:snapToGrid/>
              <w:spacing w:line="240" w:lineRule="auto"/>
              <w:ind w:firstLine="420" w:firstLineChars="200"/>
              <w:textAlignment w:val="auto"/>
              <w:rPr>
                <w:rFonts w:hint="eastAsia" w:ascii="Times New Roman Regular" w:hAnsi="Times New Roman Regular" w:cs="Times New Roman Regular"/>
                <w:sz w:val="21"/>
                <w:szCs w:val="21"/>
                <w:lang w:val="en-US" w:eastAsia="zh-CN"/>
              </w:rPr>
            </w:pPr>
            <w:r>
              <w:rPr>
                <w:rFonts w:hint="default" w:ascii="Times New Roman Regular" w:hAnsi="Times New Roman Regular" w:cs="Times New Roman Regular"/>
                <w:sz w:val="21"/>
                <w:szCs w:val="21"/>
                <w:lang w:val="en-US" w:eastAsia="zh-CN"/>
              </w:rPr>
              <w:t>《道路旅客运输及客运站管理规定》</w:t>
            </w:r>
            <w:r>
              <w:rPr>
                <w:rFonts w:hint="eastAsia" w:ascii="Times New Roman Regular" w:hAnsi="Times New Roman Regular" w:cs="Times New Roman Regular"/>
                <w:sz w:val="21"/>
                <w:szCs w:val="21"/>
                <w:lang w:val="en-US" w:eastAsia="zh-CN"/>
              </w:rPr>
              <w:t>的相关规定如下：</w:t>
            </w:r>
          </w:p>
          <w:p w14:paraId="3C07499F">
            <w:pPr>
              <w:pStyle w:val="20"/>
              <w:keepNext w:val="0"/>
              <w:keepLines w:val="0"/>
              <w:pageBreakBefore w:val="0"/>
              <w:widowControl/>
              <w:numPr>
                <w:ilvl w:val="0"/>
                <w:numId w:val="0"/>
              </w:numPr>
              <w:tabs>
                <w:tab w:val="left" w:pos="0"/>
              </w:tabs>
              <w:kinsoku/>
              <w:wordWrap/>
              <w:overflowPunct/>
              <w:topLinePunct w:val="0"/>
              <w:autoSpaceDE w:val="0"/>
              <w:autoSpaceDN w:val="0"/>
              <w:bidi w:val="0"/>
              <w:adjustRightInd/>
              <w:snapToGrid/>
              <w:spacing w:line="240" w:lineRule="auto"/>
              <w:ind w:firstLine="420" w:firstLineChars="200"/>
              <w:textAlignment w:val="auto"/>
              <w:rPr>
                <w:rFonts w:hint="default" w:ascii="Times New Roman Regular" w:hAnsi="Times New Roman Regular" w:eastAsia="宋体" w:cs="Times New Roman Regular"/>
                <w:kern w:val="0"/>
                <w:sz w:val="21"/>
                <w:szCs w:val="21"/>
                <w:lang w:val="en-US" w:eastAsia="zh-CN" w:bidi="ar-SA"/>
              </w:rPr>
            </w:pPr>
            <w:r>
              <w:rPr>
                <w:rFonts w:hint="eastAsia" w:ascii="Times New Roman Regular" w:hAnsi="Times New Roman Regular" w:eastAsia="宋体" w:cs="Times New Roman Regular"/>
                <w:kern w:val="0"/>
                <w:sz w:val="21"/>
                <w:szCs w:val="21"/>
                <w:lang w:val="en-US" w:eastAsia="zh-CN" w:bidi="ar-SA"/>
              </w:rPr>
              <w:t>第三条</w:t>
            </w:r>
            <w:r>
              <w:rPr>
                <w:rFonts w:hint="eastAsia" w:ascii="Times New Roman Regular" w:hAnsi="Times New Roman Regular" w:cs="Times New Roman Regular"/>
                <w:kern w:val="0"/>
                <w:sz w:val="21"/>
                <w:szCs w:val="21"/>
                <w:lang w:val="en-US" w:eastAsia="zh-CN" w:bidi="ar-SA"/>
              </w:rPr>
              <w:t xml:space="preserve"> ......</w:t>
            </w:r>
          </w:p>
          <w:p w14:paraId="11FBF42A">
            <w:pPr>
              <w:keepNext w:val="0"/>
              <w:keepLines w:val="0"/>
              <w:pageBreakBefore w:val="0"/>
              <w:kinsoku/>
              <w:wordWrap/>
              <w:overflowPunct/>
              <w:topLinePunct w:val="0"/>
              <w:bidi w:val="0"/>
              <w:adjustRightInd/>
              <w:snapToGrid/>
              <w:spacing w:line="240" w:lineRule="auto"/>
              <w:ind w:firstLine="420" w:firstLineChars="200"/>
              <w:textAlignment w:val="auto"/>
              <w:rPr>
                <w:rFonts w:hint="eastAsia" w:ascii="Times New Roman Regular" w:hAnsi="Times New Roman Regular" w:eastAsia="宋体" w:cs="Times New Roman Regular"/>
                <w:kern w:val="0"/>
                <w:sz w:val="21"/>
                <w:szCs w:val="21"/>
                <w:lang w:val="en-US" w:eastAsia="zh-CN" w:bidi="ar-SA"/>
              </w:rPr>
            </w:pPr>
            <w:r>
              <w:rPr>
                <w:rFonts w:hint="eastAsia" w:ascii="Times New Roman Regular" w:hAnsi="Times New Roman Regular" w:eastAsia="宋体" w:cs="Times New Roman Regular"/>
                <w:kern w:val="0"/>
                <w:sz w:val="21"/>
                <w:szCs w:val="21"/>
                <w:lang w:val="en-US" w:eastAsia="zh-CN" w:bidi="ar-SA"/>
              </w:rPr>
              <w:t>（一）班车客运是指客车在城乡道路上按照固定的线路、时间、站点、班次运行的一种客运方式。加班车客运是班车客运的一种补充形式，是在客运班车不能满足需要或者无法正常运营时，临时增加或者调配客车按客运班车的线路、站点运行的方式。</w:t>
            </w:r>
          </w:p>
          <w:p w14:paraId="6FCDFEF6">
            <w:pPr>
              <w:keepNext w:val="0"/>
              <w:keepLines w:val="0"/>
              <w:pageBreakBefore w:val="0"/>
              <w:kinsoku/>
              <w:wordWrap/>
              <w:overflowPunct/>
              <w:topLinePunct w:val="0"/>
              <w:bidi w:val="0"/>
              <w:adjustRightInd/>
              <w:snapToGrid/>
              <w:spacing w:line="240" w:lineRule="auto"/>
              <w:ind w:firstLine="420" w:firstLineChars="200"/>
              <w:textAlignment w:val="auto"/>
              <w:rPr>
                <w:rFonts w:hint="eastAsia" w:ascii="Times New Roman Regular" w:hAnsi="Times New Roman Regular" w:eastAsia="宋体" w:cs="Times New Roman Regular"/>
                <w:kern w:val="0"/>
                <w:sz w:val="21"/>
                <w:szCs w:val="21"/>
                <w:lang w:val="en-US" w:eastAsia="zh-CN" w:bidi="ar-SA"/>
              </w:rPr>
            </w:pPr>
            <w:r>
              <w:rPr>
                <w:rFonts w:hint="eastAsia" w:ascii="Times New Roman Regular" w:hAnsi="Times New Roman Regular" w:eastAsia="宋体" w:cs="Times New Roman Regular"/>
                <w:kern w:val="0"/>
                <w:sz w:val="21"/>
                <w:szCs w:val="21"/>
                <w:lang w:val="en-US" w:eastAsia="zh-CN" w:bidi="ar-SA"/>
              </w:rPr>
              <w:t>（二）包车客运是指以运送团体旅客为目的，将客车包租给用户安排使用，提供驾驶劳务，按照约定的起始地、目的地和路线行驶，由包车用户统一支付费用的一种客运方式。</w:t>
            </w:r>
          </w:p>
          <w:p w14:paraId="64FBF329">
            <w:pPr>
              <w:pStyle w:val="20"/>
              <w:keepNext w:val="0"/>
              <w:keepLines w:val="0"/>
              <w:pageBreakBefore w:val="0"/>
              <w:widowControl/>
              <w:numPr>
                <w:ilvl w:val="0"/>
                <w:numId w:val="0"/>
              </w:numPr>
              <w:tabs>
                <w:tab w:val="left" w:pos="0"/>
              </w:tabs>
              <w:kinsoku/>
              <w:wordWrap/>
              <w:overflowPunct/>
              <w:topLinePunct w:val="0"/>
              <w:autoSpaceDE w:val="0"/>
              <w:autoSpaceDN w:val="0"/>
              <w:bidi w:val="0"/>
              <w:adjustRightInd/>
              <w:snapToGrid/>
              <w:spacing w:line="240" w:lineRule="auto"/>
              <w:ind w:firstLine="420" w:firstLineChars="200"/>
              <w:textAlignment w:val="auto"/>
              <w:rPr>
                <w:rFonts w:hint="eastAsia" w:ascii="Times New Roman Regular" w:hAnsi="Times New Roman Regular" w:eastAsia="宋体" w:cs="Times New Roman Regular"/>
                <w:kern w:val="0"/>
                <w:sz w:val="21"/>
                <w:szCs w:val="21"/>
                <w:lang w:val="en-US" w:eastAsia="zh-CN" w:bidi="ar-SA"/>
              </w:rPr>
            </w:pPr>
            <w:r>
              <w:rPr>
                <w:rFonts w:hint="eastAsia" w:ascii="Times New Roman Regular" w:hAnsi="Times New Roman Regular" w:eastAsia="宋体" w:cs="Times New Roman Regular"/>
                <w:kern w:val="0"/>
                <w:sz w:val="21"/>
                <w:szCs w:val="21"/>
                <w:lang w:val="en-US" w:eastAsia="zh-CN" w:bidi="ar-SA"/>
              </w:rPr>
              <w:t>（三）旅游客运是指以运送旅游观光的旅客为目的，在旅游景区内运营或者其线路至少有一端在旅游景区（点）的一种客运方式。</w:t>
            </w:r>
          </w:p>
          <w:p w14:paraId="7F392FF1">
            <w:pPr>
              <w:keepNext w:val="0"/>
              <w:keepLines w:val="0"/>
              <w:pageBreakBefore w:val="0"/>
              <w:kinsoku/>
              <w:wordWrap/>
              <w:overflowPunct/>
              <w:topLinePunct w:val="0"/>
              <w:bidi w:val="0"/>
              <w:adjustRightInd/>
              <w:snapToGrid/>
              <w:spacing w:line="240" w:lineRule="auto"/>
              <w:ind w:firstLine="420" w:firstLineChars="200"/>
              <w:textAlignment w:val="auto"/>
              <w:rPr>
                <w:rFonts w:hint="eastAsia" w:ascii="Times New Roman Regular" w:hAnsi="Times New Roman Regular" w:eastAsia="宋体" w:cs="Times New Roman Regular"/>
                <w:kern w:val="0"/>
                <w:sz w:val="21"/>
                <w:szCs w:val="21"/>
                <w:lang w:val="en-US" w:eastAsia="zh-CN" w:bidi="ar-SA"/>
              </w:rPr>
            </w:pPr>
            <w:r>
              <w:rPr>
                <w:rFonts w:hint="eastAsia" w:ascii="Times New Roman Regular" w:hAnsi="Times New Roman Regular" w:eastAsia="宋体" w:cs="Times New Roman Regular"/>
                <w:kern w:val="0"/>
                <w:sz w:val="21"/>
                <w:szCs w:val="21"/>
                <w:lang w:val="en-US" w:eastAsia="zh-CN" w:bidi="ar-SA"/>
              </w:rPr>
              <w:t>第九条　包车客运按照经营区域分为省际包车客运和省内包车客运。</w:t>
            </w:r>
          </w:p>
          <w:p w14:paraId="71C6402C">
            <w:pPr>
              <w:keepNext w:val="0"/>
              <w:keepLines w:val="0"/>
              <w:pageBreakBefore w:val="0"/>
              <w:kinsoku/>
              <w:wordWrap/>
              <w:overflowPunct/>
              <w:topLinePunct w:val="0"/>
              <w:bidi w:val="0"/>
              <w:adjustRightInd/>
              <w:snapToGrid/>
              <w:spacing w:line="240" w:lineRule="auto"/>
              <w:ind w:firstLine="420" w:firstLineChars="200"/>
              <w:textAlignment w:val="auto"/>
              <w:rPr>
                <w:rFonts w:hint="eastAsia" w:ascii="Times New Roman Regular" w:hAnsi="Times New Roman Regular" w:eastAsia="宋体" w:cs="Times New Roman Regular"/>
                <w:kern w:val="0"/>
                <w:sz w:val="21"/>
                <w:szCs w:val="21"/>
                <w:lang w:val="en-US" w:eastAsia="zh-CN" w:bidi="ar-SA"/>
              </w:rPr>
            </w:pPr>
            <w:r>
              <w:rPr>
                <w:rFonts w:hint="eastAsia" w:ascii="Times New Roman Regular" w:hAnsi="Times New Roman Regular" w:eastAsia="宋体" w:cs="Times New Roman Regular"/>
                <w:kern w:val="0"/>
                <w:sz w:val="21"/>
                <w:szCs w:val="21"/>
                <w:lang w:val="en-US" w:eastAsia="zh-CN" w:bidi="ar-SA"/>
              </w:rPr>
              <w:t>省级人民政府交通运输主管部门可以根据实际需要，将省内包车客运分为市际包车客运、县际包车客运和县内包车客运并实行分类管理。</w:t>
            </w:r>
          </w:p>
          <w:p w14:paraId="3A21051F">
            <w:pPr>
              <w:keepNext w:val="0"/>
              <w:keepLines w:val="0"/>
              <w:pageBreakBefore w:val="0"/>
              <w:kinsoku/>
              <w:wordWrap/>
              <w:overflowPunct/>
              <w:topLinePunct w:val="0"/>
              <w:bidi w:val="0"/>
              <w:adjustRightInd/>
              <w:snapToGrid/>
              <w:spacing w:line="240" w:lineRule="auto"/>
              <w:ind w:firstLine="420" w:firstLineChars="200"/>
              <w:textAlignment w:val="auto"/>
              <w:rPr>
                <w:rFonts w:hint="eastAsia" w:ascii="Times New Roman Regular" w:hAnsi="Times New Roman Regular" w:eastAsia="宋体" w:cs="Times New Roman Regular"/>
                <w:kern w:val="0"/>
                <w:sz w:val="21"/>
                <w:szCs w:val="21"/>
                <w:lang w:val="en-US" w:eastAsia="zh-CN" w:bidi="ar-SA"/>
              </w:rPr>
            </w:pPr>
            <w:r>
              <w:rPr>
                <w:rFonts w:hint="eastAsia" w:ascii="Times New Roman Regular" w:hAnsi="Times New Roman Regular" w:eastAsia="宋体" w:cs="Times New Roman Regular"/>
                <w:kern w:val="0"/>
                <w:sz w:val="21"/>
                <w:szCs w:val="21"/>
                <w:lang w:val="en-US" w:eastAsia="zh-CN" w:bidi="ar-SA"/>
              </w:rPr>
              <w:t>包车客运经营者可以向下兼容包车客运业务。</w:t>
            </w:r>
          </w:p>
          <w:p w14:paraId="5DB81817">
            <w:pPr>
              <w:keepNext w:val="0"/>
              <w:keepLines w:val="0"/>
              <w:pageBreakBefore w:val="0"/>
              <w:kinsoku/>
              <w:wordWrap/>
              <w:overflowPunct/>
              <w:topLinePunct w:val="0"/>
              <w:bidi w:val="0"/>
              <w:adjustRightInd/>
              <w:snapToGrid/>
              <w:spacing w:line="240" w:lineRule="auto"/>
              <w:ind w:firstLine="420" w:firstLineChars="200"/>
              <w:textAlignment w:val="auto"/>
              <w:rPr>
                <w:rFonts w:hint="eastAsia" w:ascii="Times New Roman Regular" w:hAnsi="Times New Roman Regular" w:eastAsia="宋体" w:cs="Times New Roman Regular"/>
                <w:kern w:val="0"/>
                <w:sz w:val="21"/>
                <w:szCs w:val="21"/>
                <w:lang w:val="en-US" w:eastAsia="zh-CN" w:bidi="ar-SA"/>
              </w:rPr>
            </w:pPr>
            <w:r>
              <w:rPr>
                <w:rFonts w:hint="eastAsia" w:ascii="Times New Roman Regular" w:hAnsi="Times New Roman Regular" w:eastAsia="宋体" w:cs="Times New Roman Regular"/>
                <w:kern w:val="0"/>
                <w:sz w:val="21"/>
                <w:szCs w:val="21"/>
                <w:lang w:val="en-US" w:eastAsia="zh-CN" w:bidi="ar-SA"/>
              </w:rPr>
              <w:t>第十条　旅游客运按照营运方式分为定线旅游客运和非定线旅游客运。</w:t>
            </w:r>
          </w:p>
          <w:p w14:paraId="0C164904">
            <w:pPr>
              <w:pStyle w:val="20"/>
              <w:keepNext w:val="0"/>
              <w:keepLines w:val="0"/>
              <w:pageBreakBefore w:val="0"/>
              <w:widowControl/>
              <w:numPr>
                <w:ilvl w:val="0"/>
                <w:numId w:val="0"/>
              </w:numPr>
              <w:tabs>
                <w:tab w:val="left" w:pos="0"/>
              </w:tabs>
              <w:kinsoku/>
              <w:wordWrap/>
              <w:overflowPunct/>
              <w:topLinePunct w:val="0"/>
              <w:autoSpaceDE w:val="0"/>
              <w:autoSpaceDN w:val="0"/>
              <w:bidi w:val="0"/>
              <w:adjustRightInd/>
              <w:snapToGrid/>
              <w:spacing w:line="240" w:lineRule="auto"/>
              <w:ind w:firstLine="420" w:firstLineChars="200"/>
              <w:textAlignment w:val="auto"/>
              <w:rPr>
                <w:rFonts w:hint="default" w:ascii="仿宋" w:hAnsi="仿宋" w:eastAsia="仿宋" w:cs="仿宋"/>
                <w:kern w:val="2"/>
                <w:sz w:val="30"/>
                <w:szCs w:val="30"/>
                <w:vertAlign w:val="baseline"/>
                <w:lang w:val="en-US" w:eastAsia="zh-CN" w:bidi="ar-SA"/>
              </w:rPr>
            </w:pPr>
            <w:r>
              <w:rPr>
                <w:rFonts w:hint="eastAsia" w:ascii="Times New Roman Regular" w:hAnsi="Times New Roman Regular" w:eastAsia="宋体" w:cs="Times New Roman Regular"/>
                <w:kern w:val="0"/>
                <w:sz w:val="21"/>
                <w:szCs w:val="21"/>
                <w:lang w:val="en-US" w:eastAsia="zh-CN" w:bidi="ar-SA"/>
              </w:rPr>
              <w:t>定线旅游客运按照班车客运管理，非定线旅游客运按照包车客运管理。</w:t>
            </w:r>
          </w:p>
        </w:tc>
      </w:tr>
      <w:tr w14:paraId="47EF4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23A3F2C1">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3.3</w:t>
            </w:r>
          </w:p>
        </w:tc>
        <w:tc>
          <w:tcPr>
            <w:tcW w:w="3766" w:type="dxa"/>
          </w:tcPr>
          <w:p w14:paraId="699AD501">
            <w:pPr>
              <w:pStyle w:val="22"/>
              <w:keepNext w:val="0"/>
              <w:keepLines w:val="0"/>
              <w:pageBreakBefore w:val="0"/>
              <w:widowControl/>
              <w:numPr>
                <w:ilvl w:val="2"/>
                <w:numId w:val="0"/>
              </w:numPr>
              <w:pBdr>
                <w:top w:val="none" w:color="auto" w:sz="0" w:space="0"/>
                <w:left w:val="none" w:color="auto" w:sz="0" w:space="0"/>
                <w:right w:val="none" w:color="auto" w:sz="0" w:space="0"/>
              </w:pBdr>
              <w:shd w:val="clear" w:fill="FFFFFF"/>
              <w:kinsoku/>
              <w:wordWrap/>
              <w:overflowPunct/>
              <w:topLinePunct w:val="0"/>
              <w:autoSpaceDE w:val="0"/>
              <w:autoSpaceDN w:val="0"/>
              <w:bidi w:val="0"/>
              <w:adjustRightInd/>
              <w:snapToGrid/>
              <w:spacing w:before="0" w:beforeLines="0" w:beforeAutospacing="0" w:after="0" w:afterLines="0" w:afterAutospacing="0" w:line="240" w:lineRule="auto"/>
              <w:ind w:left="0" w:leftChars="0" w:firstLineChars="0"/>
              <w:textAlignment w:val="auto"/>
              <w:rPr>
                <w:rFonts w:hint="eastAsia" w:hAnsi="黑体" w:cs="黑体"/>
                <w:i w:val="0"/>
                <w:iCs w:val="0"/>
                <w:caps w:val="0"/>
                <w:spacing w:val="0"/>
                <w:sz w:val="21"/>
                <w:szCs w:val="20"/>
                <w:shd w:val="clear"/>
                <w:lang w:val="en-US" w:eastAsia="zh-CN" w:bidi="ar-SA"/>
              </w:rPr>
            </w:pPr>
            <w:bookmarkStart w:id="63" w:name="_Toc27655"/>
            <w:bookmarkStart w:id="64" w:name="_Toc8558"/>
            <w:r>
              <w:rPr>
                <w:rFonts w:hint="eastAsia" w:hAnsi="黑体" w:cs="黑体"/>
                <w:i w:val="0"/>
                <w:iCs w:val="0"/>
                <w:caps w:val="0"/>
                <w:spacing w:val="0"/>
                <w:sz w:val="21"/>
                <w:szCs w:val="20"/>
                <w:shd w:val="clear"/>
                <w:lang w:val="en-US" w:eastAsia="zh-CN" w:bidi="ar-SA"/>
              </w:rPr>
              <w:t>3.3  客运班线</w:t>
            </w:r>
          </w:p>
          <w:p w14:paraId="72170B19">
            <w:pPr>
              <w:pStyle w:val="22"/>
              <w:keepNext w:val="0"/>
              <w:keepLines w:val="0"/>
              <w:pageBreakBefore w:val="0"/>
              <w:widowControl/>
              <w:numPr>
                <w:ilvl w:val="2"/>
                <w:numId w:val="0"/>
              </w:numPr>
              <w:pBdr>
                <w:top w:val="none" w:color="auto" w:sz="0" w:space="0"/>
                <w:left w:val="none" w:color="auto" w:sz="0" w:space="0"/>
                <w:right w:val="none" w:color="auto" w:sz="0" w:space="0"/>
              </w:pBdr>
              <w:shd w:val="clear" w:fill="FFFFFF"/>
              <w:kinsoku/>
              <w:wordWrap/>
              <w:overflowPunct/>
              <w:topLinePunct w:val="0"/>
              <w:autoSpaceDE w:val="0"/>
              <w:autoSpaceDN w:val="0"/>
              <w:bidi w:val="0"/>
              <w:adjustRightInd/>
              <w:snapToGrid/>
              <w:spacing w:before="0" w:beforeLines="0" w:beforeAutospacing="0" w:after="0" w:afterLines="0" w:afterAutospacing="0" w:line="240" w:lineRule="auto"/>
              <w:ind w:left="0" w:leftChars="0" w:firstLineChars="0"/>
              <w:textAlignment w:val="auto"/>
              <w:rPr>
                <w:rFonts w:hint="eastAsia" w:hAnsi="黑体" w:cs="黑体"/>
                <w:i w:val="0"/>
                <w:iCs w:val="0"/>
                <w:caps w:val="0"/>
                <w:spacing w:val="0"/>
                <w:sz w:val="21"/>
                <w:szCs w:val="20"/>
                <w:shd w:val="clear"/>
                <w:lang w:val="en-US" w:eastAsia="zh-CN" w:bidi="ar-SA"/>
              </w:rPr>
            </w:pPr>
            <w:r>
              <w:rPr>
                <w:rFonts w:hint="eastAsia" w:hAnsi="黑体" w:cs="黑体"/>
                <w:i w:val="0"/>
                <w:iCs w:val="0"/>
                <w:caps w:val="0"/>
                <w:spacing w:val="0"/>
                <w:sz w:val="21"/>
                <w:szCs w:val="20"/>
                <w:shd w:val="clear"/>
                <w:lang w:val="en-US" w:eastAsia="zh-CN" w:bidi="ar-SA"/>
              </w:rPr>
              <w:t>3.3.1</w:t>
            </w:r>
          </w:p>
          <w:p w14:paraId="39F1091E">
            <w:pPr>
              <w:pStyle w:val="22"/>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line="240" w:lineRule="auto"/>
              <w:ind w:leftChars="0" w:firstLine="42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一类客运班线</w:t>
            </w:r>
            <w:r>
              <w:rPr>
                <w:rFonts w:hint="eastAsia" w:hAnsi="黑体" w:cs="黑体"/>
                <w:lang w:val="en-US" w:eastAsia="zh-CN"/>
              </w:rPr>
              <w:t xml:space="preserve">  </w:t>
            </w:r>
            <w:r>
              <w:rPr>
                <w:rFonts w:hint="eastAsia" w:ascii="黑体" w:hAnsi="黑体" w:eastAsia="黑体" w:cs="黑体"/>
                <w:lang w:val="en-US" w:eastAsia="zh-CN"/>
              </w:rPr>
              <w:t>class I regular passenger route</w:t>
            </w:r>
            <w:bookmarkEnd w:id="63"/>
            <w:bookmarkEnd w:id="64"/>
          </w:p>
          <w:p w14:paraId="310D70C2">
            <w:pPr>
              <w:pStyle w:val="20"/>
              <w:keepNext w:val="0"/>
              <w:keepLines w:val="0"/>
              <w:pageBreakBefore w:val="0"/>
              <w:widowControl/>
              <w:kinsoku/>
              <w:wordWrap/>
              <w:overflowPunct/>
              <w:topLinePunct w:val="0"/>
              <w:bidi w:val="0"/>
              <w:adjustRightInd/>
              <w:snapToGrid/>
              <w:spacing w:line="240" w:lineRule="auto"/>
              <w:textAlignment w:val="auto"/>
              <w:rPr>
                <w:rFonts w:hint="eastAsia" w:ascii="Times New Roman Regular" w:hAnsi="Times New Roman Regular" w:cs="Times New Roman Regular"/>
                <w:i w:val="0"/>
                <w:iCs w:val="0"/>
                <w:caps w:val="0"/>
                <w:spacing w:val="0"/>
                <w:sz w:val="21"/>
                <w:szCs w:val="20"/>
                <w:shd w:val="clear"/>
                <w:lang w:eastAsia="zh-CN"/>
              </w:rPr>
            </w:pPr>
            <w:r>
              <w:rPr>
                <w:rFonts w:hint="eastAsia" w:ascii="Times New Roman Regular" w:hAnsi="Times New Roman Regular" w:eastAsia="宋体" w:cs="Times New Roman Regular"/>
                <w:i w:val="0"/>
                <w:iCs w:val="0"/>
                <w:caps w:val="0"/>
                <w:spacing w:val="0"/>
                <w:sz w:val="21"/>
                <w:szCs w:val="20"/>
                <w:shd w:val="clear"/>
              </w:rPr>
              <w:t>跨省级行政区域（毗邻县之间除外）的客运班线</w:t>
            </w:r>
            <w:r>
              <w:rPr>
                <w:rFonts w:hint="eastAsia" w:ascii="Times New Roman Regular" w:hAnsi="Times New Roman Regular" w:cs="Times New Roman Regular"/>
                <w:i w:val="0"/>
                <w:iCs w:val="0"/>
                <w:caps w:val="0"/>
                <w:spacing w:val="0"/>
                <w:sz w:val="21"/>
                <w:szCs w:val="20"/>
                <w:shd w:val="clear"/>
                <w:lang w:eastAsia="zh-CN"/>
              </w:rPr>
              <w:t>。</w:t>
            </w:r>
          </w:p>
          <w:p w14:paraId="1391422A">
            <w:pPr>
              <w:pStyle w:val="20"/>
              <w:keepNext w:val="0"/>
              <w:keepLines w:val="0"/>
              <w:pageBreakBefore w:val="0"/>
              <w:widowControl/>
              <w:kinsoku/>
              <w:wordWrap/>
              <w:overflowPunct/>
              <w:topLinePunct w:val="0"/>
              <w:autoSpaceDE w:val="0"/>
              <w:autoSpaceDN w:val="0"/>
              <w:bidi w:val="0"/>
              <w:adjustRightInd/>
              <w:snapToGrid/>
              <w:spacing w:line="240" w:lineRule="auto"/>
              <w:ind w:firstLine="420" w:firstLineChars="0"/>
              <w:textAlignment w:val="auto"/>
              <w:rPr>
                <w:rFonts w:hint="eastAsia" w:ascii="宋体" w:hAnsi="宋体" w:cs="宋体"/>
                <w:sz w:val="21"/>
                <w:szCs w:val="20"/>
                <w:lang w:val="en-US" w:eastAsia="zh-CN"/>
              </w:rPr>
            </w:pPr>
            <w:r>
              <w:rPr>
                <w:rFonts w:hint="eastAsia" w:ascii="宋体" w:hAnsi="宋体" w:cs="宋体"/>
                <w:sz w:val="21"/>
                <w:szCs w:val="20"/>
                <w:lang w:val="en-US" w:eastAsia="zh-CN"/>
              </w:rPr>
              <w:t>[来源：GB/T 8226-2023,4.3.2,有修改]</w:t>
            </w:r>
          </w:p>
          <w:p w14:paraId="145AB70D">
            <w:pPr>
              <w:pStyle w:val="22"/>
              <w:keepNext w:val="0"/>
              <w:keepLines w:val="0"/>
              <w:pageBreakBefore w:val="0"/>
              <w:widowControl/>
              <w:numPr>
                <w:ilvl w:val="2"/>
                <w:numId w:val="0"/>
              </w:numPr>
              <w:pBdr>
                <w:top w:val="none" w:color="auto" w:sz="0" w:space="0"/>
                <w:left w:val="none" w:color="auto" w:sz="0" w:space="0"/>
                <w:right w:val="none" w:color="auto" w:sz="0" w:space="0"/>
              </w:pBdr>
              <w:shd w:val="clear" w:fill="FFFFFF"/>
              <w:kinsoku/>
              <w:wordWrap/>
              <w:overflowPunct/>
              <w:topLinePunct w:val="0"/>
              <w:autoSpaceDE w:val="0"/>
              <w:autoSpaceDN w:val="0"/>
              <w:bidi w:val="0"/>
              <w:adjustRightInd/>
              <w:snapToGrid/>
              <w:spacing w:before="0" w:beforeLines="0" w:beforeAutospacing="0" w:after="0" w:afterLines="0" w:afterAutospacing="0" w:line="240" w:lineRule="auto"/>
              <w:ind w:left="0" w:leftChars="0" w:firstLineChars="0"/>
              <w:textAlignment w:val="auto"/>
              <w:rPr>
                <w:rFonts w:hint="eastAsia" w:hAnsi="黑体" w:cs="黑体"/>
                <w:i w:val="0"/>
                <w:iCs w:val="0"/>
                <w:caps w:val="0"/>
                <w:spacing w:val="0"/>
                <w:sz w:val="21"/>
                <w:szCs w:val="20"/>
                <w:shd w:val="clear"/>
                <w:lang w:val="en-US" w:eastAsia="zh-CN" w:bidi="ar-SA"/>
              </w:rPr>
            </w:pPr>
            <w:bookmarkStart w:id="65" w:name="_Toc880"/>
            <w:bookmarkStart w:id="66" w:name="_Toc16220"/>
            <w:r>
              <w:rPr>
                <w:rFonts w:hint="eastAsia" w:hAnsi="黑体" w:cs="黑体"/>
                <w:i w:val="0"/>
                <w:iCs w:val="0"/>
                <w:caps w:val="0"/>
                <w:spacing w:val="0"/>
                <w:sz w:val="21"/>
                <w:szCs w:val="20"/>
                <w:shd w:val="clear"/>
                <w:lang w:val="en-US" w:eastAsia="zh-CN" w:bidi="ar-SA"/>
              </w:rPr>
              <w:t>3.3.2</w:t>
            </w:r>
          </w:p>
          <w:p w14:paraId="0310C189">
            <w:pPr>
              <w:pStyle w:val="22"/>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line="240" w:lineRule="auto"/>
              <w:ind w:leftChars="0" w:firstLine="42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二类客运班线</w:t>
            </w:r>
            <w:r>
              <w:rPr>
                <w:rFonts w:hint="eastAsia" w:hAnsi="黑体" w:cs="黑体"/>
                <w:lang w:val="en-US" w:eastAsia="zh-CN"/>
              </w:rPr>
              <w:t xml:space="preserve">  </w:t>
            </w:r>
            <w:r>
              <w:rPr>
                <w:rFonts w:hint="eastAsia" w:ascii="黑体" w:hAnsi="黑体" w:eastAsia="黑体" w:cs="黑体"/>
                <w:lang w:val="en-US" w:eastAsia="zh-CN"/>
              </w:rPr>
              <w:t>class II regular passenger route</w:t>
            </w:r>
            <w:bookmarkEnd w:id="65"/>
            <w:bookmarkEnd w:id="66"/>
          </w:p>
          <w:p w14:paraId="13C785E4">
            <w:pPr>
              <w:pStyle w:val="20"/>
              <w:keepNext w:val="0"/>
              <w:keepLines w:val="0"/>
              <w:pageBreakBefore w:val="0"/>
              <w:widowControl/>
              <w:kinsoku/>
              <w:wordWrap/>
              <w:overflowPunct/>
              <w:topLinePunct w:val="0"/>
              <w:bidi w:val="0"/>
              <w:adjustRightInd/>
              <w:snapToGrid/>
              <w:spacing w:line="240" w:lineRule="auto"/>
              <w:textAlignment w:val="auto"/>
              <w:rPr>
                <w:rFonts w:hint="eastAsia" w:ascii="Times New Roman Regular" w:hAnsi="Times New Roman Regular" w:cs="Times New Roman Regular"/>
                <w:i w:val="0"/>
                <w:iCs w:val="0"/>
                <w:caps w:val="0"/>
                <w:spacing w:val="0"/>
                <w:sz w:val="21"/>
                <w:szCs w:val="20"/>
                <w:shd w:val="clear"/>
                <w:lang w:eastAsia="zh-CN"/>
              </w:rPr>
            </w:pPr>
            <w:r>
              <w:rPr>
                <w:rFonts w:hint="eastAsia" w:ascii="Times New Roman Regular" w:hAnsi="Times New Roman Regular" w:eastAsia="宋体" w:cs="Times New Roman Regular"/>
                <w:i w:val="0"/>
                <w:iCs w:val="0"/>
                <w:caps w:val="0"/>
                <w:spacing w:val="0"/>
                <w:sz w:val="21"/>
                <w:szCs w:val="20"/>
                <w:shd w:val="clear"/>
              </w:rPr>
              <w:t>在省级行政区域内，跨设区的市级行政区域（毗邻县之间除外）的客运班线</w:t>
            </w:r>
            <w:r>
              <w:rPr>
                <w:rFonts w:hint="eastAsia" w:ascii="Times New Roman Regular" w:hAnsi="Times New Roman Regular" w:cs="Times New Roman Regular"/>
                <w:i w:val="0"/>
                <w:iCs w:val="0"/>
                <w:caps w:val="0"/>
                <w:spacing w:val="0"/>
                <w:sz w:val="21"/>
                <w:szCs w:val="20"/>
                <w:shd w:val="clear"/>
                <w:lang w:eastAsia="zh-CN"/>
              </w:rPr>
              <w:t>。</w:t>
            </w:r>
          </w:p>
          <w:p w14:paraId="4DECF0A8">
            <w:pPr>
              <w:pStyle w:val="20"/>
              <w:keepNext w:val="0"/>
              <w:keepLines w:val="0"/>
              <w:pageBreakBefore w:val="0"/>
              <w:widowControl/>
              <w:kinsoku/>
              <w:wordWrap/>
              <w:overflowPunct/>
              <w:topLinePunct w:val="0"/>
              <w:bidi w:val="0"/>
              <w:adjustRightInd/>
              <w:snapToGrid/>
              <w:spacing w:line="240" w:lineRule="auto"/>
              <w:ind w:firstLine="420" w:firstLineChars="0"/>
              <w:textAlignment w:val="auto"/>
              <w:rPr>
                <w:rFonts w:hint="eastAsia" w:ascii="宋体" w:hAnsi="宋体" w:cs="宋体"/>
                <w:i w:val="0"/>
                <w:iCs w:val="0"/>
                <w:caps w:val="0"/>
                <w:spacing w:val="0"/>
                <w:sz w:val="21"/>
                <w:szCs w:val="20"/>
                <w:shd w:val="clear"/>
                <w:lang w:eastAsia="zh-CN"/>
              </w:rPr>
            </w:pPr>
            <w:r>
              <w:rPr>
                <w:rFonts w:hint="eastAsia" w:ascii="宋体" w:hAnsi="宋体" w:cs="宋体"/>
                <w:sz w:val="21"/>
                <w:szCs w:val="20"/>
                <w:lang w:val="en-US" w:eastAsia="zh-CN"/>
              </w:rPr>
              <w:t>[来源：GB/T 8226-2023,4.3.3,有修改]</w:t>
            </w:r>
          </w:p>
          <w:p w14:paraId="778E10CB">
            <w:pPr>
              <w:pStyle w:val="22"/>
              <w:keepNext w:val="0"/>
              <w:keepLines w:val="0"/>
              <w:pageBreakBefore w:val="0"/>
              <w:widowControl/>
              <w:numPr>
                <w:ilvl w:val="2"/>
                <w:numId w:val="0"/>
              </w:numPr>
              <w:pBdr>
                <w:top w:val="none" w:color="auto" w:sz="0" w:space="0"/>
                <w:left w:val="none" w:color="auto" w:sz="0" w:space="0"/>
                <w:right w:val="none" w:color="auto" w:sz="0" w:space="0"/>
              </w:pBdr>
              <w:shd w:val="clear" w:fill="FFFFFF"/>
              <w:kinsoku/>
              <w:wordWrap/>
              <w:overflowPunct/>
              <w:topLinePunct w:val="0"/>
              <w:autoSpaceDE w:val="0"/>
              <w:autoSpaceDN w:val="0"/>
              <w:bidi w:val="0"/>
              <w:adjustRightInd/>
              <w:snapToGrid/>
              <w:spacing w:before="0" w:beforeLines="0" w:beforeAutospacing="0" w:after="0" w:afterLines="0" w:afterAutospacing="0" w:line="240" w:lineRule="auto"/>
              <w:ind w:left="0" w:leftChars="0" w:firstLineChars="0"/>
              <w:textAlignment w:val="auto"/>
              <w:rPr>
                <w:rFonts w:hint="eastAsia" w:hAnsi="黑体" w:cs="黑体"/>
                <w:i w:val="0"/>
                <w:iCs w:val="0"/>
                <w:caps w:val="0"/>
                <w:spacing w:val="0"/>
                <w:sz w:val="21"/>
                <w:szCs w:val="20"/>
                <w:shd w:val="clear"/>
                <w:lang w:val="en-US" w:eastAsia="zh-CN" w:bidi="ar-SA"/>
              </w:rPr>
            </w:pPr>
            <w:bookmarkStart w:id="67" w:name="_Toc25039"/>
            <w:bookmarkStart w:id="68" w:name="_Toc32479"/>
            <w:r>
              <w:rPr>
                <w:rFonts w:hint="eastAsia" w:hAnsi="黑体" w:cs="黑体"/>
                <w:i w:val="0"/>
                <w:iCs w:val="0"/>
                <w:caps w:val="0"/>
                <w:spacing w:val="0"/>
                <w:sz w:val="21"/>
                <w:szCs w:val="20"/>
                <w:shd w:val="clear"/>
                <w:lang w:val="en-US" w:eastAsia="zh-CN" w:bidi="ar-SA"/>
              </w:rPr>
              <w:t>3.3.3</w:t>
            </w:r>
          </w:p>
          <w:p w14:paraId="0C04EB76">
            <w:pPr>
              <w:pStyle w:val="22"/>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line="240" w:lineRule="auto"/>
              <w:ind w:leftChars="0" w:firstLine="42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三类客运班线</w:t>
            </w:r>
            <w:r>
              <w:rPr>
                <w:rFonts w:hint="eastAsia" w:hAnsi="黑体" w:cs="黑体"/>
                <w:lang w:val="en-US" w:eastAsia="zh-CN"/>
              </w:rPr>
              <w:t xml:space="preserve">  </w:t>
            </w:r>
            <w:r>
              <w:rPr>
                <w:rFonts w:hint="eastAsia" w:ascii="黑体" w:hAnsi="黑体" w:eastAsia="黑体" w:cs="黑体"/>
                <w:lang w:val="en-US" w:eastAsia="zh-CN"/>
              </w:rPr>
              <w:t>class Ⅲ regular passenger route</w:t>
            </w:r>
            <w:bookmarkEnd w:id="67"/>
            <w:bookmarkEnd w:id="68"/>
          </w:p>
          <w:p w14:paraId="04CF3BD3">
            <w:pPr>
              <w:pStyle w:val="20"/>
              <w:keepNext w:val="0"/>
              <w:keepLines w:val="0"/>
              <w:pageBreakBefore w:val="0"/>
              <w:widowControl/>
              <w:kinsoku/>
              <w:wordWrap/>
              <w:overflowPunct/>
              <w:topLinePunct w:val="0"/>
              <w:bidi w:val="0"/>
              <w:adjustRightInd/>
              <w:snapToGrid/>
              <w:spacing w:line="240" w:lineRule="auto"/>
              <w:textAlignment w:val="auto"/>
              <w:rPr>
                <w:rFonts w:hint="eastAsia" w:ascii="Times New Roman Regular" w:hAnsi="Times New Roman Regular" w:cs="Times New Roman Regular"/>
                <w:i w:val="0"/>
                <w:iCs w:val="0"/>
                <w:caps w:val="0"/>
                <w:spacing w:val="0"/>
                <w:sz w:val="21"/>
                <w:szCs w:val="20"/>
                <w:shd w:val="clear"/>
                <w:lang w:eastAsia="zh-CN"/>
              </w:rPr>
            </w:pPr>
            <w:r>
              <w:rPr>
                <w:rFonts w:hint="eastAsia" w:ascii="Times New Roman Regular" w:hAnsi="Times New Roman Regular" w:eastAsia="宋体" w:cs="Times New Roman Regular"/>
                <w:i w:val="0"/>
                <w:iCs w:val="0"/>
                <w:caps w:val="0"/>
                <w:spacing w:val="0"/>
                <w:sz w:val="21"/>
                <w:szCs w:val="20"/>
                <w:shd w:val="clear"/>
              </w:rPr>
              <w:t>在设区的市级行政区域内，跨县级行政区域（毗邻县之间除外）的客运班线</w:t>
            </w:r>
            <w:r>
              <w:rPr>
                <w:rFonts w:hint="eastAsia" w:ascii="Times New Roman Regular" w:hAnsi="Times New Roman Regular" w:cs="Times New Roman Regular"/>
                <w:i w:val="0"/>
                <w:iCs w:val="0"/>
                <w:caps w:val="0"/>
                <w:spacing w:val="0"/>
                <w:sz w:val="21"/>
                <w:szCs w:val="20"/>
                <w:shd w:val="clear"/>
                <w:lang w:eastAsia="zh-CN"/>
              </w:rPr>
              <w:t>。</w:t>
            </w:r>
          </w:p>
          <w:p w14:paraId="6203E5EE">
            <w:pPr>
              <w:pStyle w:val="20"/>
              <w:keepNext w:val="0"/>
              <w:keepLines w:val="0"/>
              <w:pageBreakBefore w:val="0"/>
              <w:widowControl/>
              <w:kinsoku/>
              <w:wordWrap/>
              <w:overflowPunct/>
              <w:topLinePunct w:val="0"/>
              <w:bidi w:val="0"/>
              <w:adjustRightInd/>
              <w:snapToGrid/>
              <w:spacing w:line="240" w:lineRule="auto"/>
              <w:ind w:firstLine="420" w:firstLineChars="0"/>
              <w:textAlignment w:val="auto"/>
              <w:rPr>
                <w:rFonts w:hint="eastAsia" w:ascii="宋体" w:hAnsi="宋体" w:cs="宋体"/>
                <w:i w:val="0"/>
                <w:iCs w:val="0"/>
                <w:caps w:val="0"/>
                <w:spacing w:val="0"/>
                <w:sz w:val="21"/>
                <w:szCs w:val="20"/>
                <w:shd w:val="clear"/>
                <w:lang w:eastAsia="zh-CN"/>
              </w:rPr>
            </w:pPr>
            <w:r>
              <w:rPr>
                <w:rFonts w:hint="eastAsia" w:ascii="宋体" w:hAnsi="宋体" w:cs="宋体"/>
                <w:sz w:val="21"/>
                <w:szCs w:val="20"/>
                <w:lang w:val="en-US" w:eastAsia="zh-CN"/>
              </w:rPr>
              <w:t>[来源：GB/T 8226-2023,4.3.4]</w:t>
            </w:r>
          </w:p>
          <w:p w14:paraId="3256AA24">
            <w:pPr>
              <w:pStyle w:val="22"/>
              <w:keepNext w:val="0"/>
              <w:keepLines w:val="0"/>
              <w:pageBreakBefore w:val="0"/>
              <w:widowControl/>
              <w:numPr>
                <w:ilvl w:val="2"/>
                <w:numId w:val="0"/>
              </w:numPr>
              <w:pBdr>
                <w:top w:val="none" w:color="auto" w:sz="0" w:space="0"/>
                <w:left w:val="none" w:color="auto" w:sz="0" w:space="0"/>
                <w:right w:val="none" w:color="auto" w:sz="0" w:space="0"/>
              </w:pBdr>
              <w:shd w:val="clear" w:fill="FFFFFF"/>
              <w:kinsoku/>
              <w:wordWrap/>
              <w:overflowPunct/>
              <w:topLinePunct w:val="0"/>
              <w:autoSpaceDE w:val="0"/>
              <w:autoSpaceDN w:val="0"/>
              <w:bidi w:val="0"/>
              <w:adjustRightInd/>
              <w:snapToGrid/>
              <w:spacing w:before="0" w:beforeLines="0" w:beforeAutospacing="0" w:after="0" w:afterLines="0" w:afterAutospacing="0" w:line="240" w:lineRule="auto"/>
              <w:ind w:left="0" w:leftChars="0" w:firstLineChars="0"/>
              <w:textAlignment w:val="auto"/>
              <w:rPr>
                <w:rFonts w:hint="eastAsia" w:hAnsi="黑体" w:cs="黑体"/>
                <w:i w:val="0"/>
                <w:iCs w:val="0"/>
                <w:caps w:val="0"/>
                <w:spacing w:val="0"/>
                <w:sz w:val="21"/>
                <w:szCs w:val="20"/>
                <w:shd w:val="clear"/>
                <w:lang w:val="en-US" w:eastAsia="zh-CN" w:bidi="ar-SA"/>
              </w:rPr>
            </w:pPr>
            <w:bookmarkStart w:id="69" w:name="_Toc23812"/>
            <w:bookmarkStart w:id="70" w:name="_Toc4788"/>
            <w:r>
              <w:rPr>
                <w:rFonts w:hint="eastAsia" w:hAnsi="黑体" w:cs="黑体"/>
                <w:i w:val="0"/>
                <w:iCs w:val="0"/>
                <w:caps w:val="0"/>
                <w:spacing w:val="0"/>
                <w:sz w:val="21"/>
                <w:szCs w:val="20"/>
                <w:shd w:val="clear"/>
                <w:lang w:val="en-US" w:eastAsia="zh-CN" w:bidi="ar-SA"/>
              </w:rPr>
              <w:t>3.3.4</w:t>
            </w:r>
          </w:p>
          <w:p w14:paraId="51BF4AA2">
            <w:pPr>
              <w:pStyle w:val="22"/>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line="240" w:lineRule="auto"/>
              <w:ind w:leftChars="0" w:firstLine="42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四类客运班线</w:t>
            </w:r>
            <w:r>
              <w:rPr>
                <w:rFonts w:hint="eastAsia" w:hAnsi="黑体" w:cs="黑体"/>
                <w:lang w:val="en-US" w:eastAsia="zh-CN"/>
              </w:rPr>
              <w:t xml:space="preserve">  </w:t>
            </w:r>
            <w:r>
              <w:rPr>
                <w:rFonts w:hint="eastAsia" w:ascii="黑体" w:hAnsi="黑体" w:eastAsia="黑体" w:cs="黑体"/>
                <w:lang w:val="en-US" w:eastAsia="zh-CN"/>
              </w:rPr>
              <w:t>class Ⅳ regular passenger route</w:t>
            </w:r>
            <w:bookmarkEnd w:id="69"/>
            <w:bookmarkEnd w:id="70"/>
          </w:p>
          <w:p w14:paraId="0AB72707">
            <w:pPr>
              <w:pStyle w:val="20"/>
              <w:keepNext w:val="0"/>
              <w:keepLines w:val="0"/>
              <w:pageBreakBefore w:val="0"/>
              <w:widowControl/>
              <w:kinsoku/>
              <w:wordWrap/>
              <w:overflowPunct/>
              <w:topLinePunct w:val="0"/>
              <w:bidi w:val="0"/>
              <w:adjustRightInd/>
              <w:snapToGrid/>
              <w:spacing w:line="240" w:lineRule="auto"/>
              <w:textAlignment w:val="auto"/>
              <w:rPr>
                <w:rFonts w:hint="eastAsia" w:ascii="Times New Roman Regular" w:hAnsi="Times New Roman Regular" w:eastAsia="宋体" w:cs="Times New Roman Regular"/>
                <w:i w:val="0"/>
                <w:iCs w:val="0"/>
                <w:caps w:val="0"/>
                <w:spacing w:val="0"/>
                <w:sz w:val="21"/>
                <w:szCs w:val="20"/>
                <w:shd w:val="clear"/>
                <w:lang w:bidi="ar-SA"/>
              </w:rPr>
            </w:pPr>
            <w:r>
              <w:rPr>
                <w:rFonts w:hint="eastAsia" w:ascii="Times New Roman Regular" w:hAnsi="Times New Roman Regular" w:eastAsia="宋体" w:cs="Times New Roman Regular"/>
                <w:i w:val="0"/>
                <w:iCs w:val="0"/>
                <w:caps w:val="0"/>
                <w:spacing w:val="0"/>
                <w:sz w:val="21"/>
                <w:szCs w:val="20"/>
                <w:shd w:val="clear"/>
                <w:lang w:bidi="ar-SA"/>
              </w:rPr>
              <w:t>县级行政区域内的客运班线或者相互毗邻的县、县级市、</w:t>
            </w:r>
            <w:r>
              <w:rPr>
                <w:rFonts w:hint="eastAsia" w:ascii="Times New Roman Regular" w:hAnsi="Times New Roman Regular" w:eastAsia="宋体" w:cs="Times New Roman Regular"/>
                <w:i w:val="0"/>
                <w:iCs w:val="0"/>
                <w:caps w:val="0"/>
                <w:spacing w:val="0"/>
                <w:sz w:val="21"/>
                <w:szCs w:val="20"/>
                <w:shd w:val="clear"/>
              </w:rPr>
              <w:t>下辖乡镇的区</w:t>
            </w:r>
            <w:r>
              <w:rPr>
                <w:rFonts w:hint="eastAsia" w:ascii="Times New Roman Regular" w:hAnsi="Times New Roman Regular" w:eastAsia="宋体" w:cs="Times New Roman Regular"/>
                <w:i w:val="0"/>
                <w:iCs w:val="0"/>
                <w:caps w:val="0"/>
                <w:spacing w:val="0"/>
                <w:sz w:val="21"/>
                <w:szCs w:val="20"/>
                <w:shd w:val="clear"/>
                <w:lang w:bidi="ar-SA"/>
              </w:rPr>
              <w:t>之间的</w:t>
            </w:r>
            <w:r>
              <w:rPr>
                <w:rFonts w:hint="eastAsia" w:ascii="Times New Roman Regular" w:hAnsi="Times New Roman Regular" w:eastAsia="宋体" w:cs="Times New Roman Regular"/>
                <w:i w:val="0"/>
                <w:iCs w:val="0"/>
                <w:caps w:val="0"/>
                <w:spacing w:val="0"/>
                <w:sz w:val="21"/>
                <w:szCs w:val="20"/>
                <w:shd w:val="clear"/>
              </w:rPr>
              <w:t>客运班线</w:t>
            </w:r>
            <w:r>
              <w:rPr>
                <w:rFonts w:hint="eastAsia" w:ascii="Times New Roman Regular" w:hAnsi="Times New Roman Regular" w:eastAsia="宋体" w:cs="Times New Roman Regular"/>
                <w:i w:val="0"/>
                <w:iCs w:val="0"/>
                <w:caps w:val="0"/>
                <w:spacing w:val="0"/>
                <w:sz w:val="21"/>
                <w:szCs w:val="20"/>
                <w:shd w:val="clear"/>
                <w:lang w:bidi="ar-SA"/>
              </w:rPr>
              <w:t>。</w:t>
            </w:r>
          </w:p>
          <w:p w14:paraId="39178CB1">
            <w:pPr>
              <w:pStyle w:val="20"/>
              <w:keepNext w:val="0"/>
              <w:keepLines w:val="0"/>
              <w:pageBreakBefore w:val="0"/>
              <w:widowControl/>
              <w:kinsoku/>
              <w:wordWrap/>
              <w:overflowPunct/>
              <w:topLinePunct w:val="0"/>
              <w:bidi w:val="0"/>
              <w:adjustRightInd/>
              <w:snapToGrid/>
              <w:spacing w:line="240" w:lineRule="auto"/>
              <w:ind w:firstLine="420" w:firstLineChars="0"/>
              <w:textAlignment w:val="auto"/>
              <w:rPr>
                <w:rFonts w:hint="eastAsia" w:ascii="宋体" w:hAnsi="宋体" w:cs="宋体"/>
                <w:sz w:val="21"/>
                <w:szCs w:val="20"/>
                <w:lang w:val="en-US" w:eastAsia="zh-CN"/>
              </w:rPr>
            </w:pPr>
            <w:r>
              <w:rPr>
                <w:rFonts w:hint="eastAsia" w:ascii="宋体" w:hAnsi="宋体" w:cs="宋体"/>
                <w:sz w:val="21"/>
                <w:szCs w:val="20"/>
                <w:lang w:val="en-US" w:eastAsia="zh-CN"/>
              </w:rPr>
              <w:t>[来源：GB/T 8226-2023,4.3.5,有修改]</w:t>
            </w:r>
            <w:r>
              <w:rPr>
                <w:rFonts w:hint="eastAsia" w:ascii="Times New Roman Regular" w:hAnsi="Times New Roman Regular" w:cs="Times New Roman Regular"/>
                <w:lang w:val="en-US" w:eastAsia="zh-CN"/>
              </w:rPr>
              <w:t>。</w:t>
            </w:r>
          </w:p>
        </w:tc>
        <w:tc>
          <w:tcPr>
            <w:tcW w:w="4026" w:type="dxa"/>
          </w:tcPr>
          <w:p w14:paraId="6EE066DE">
            <w:pPr>
              <w:keepNext w:val="0"/>
              <w:keepLines w:val="0"/>
              <w:pageBreakBefore w:val="0"/>
              <w:kinsoku/>
              <w:wordWrap/>
              <w:overflowPunct/>
              <w:topLinePunct w:val="0"/>
              <w:bidi w:val="0"/>
              <w:adjustRightInd/>
              <w:snapToGrid/>
              <w:spacing w:line="240" w:lineRule="auto"/>
              <w:ind w:firstLine="420" w:firstLineChars="200"/>
              <w:textAlignment w:val="auto"/>
              <w:rPr>
                <w:rFonts w:hint="eastAsia" w:ascii="Times New Roman Regular" w:hAnsi="Times New Roman Regular" w:cs="Times New Roman Regular"/>
                <w:sz w:val="21"/>
                <w:szCs w:val="21"/>
                <w:lang w:val="en-US" w:eastAsia="zh-CN"/>
              </w:rPr>
            </w:pPr>
            <w:r>
              <w:rPr>
                <w:rFonts w:hint="eastAsia" w:ascii="Times New Roman Regular" w:hAnsi="Times New Roman Regular" w:cs="Times New Roman Regular"/>
                <w:sz w:val="21"/>
                <w:szCs w:val="21"/>
                <w:lang w:val="en-US" w:eastAsia="zh-CN"/>
              </w:rPr>
              <w:t>本条术语及</w:t>
            </w:r>
            <w:r>
              <w:rPr>
                <w:rFonts w:hint="eastAsia" w:ascii="Times New Roman Regular" w:hAnsi="Times New Roman Regular" w:eastAsia="宋体" w:cs="Times New Roman Regular"/>
                <w:kern w:val="0"/>
                <w:sz w:val="21"/>
                <w:szCs w:val="21"/>
                <w:lang w:val="en-US" w:eastAsia="zh-CN" w:bidi="ar-SA"/>
              </w:rPr>
              <w:t>定义</w:t>
            </w:r>
            <w:r>
              <w:rPr>
                <w:rFonts w:hint="eastAsia" w:ascii="Times New Roman Regular" w:hAnsi="Times New Roman Regular" w:cs="Times New Roman Regular"/>
                <w:sz w:val="21"/>
                <w:szCs w:val="21"/>
                <w:lang w:val="en-US" w:eastAsia="zh-CN"/>
              </w:rPr>
              <w:t>根据</w:t>
            </w:r>
            <w:r>
              <w:rPr>
                <w:rFonts w:hint="default" w:ascii="Times New Roman Regular" w:hAnsi="Times New Roman Regular" w:cs="Times New Roman Regular"/>
                <w:sz w:val="21"/>
                <w:szCs w:val="21"/>
                <w:lang w:val="en-US" w:eastAsia="zh-CN"/>
              </w:rPr>
              <w:t>《道路旅客运输及客运站管理规定》</w:t>
            </w:r>
            <w:r>
              <w:rPr>
                <w:rFonts w:hint="eastAsia" w:ascii="Times New Roman Regular" w:hAnsi="Times New Roman Regular" w:cs="Times New Roman Regular"/>
                <w:sz w:val="21"/>
                <w:szCs w:val="21"/>
                <w:lang w:val="en-US" w:eastAsia="zh-CN"/>
              </w:rPr>
              <w:t>，并参考</w:t>
            </w:r>
            <w:r>
              <w:rPr>
                <w:rFonts w:hint="default" w:ascii="Times New Roman Regular" w:hAnsi="Times New Roman Regular" w:cs="Times New Roman Regular"/>
                <w:sz w:val="21"/>
                <w:szCs w:val="21"/>
                <w:lang w:val="en-US" w:eastAsia="zh-CN"/>
              </w:rPr>
              <w:t>GB/T 8226</w:t>
            </w:r>
            <w:r>
              <w:rPr>
                <w:rFonts w:hint="eastAsia" w:ascii="Times New Roman Regular" w:hAnsi="Times New Roman Regular" w:cs="Times New Roman Regular"/>
                <w:sz w:val="21"/>
                <w:szCs w:val="21"/>
                <w:lang w:val="en-US" w:eastAsia="zh-CN"/>
              </w:rPr>
              <w:t>《</w:t>
            </w:r>
            <w:r>
              <w:rPr>
                <w:rFonts w:hint="default" w:ascii="Times New Roman Regular" w:hAnsi="Times New Roman Regular" w:cs="Times New Roman Regular"/>
                <w:sz w:val="21"/>
                <w:szCs w:val="21"/>
                <w:lang w:val="en-US" w:eastAsia="zh-CN"/>
              </w:rPr>
              <w:t>道路运输术语</w:t>
            </w:r>
            <w:r>
              <w:rPr>
                <w:rFonts w:hint="eastAsia" w:ascii="Times New Roman Regular" w:hAnsi="Times New Roman Regular" w:cs="Times New Roman Regular"/>
                <w:sz w:val="21"/>
                <w:szCs w:val="21"/>
                <w:lang w:val="en-US" w:eastAsia="zh-CN"/>
              </w:rPr>
              <w:t>》起草。对于二者对个别术语的定义存有差异的，主要依据</w:t>
            </w:r>
            <w:r>
              <w:rPr>
                <w:rFonts w:hint="default" w:ascii="Times New Roman Regular" w:hAnsi="Times New Roman Regular" w:cs="Times New Roman Regular"/>
                <w:sz w:val="21"/>
                <w:szCs w:val="21"/>
                <w:lang w:val="en-US" w:eastAsia="zh-CN"/>
              </w:rPr>
              <w:t>《道路旅客运输及客运站管理规定》</w:t>
            </w:r>
            <w:r>
              <w:rPr>
                <w:rFonts w:hint="eastAsia" w:ascii="Times New Roman Regular" w:hAnsi="Times New Roman Regular" w:cs="Times New Roman Regular"/>
                <w:sz w:val="21"/>
                <w:szCs w:val="21"/>
                <w:lang w:val="en-US" w:eastAsia="zh-CN"/>
              </w:rPr>
              <w:t>进行了修改。</w:t>
            </w:r>
          </w:p>
          <w:p w14:paraId="5E2D49B4">
            <w:pPr>
              <w:keepNext w:val="0"/>
              <w:keepLines w:val="0"/>
              <w:pageBreakBefore w:val="0"/>
              <w:kinsoku/>
              <w:wordWrap/>
              <w:overflowPunct/>
              <w:topLinePunct w:val="0"/>
              <w:bidi w:val="0"/>
              <w:adjustRightInd/>
              <w:snapToGrid/>
              <w:spacing w:line="240" w:lineRule="auto"/>
              <w:ind w:firstLine="420" w:firstLineChars="200"/>
              <w:textAlignment w:val="auto"/>
              <w:rPr>
                <w:rFonts w:hint="eastAsia" w:ascii="Times New Roman Regular" w:hAnsi="Times New Roman Regular" w:cs="Times New Roman Regular"/>
                <w:sz w:val="21"/>
                <w:szCs w:val="21"/>
                <w:lang w:val="en-US" w:eastAsia="zh-CN"/>
              </w:rPr>
            </w:pPr>
            <w:r>
              <w:rPr>
                <w:rFonts w:hint="default" w:ascii="Times New Roman Regular" w:hAnsi="Times New Roman Regular" w:cs="Times New Roman Regular"/>
                <w:sz w:val="21"/>
                <w:szCs w:val="21"/>
                <w:lang w:val="en-US" w:eastAsia="zh-CN"/>
              </w:rPr>
              <w:t>《道路旅客运输及客运站管理规定》</w:t>
            </w:r>
            <w:r>
              <w:rPr>
                <w:rFonts w:hint="eastAsia" w:ascii="Times New Roman Regular" w:hAnsi="Times New Roman Regular" w:cs="Times New Roman Regular"/>
                <w:sz w:val="21"/>
                <w:szCs w:val="21"/>
                <w:lang w:val="en-US" w:eastAsia="zh-CN"/>
              </w:rPr>
              <w:t>的相关规定如下：</w:t>
            </w:r>
          </w:p>
          <w:p w14:paraId="0E1DEDA4">
            <w:pPr>
              <w:keepNext w:val="0"/>
              <w:keepLines w:val="0"/>
              <w:pageBreakBefore w:val="0"/>
              <w:kinsoku/>
              <w:wordWrap/>
              <w:overflowPunct/>
              <w:topLinePunct w:val="0"/>
              <w:bidi w:val="0"/>
              <w:adjustRightInd/>
              <w:snapToGrid/>
              <w:spacing w:line="240" w:lineRule="auto"/>
              <w:ind w:firstLine="420" w:firstLineChars="200"/>
              <w:textAlignment w:val="auto"/>
              <w:rPr>
                <w:rFonts w:hint="eastAsia" w:ascii="Times New Roman Regular" w:hAnsi="Times New Roman Regular" w:eastAsia="宋体" w:cs="Times New Roman Regular"/>
                <w:kern w:val="0"/>
                <w:sz w:val="21"/>
                <w:szCs w:val="21"/>
                <w:lang w:val="en-US" w:eastAsia="zh-CN" w:bidi="ar-SA"/>
              </w:rPr>
            </w:pPr>
            <w:r>
              <w:rPr>
                <w:rFonts w:hint="eastAsia" w:ascii="Times New Roman Regular" w:hAnsi="Times New Roman Regular" w:eastAsia="宋体" w:cs="Times New Roman Regular"/>
                <w:kern w:val="0"/>
                <w:sz w:val="21"/>
                <w:szCs w:val="21"/>
                <w:lang w:val="en-US" w:eastAsia="zh-CN" w:bidi="ar-SA"/>
              </w:rPr>
              <w:t>第八条　班车客运的线路按照经营区域分为以下四种类型：</w:t>
            </w:r>
          </w:p>
          <w:p w14:paraId="7C33BDB4">
            <w:pPr>
              <w:keepNext w:val="0"/>
              <w:keepLines w:val="0"/>
              <w:pageBreakBefore w:val="0"/>
              <w:kinsoku/>
              <w:wordWrap/>
              <w:overflowPunct/>
              <w:topLinePunct w:val="0"/>
              <w:bidi w:val="0"/>
              <w:adjustRightInd/>
              <w:snapToGrid/>
              <w:spacing w:line="240" w:lineRule="auto"/>
              <w:ind w:firstLine="420" w:firstLineChars="200"/>
              <w:textAlignment w:val="auto"/>
              <w:rPr>
                <w:rFonts w:hint="eastAsia" w:ascii="Times New Roman Regular" w:hAnsi="Times New Roman Regular" w:eastAsia="宋体" w:cs="Times New Roman Regular"/>
                <w:kern w:val="0"/>
                <w:sz w:val="21"/>
                <w:szCs w:val="21"/>
                <w:lang w:val="en-US" w:eastAsia="zh-CN" w:bidi="ar-SA"/>
              </w:rPr>
            </w:pPr>
            <w:r>
              <w:rPr>
                <w:rFonts w:hint="eastAsia" w:ascii="Times New Roman Regular" w:hAnsi="Times New Roman Regular" w:eastAsia="宋体" w:cs="Times New Roman Regular"/>
                <w:kern w:val="0"/>
                <w:sz w:val="21"/>
                <w:szCs w:val="21"/>
                <w:lang w:val="en-US" w:eastAsia="zh-CN" w:bidi="ar-SA"/>
              </w:rPr>
              <w:t>一类客运班线：跨省级行政区域（毗邻县之间除外）的客运班线。</w:t>
            </w:r>
          </w:p>
          <w:p w14:paraId="38DFDF74">
            <w:pPr>
              <w:keepNext w:val="0"/>
              <w:keepLines w:val="0"/>
              <w:pageBreakBefore w:val="0"/>
              <w:kinsoku/>
              <w:wordWrap/>
              <w:overflowPunct/>
              <w:topLinePunct w:val="0"/>
              <w:bidi w:val="0"/>
              <w:adjustRightInd/>
              <w:snapToGrid/>
              <w:spacing w:line="240" w:lineRule="auto"/>
              <w:ind w:firstLine="420" w:firstLineChars="200"/>
              <w:textAlignment w:val="auto"/>
              <w:rPr>
                <w:rFonts w:hint="eastAsia" w:ascii="Times New Roman Regular" w:hAnsi="Times New Roman Regular" w:eastAsia="宋体" w:cs="Times New Roman Regular"/>
                <w:kern w:val="0"/>
                <w:sz w:val="21"/>
                <w:szCs w:val="21"/>
                <w:lang w:val="en-US" w:eastAsia="zh-CN" w:bidi="ar-SA"/>
              </w:rPr>
            </w:pPr>
            <w:r>
              <w:rPr>
                <w:rFonts w:hint="eastAsia" w:ascii="Times New Roman Regular" w:hAnsi="Times New Roman Regular" w:eastAsia="宋体" w:cs="Times New Roman Regular"/>
                <w:kern w:val="0"/>
                <w:sz w:val="21"/>
                <w:szCs w:val="21"/>
                <w:lang w:val="en-US" w:eastAsia="zh-CN" w:bidi="ar-SA"/>
              </w:rPr>
              <w:t>二类客运班线：在省级行政区域内，跨设区的市级行政区域（毗邻县之间除外）的客运班线。</w:t>
            </w:r>
          </w:p>
          <w:p w14:paraId="1D3436BB">
            <w:pPr>
              <w:keepNext w:val="0"/>
              <w:keepLines w:val="0"/>
              <w:pageBreakBefore w:val="0"/>
              <w:kinsoku/>
              <w:wordWrap/>
              <w:overflowPunct/>
              <w:topLinePunct w:val="0"/>
              <w:bidi w:val="0"/>
              <w:adjustRightInd/>
              <w:snapToGrid/>
              <w:spacing w:line="240" w:lineRule="auto"/>
              <w:ind w:firstLine="420" w:firstLineChars="200"/>
              <w:textAlignment w:val="auto"/>
              <w:rPr>
                <w:rFonts w:hint="eastAsia" w:ascii="Times New Roman Regular" w:hAnsi="Times New Roman Regular" w:eastAsia="宋体" w:cs="Times New Roman Regular"/>
                <w:kern w:val="0"/>
                <w:sz w:val="21"/>
                <w:szCs w:val="21"/>
                <w:lang w:val="en-US" w:eastAsia="zh-CN" w:bidi="ar-SA"/>
              </w:rPr>
            </w:pPr>
            <w:r>
              <w:rPr>
                <w:rFonts w:hint="eastAsia" w:ascii="Times New Roman Regular" w:hAnsi="Times New Roman Regular" w:eastAsia="宋体" w:cs="Times New Roman Regular"/>
                <w:kern w:val="0"/>
                <w:sz w:val="21"/>
                <w:szCs w:val="21"/>
                <w:lang w:val="en-US" w:eastAsia="zh-CN" w:bidi="ar-SA"/>
              </w:rPr>
              <w:t>三类客运班线：在设区的市级行政区域内，跨县级行政区域（毗邻县之间除外）的客运班线。</w:t>
            </w:r>
          </w:p>
          <w:p w14:paraId="01D259E7">
            <w:pPr>
              <w:keepNext w:val="0"/>
              <w:keepLines w:val="0"/>
              <w:pageBreakBefore w:val="0"/>
              <w:kinsoku/>
              <w:wordWrap/>
              <w:overflowPunct/>
              <w:topLinePunct w:val="0"/>
              <w:bidi w:val="0"/>
              <w:adjustRightInd/>
              <w:snapToGrid/>
              <w:spacing w:line="240" w:lineRule="auto"/>
              <w:ind w:firstLine="420" w:firstLineChars="200"/>
              <w:textAlignment w:val="auto"/>
              <w:rPr>
                <w:rFonts w:hint="eastAsia" w:ascii="Times New Roman Regular" w:hAnsi="Times New Roman Regular" w:eastAsia="宋体" w:cs="Times New Roman Regular"/>
                <w:kern w:val="0"/>
                <w:sz w:val="21"/>
                <w:szCs w:val="21"/>
                <w:lang w:val="en-US" w:eastAsia="zh-CN" w:bidi="ar-SA"/>
              </w:rPr>
            </w:pPr>
            <w:r>
              <w:rPr>
                <w:rFonts w:hint="eastAsia" w:ascii="Times New Roman Regular" w:hAnsi="Times New Roman Regular" w:eastAsia="宋体" w:cs="Times New Roman Regular"/>
                <w:kern w:val="0"/>
                <w:sz w:val="21"/>
                <w:szCs w:val="21"/>
                <w:lang w:val="en-US" w:eastAsia="zh-CN" w:bidi="ar-SA"/>
              </w:rPr>
              <w:t>四类客运班线：县级行政区域内的客运班线或者毗邻县之间的客运班线。</w:t>
            </w:r>
          </w:p>
          <w:p w14:paraId="57F86E3F">
            <w:pPr>
              <w:keepNext w:val="0"/>
              <w:keepLines w:val="0"/>
              <w:pageBreakBefore w:val="0"/>
              <w:kinsoku/>
              <w:wordWrap/>
              <w:overflowPunct/>
              <w:topLinePunct w:val="0"/>
              <w:bidi w:val="0"/>
              <w:adjustRightInd/>
              <w:snapToGrid/>
              <w:spacing w:line="240" w:lineRule="auto"/>
              <w:ind w:firstLine="420" w:firstLineChars="200"/>
              <w:textAlignment w:val="auto"/>
              <w:rPr>
                <w:rFonts w:hint="eastAsia" w:ascii="Times New Roman Regular" w:hAnsi="Times New Roman Regular" w:eastAsia="宋体" w:cs="Times New Roman Regular"/>
                <w:kern w:val="0"/>
                <w:sz w:val="21"/>
                <w:szCs w:val="21"/>
                <w:lang w:val="en-US" w:eastAsia="zh-CN" w:bidi="ar-SA"/>
              </w:rPr>
            </w:pPr>
            <w:r>
              <w:rPr>
                <w:rFonts w:hint="eastAsia" w:ascii="Times New Roman Regular" w:hAnsi="Times New Roman Regular" w:eastAsia="宋体" w:cs="Times New Roman Regular"/>
                <w:kern w:val="0"/>
                <w:sz w:val="21"/>
                <w:szCs w:val="21"/>
                <w:lang w:val="en-US" w:eastAsia="zh-CN" w:bidi="ar-SA"/>
              </w:rPr>
              <w:t>本规定所称毗邻县，包括相互毗邻的县、旗、县级市、下辖乡镇的区。</w:t>
            </w:r>
          </w:p>
          <w:p w14:paraId="35F42860">
            <w:pPr>
              <w:keepNext w:val="0"/>
              <w:keepLines w:val="0"/>
              <w:pageBreakBefore w:val="0"/>
              <w:kinsoku/>
              <w:wordWrap/>
              <w:overflowPunct/>
              <w:topLinePunct w:val="0"/>
              <w:bidi w:val="0"/>
              <w:adjustRightInd/>
              <w:snapToGrid/>
              <w:spacing w:line="240" w:lineRule="auto"/>
              <w:ind w:firstLine="420" w:firstLineChars="200"/>
              <w:textAlignment w:val="auto"/>
              <w:rPr>
                <w:rFonts w:hint="eastAsia" w:ascii="Times New Roman Regular" w:hAnsi="Times New Roman Regular" w:eastAsia="宋体" w:cs="Times New Roman Regular"/>
                <w:kern w:val="0"/>
                <w:sz w:val="21"/>
                <w:szCs w:val="21"/>
                <w:lang w:val="en-US" w:eastAsia="zh-CN" w:bidi="ar-SA"/>
              </w:rPr>
            </w:pPr>
          </w:p>
        </w:tc>
      </w:tr>
      <w:tr w14:paraId="73756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78662BE3">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3.4</w:t>
            </w:r>
          </w:p>
        </w:tc>
        <w:tc>
          <w:tcPr>
            <w:tcW w:w="3766" w:type="dxa"/>
          </w:tcPr>
          <w:p w14:paraId="3AC30FFD">
            <w:pPr>
              <w:pStyle w:val="22"/>
              <w:keepNext w:val="0"/>
              <w:keepLines w:val="0"/>
              <w:pageBreakBefore w:val="0"/>
              <w:widowControl/>
              <w:numPr>
                <w:ilvl w:val="2"/>
                <w:numId w:val="0"/>
              </w:numPr>
              <w:pBdr>
                <w:top w:val="none" w:color="auto" w:sz="0" w:space="0"/>
                <w:left w:val="none" w:color="auto" w:sz="0" w:space="0"/>
                <w:right w:val="none" w:color="auto" w:sz="0" w:space="0"/>
              </w:pBdr>
              <w:shd w:val="clear" w:fill="FFFFFF"/>
              <w:kinsoku/>
              <w:wordWrap/>
              <w:overflowPunct/>
              <w:topLinePunct w:val="0"/>
              <w:autoSpaceDE w:val="0"/>
              <w:autoSpaceDN w:val="0"/>
              <w:bidi w:val="0"/>
              <w:adjustRightInd/>
              <w:snapToGrid/>
              <w:spacing w:before="0" w:beforeLines="0" w:beforeAutospacing="0" w:after="0" w:afterLines="0" w:afterAutospacing="0" w:line="240" w:lineRule="auto"/>
              <w:ind w:left="0" w:leftChars="0" w:firstLineChars="0"/>
              <w:textAlignment w:val="auto"/>
              <w:rPr>
                <w:rFonts w:hint="eastAsia" w:hAnsi="黑体" w:cs="黑体"/>
                <w:i w:val="0"/>
                <w:iCs w:val="0"/>
                <w:caps w:val="0"/>
                <w:spacing w:val="0"/>
                <w:sz w:val="21"/>
                <w:szCs w:val="20"/>
                <w:shd w:val="clear"/>
                <w:lang w:val="en-US" w:eastAsia="zh-CN" w:bidi="ar-SA"/>
              </w:rPr>
            </w:pPr>
            <w:bookmarkStart w:id="71" w:name="_Toc7169"/>
            <w:bookmarkStart w:id="72" w:name="_Toc9065"/>
            <w:bookmarkStart w:id="73" w:name="_Toc17812"/>
            <w:bookmarkStart w:id="74" w:name="_Toc1236"/>
            <w:bookmarkStart w:id="75" w:name="_Toc2863"/>
            <w:r>
              <w:rPr>
                <w:rFonts w:hint="eastAsia" w:hAnsi="黑体" w:cs="黑体"/>
                <w:i w:val="0"/>
                <w:iCs w:val="0"/>
                <w:caps w:val="0"/>
                <w:spacing w:val="0"/>
                <w:sz w:val="21"/>
                <w:szCs w:val="20"/>
                <w:shd w:val="clear"/>
                <w:lang w:val="en-US" w:eastAsia="zh-CN" w:bidi="ar-SA"/>
              </w:rPr>
              <w:t>3.4</w:t>
            </w:r>
          </w:p>
          <w:p w14:paraId="4A969059">
            <w:pPr>
              <w:pStyle w:val="22"/>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line="240" w:lineRule="auto"/>
              <w:ind w:leftChars="0" w:firstLine="42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电子标志牌</w:t>
            </w:r>
            <w:r>
              <w:rPr>
                <w:rFonts w:hint="eastAsia" w:hAnsi="黑体" w:cs="黑体"/>
                <w:lang w:val="en-US" w:eastAsia="zh-CN"/>
              </w:rPr>
              <w:t xml:space="preserve">  </w:t>
            </w:r>
            <w:r>
              <w:rPr>
                <w:rFonts w:hint="eastAsia" w:ascii="黑体" w:hAnsi="黑体" w:eastAsia="黑体" w:cs="黑体"/>
                <w:lang w:val="en-US" w:eastAsia="zh-CN"/>
              </w:rPr>
              <w:t>electronic sign plate</w:t>
            </w:r>
            <w:bookmarkEnd w:id="71"/>
            <w:bookmarkEnd w:id="72"/>
            <w:bookmarkEnd w:id="73"/>
            <w:bookmarkEnd w:id="74"/>
            <w:bookmarkEnd w:id="75"/>
          </w:p>
          <w:p w14:paraId="5FAB72B1">
            <w:pPr>
              <w:pStyle w:val="20"/>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default" w:ascii="仿宋" w:hAnsi="仿宋" w:eastAsia="仿宋" w:cs="仿宋"/>
                <w:kern w:val="2"/>
                <w:sz w:val="30"/>
                <w:szCs w:val="30"/>
                <w:vertAlign w:val="baseline"/>
                <w:lang w:val="en-US" w:eastAsia="zh-CN" w:bidi="ar-SA"/>
              </w:rPr>
            </w:pPr>
            <w:r>
              <w:rPr>
                <w:rFonts w:hint="eastAsia" w:ascii="Times New Roman Regular" w:hAnsi="Times New Roman Regular" w:cs="Times New Roman Regular"/>
                <w:lang w:val="en-US" w:eastAsia="zh-CN"/>
              </w:rPr>
              <w:t>固定设置在客车上，用以显示客车担当的本运次道路客运的客运类型以及起点地和讫点地等信息的车载电子显示设备。</w:t>
            </w:r>
          </w:p>
        </w:tc>
        <w:tc>
          <w:tcPr>
            <w:tcW w:w="4026" w:type="dxa"/>
          </w:tcPr>
          <w:p w14:paraId="0BB2BCD8">
            <w:pPr>
              <w:keepNext w:val="0"/>
              <w:keepLines w:val="0"/>
              <w:pageBreakBefore w:val="0"/>
              <w:kinsoku/>
              <w:wordWrap/>
              <w:overflowPunct/>
              <w:topLinePunct w:val="0"/>
              <w:bidi w:val="0"/>
              <w:adjustRightInd/>
              <w:snapToGrid/>
              <w:spacing w:line="240" w:lineRule="auto"/>
              <w:ind w:firstLine="420" w:firstLineChars="200"/>
              <w:textAlignment w:val="auto"/>
              <w:rPr>
                <w:rFonts w:hint="default" w:ascii="仿宋" w:hAnsi="仿宋" w:eastAsia="仿宋" w:cs="仿宋"/>
                <w:kern w:val="2"/>
                <w:sz w:val="30"/>
                <w:szCs w:val="30"/>
                <w:vertAlign w:val="baseline"/>
                <w:lang w:val="en-US" w:eastAsia="zh-CN" w:bidi="ar-SA"/>
              </w:rPr>
            </w:pPr>
            <w:r>
              <w:rPr>
                <w:rFonts w:hint="eastAsia" w:ascii="Times New Roman Regular" w:hAnsi="Times New Roman Regular" w:eastAsia="宋体" w:cs="Times New Roman Regular"/>
                <w:kern w:val="0"/>
                <w:sz w:val="21"/>
                <w:szCs w:val="21"/>
                <w:lang w:val="en-US" w:eastAsia="zh-CN" w:bidi="ar-SA"/>
              </w:rPr>
              <w:t>本条</w:t>
            </w:r>
            <w:r>
              <w:rPr>
                <w:rFonts w:hint="eastAsia" w:ascii="Times New Roman Regular" w:hAnsi="Times New Roman Regular" w:cs="Times New Roman Regular"/>
                <w:sz w:val="21"/>
                <w:szCs w:val="21"/>
                <w:lang w:val="en-US" w:eastAsia="zh-CN"/>
              </w:rPr>
              <w:t>术语及</w:t>
            </w:r>
            <w:r>
              <w:rPr>
                <w:rFonts w:hint="eastAsia" w:ascii="Times New Roman Regular" w:hAnsi="Times New Roman Regular" w:eastAsia="宋体" w:cs="Times New Roman Regular"/>
                <w:kern w:val="0"/>
                <w:sz w:val="21"/>
                <w:szCs w:val="21"/>
                <w:lang w:val="en-US" w:eastAsia="zh-CN" w:bidi="ar-SA"/>
              </w:rPr>
              <w:t>定义主要参考</w:t>
            </w:r>
            <w:r>
              <w:rPr>
                <w:rFonts w:hint="default" w:ascii="Times New Roman Regular" w:hAnsi="Times New Roman Regular" w:eastAsia="宋体" w:cs="Times New Roman Regular"/>
                <w:kern w:val="0"/>
                <w:sz w:val="21"/>
                <w:szCs w:val="21"/>
                <w:lang w:val="en-US" w:eastAsia="zh-CN" w:bidi="ar-SA"/>
              </w:rPr>
              <w:t>《道路旅客运输及客运站管理规定》</w:t>
            </w:r>
            <w:r>
              <w:rPr>
                <w:rFonts w:hint="eastAsia" w:ascii="Times New Roman Regular" w:hAnsi="Times New Roman Regular" w:eastAsia="宋体" w:cs="Times New Roman Regular"/>
                <w:kern w:val="0"/>
                <w:sz w:val="21"/>
                <w:szCs w:val="21"/>
                <w:lang w:val="en-US" w:eastAsia="zh-CN" w:bidi="ar-SA"/>
              </w:rPr>
              <w:t>第五十四条“客运车辆</w:t>
            </w:r>
            <w:r>
              <w:rPr>
                <w:rFonts w:hint="eastAsia" w:ascii="Times New Roman Regular" w:hAnsi="Times New Roman Regular" w:cs="Times New Roman Regular"/>
                <w:lang w:val="en-US" w:eastAsia="zh-CN"/>
              </w:rPr>
              <w:t>应当</w:t>
            </w:r>
            <w:r>
              <w:rPr>
                <w:rFonts w:hint="eastAsia" w:ascii="Times New Roman Regular" w:hAnsi="Times New Roman Regular" w:eastAsia="宋体" w:cs="Times New Roman Regular"/>
                <w:kern w:val="0"/>
                <w:sz w:val="21"/>
                <w:szCs w:val="21"/>
                <w:lang w:val="en-US" w:eastAsia="zh-CN" w:bidi="ar-SA"/>
              </w:rPr>
              <w:t>.....，在规定位置放置客运标志牌。”以及附件7规定的标志牌内容撰写。</w:t>
            </w:r>
          </w:p>
        </w:tc>
      </w:tr>
      <w:tr w14:paraId="73E2B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42F6521F">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3.5</w:t>
            </w:r>
          </w:p>
        </w:tc>
        <w:tc>
          <w:tcPr>
            <w:tcW w:w="3766" w:type="dxa"/>
          </w:tcPr>
          <w:p w14:paraId="6419E679">
            <w:pPr>
              <w:pStyle w:val="22"/>
              <w:keepNext w:val="0"/>
              <w:keepLines w:val="0"/>
              <w:pageBreakBefore w:val="0"/>
              <w:widowControl/>
              <w:numPr>
                <w:ilvl w:val="2"/>
                <w:numId w:val="0"/>
              </w:numPr>
              <w:pBdr>
                <w:top w:val="none" w:color="auto" w:sz="0" w:space="0"/>
                <w:left w:val="none" w:color="auto" w:sz="0" w:space="0"/>
                <w:right w:val="none" w:color="auto" w:sz="0" w:space="0"/>
              </w:pBdr>
              <w:shd w:val="clear" w:fill="FFFFFF"/>
              <w:kinsoku/>
              <w:wordWrap/>
              <w:overflowPunct/>
              <w:topLinePunct w:val="0"/>
              <w:autoSpaceDE w:val="0"/>
              <w:autoSpaceDN w:val="0"/>
              <w:bidi w:val="0"/>
              <w:adjustRightInd/>
              <w:snapToGrid/>
              <w:spacing w:before="0" w:beforeLines="0" w:beforeAutospacing="0" w:after="0" w:afterLines="0" w:afterAutospacing="0" w:line="240" w:lineRule="auto"/>
              <w:ind w:left="0" w:leftChars="0" w:firstLineChars="0"/>
              <w:textAlignment w:val="auto"/>
              <w:rPr>
                <w:rFonts w:hint="eastAsia" w:hAnsi="黑体" w:cs="黑体"/>
                <w:i w:val="0"/>
                <w:iCs w:val="0"/>
                <w:caps w:val="0"/>
                <w:spacing w:val="0"/>
                <w:sz w:val="21"/>
                <w:szCs w:val="20"/>
                <w:shd w:val="clear"/>
                <w:lang w:val="en-US" w:eastAsia="zh-CN" w:bidi="ar-SA"/>
              </w:rPr>
            </w:pPr>
            <w:bookmarkStart w:id="76" w:name="_Toc13137"/>
            <w:bookmarkStart w:id="77" w:name="_Toc31489"/>
            <w:bookmarkStart w:id="78" w:name="_Toc18246"/>
            <w:bookmarkStart w:id="79" w:name="_Toc13593"/>
            <w:bookmarkStart w:id="80" w:name="_Toc211"/>
            <w:r>
              <w:rPr>
                <w:rFonts w:hint="eastAsia" w:hAnsi="黑体" w:cs="黑体"/>
                <w:i w:val="0"/>
                <w:iCs w:val="0"/>
                <w:caps w:val="0"/>
                <w:spacing w:val="0"/>
                <w:sz w:val="21"/>
                <w:szCs w:val="20"/>
                <w:shd w:val="clear"/>
                <w:lang w:val="en-US" w:eastAsia="zh-CN" w:bidi="ar-SA"/>
              </w:rPr>
              <w:t>3.5</w:t>
            </w:r>
          </w:p>
          <w:p w14:paraId="7DD22CE1">
            <w:pPr>
              <w:pStyle w:val="22"/>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line="240" w:lineRule="auto"/>
              <w:ind w:leftChars="0" w:firstLine="42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电子标志牌管理系统</w:t>
            </w:r>
            <w:r>
              <w:rPr>
                <w:rFonts w:hint="eastAsia" w:hAnsi="黑体" w:cs="黑体"/>
                <w:lang w:val="en-US" w:eastAsia="zh-CN"/>
              </w:rPr>
              <w:t xml:space="preserve">  </w:t>
            </w:r>
            <w:r>
              <w:rPr>
                <w:rFonts w:hint="eastAsia" w:ascii="黑体" w:hAnsi="黑体" w:eastAsia="黑体" w:cs="黑体"/>
                <w:lang w:val="en-US" w:eastAsia="zh-CN"/>
              </w:rPr>
              <w:t>electronic sign plate management system</w:t>
            </w:r>
            <w:bookmarkEnd w:id="76"/>
            <w:bookmarkEnd w:id="77"/>
            <w:bookmarkEnd w:id="78"/>
            <w:bookmarkEnd w:id="79"/>
            <w:bookmarkEnd w:id="80"/>
          </w:p>
          <w:p w14:paraId="1F9E8D36">
            <w:pPr>
              <w:pStyle w:val="20"/>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default" w:ascii="仿宋" w:hAnsi="仿宋" w:eastAsia="仿宋" w:cs="仿宋"/>
                <w:kern w:val="2"/>
                <w:sz w:val="30"/>
                <w:szCs w:val="30"/>
                <w:vertAlign w:val="baseline"/>
                <w:lang w:val="en-US" w:eastAsia="zh-CN" w:bidi="ar-SA"/>
              </w:rPr>
            </w:pPr>
            <w:r>
              <w:rPr>
                <w:rFonts w:hint="eastAsia" w:ascii="Times New Roman Regular" w:hAnsi="Times New Roman Regular" w:cs="Times New Roman Regular"/>
                <w:lang w:val="en-US" w:eastAsia="zh-CN"/>
              </w:rPr>
              <w:t>用以在线管理电子标志牌申领、发放、使用以及查询的计算机信息系统。</w:t>
            </w:r>
          </w:p>
        </w:tc>
        <w:tc>
          <w:tcPr>
            <w:tcW w:w="4026" w:type="dxa"/>
          </w:tcPr>
          <w:p w14:paraId="72AC31E4">
            <w:pPr>
              <w:pStyle w:val="20"/>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default" w:ascii="仿宋" w:hAnsi="仿宋" w:eastAsia="仿宋" w:cs="仿宋"/>
                <w:kern w:val="2"/>
                <w:sz w:val="30"/>
                <w:szCs w:val="30"/>
                <w:vertAlign w:val="baseline"/>
                <w:lang w:val="en-US" w:eastAsia="zh-CN" w:bidi="ar-SA"/>
              </w:rPr>
            </w:pPr>
            <w:r>
              <w:rPr>
                <w:rFonts w:hint="eastAsia" w:ascii="Times New Roman Regular" w:hAnsi="Times New Roman Regular" w:eastAsia="宋体" w:cs="Times New Roman Regular"/>
                <w:kern w:val="0"/>
                <w:sz w:val="21"/>
                <w:szCs w:val="21"/>
                <w:lang w:val="en-US" w:eastAsia="zh-CN" w:bidi="ar-SA"/>
              </w:rPr>
              <w:t>本条</w:t>
            </w:r>
            <w:r>
              <w:rPr>
                <w:rFonts w:hint="eastAsia" w:ascii="Times New Roman Regular" w:hAnsi="Times New Roman Regular" w:cs="Times New Roman Regular"/>
                <w:sz w:val="21"/>
                <w:szCs w:val="21"/>
                <w:lang w:val="en-US" w:eastAsia="zh-CN"/>
              </w:rPr>
              <w:t>术语及</w:t>
            </w:r>
            <w:r>
              <w:rPr>
                <w:rFonts w:hint="eastAsia" w:ascii="Times New Roman Regular" w:hAnsi="Times New Roman Regular" w:eastAsia="宋体" w:cs="Times New Roman Regular"/>
                <w:kern w:val="0"/>
                <w:sz w:val="21"/>
                <w:szCs w:val="21"/>
                <w:lang w:val="en-US" w:eastAsia="zh-CN" w:bidi="ar-SA"/>
              </w:rPr>
              <w:t>定义属于本文件创新</w:t>
            </w:r>
            <w:r>
              <w:rPr>
                <w:rFonts w:hint="eastAsia" w:ascii="Times New Roman Regular" w:hAnsi="Times New Roman Regular" w:cs="Times New Roman Regular"/>
                <w:kern w:val="0"/>
                <w:sz w:val="21"/>
                <w:szCs w:val="21"/>
                <w:lang w:val="en-US" w:eastAsia="zh-CN" w:bidi="ar-SA"/>
              </w:rPr>
              <w:t>起草，</w:t>
            </w:r>
            <w:r>
              <w:rPr>
                <w:rFonts w:hint="eastAsia" w:ascii="Times New Roman Regular" w:hAnsi="Times New Roman Regular" w:eastAsia="宋体" w:cs="Times New Roman Regular"/>
                <w:kern w:val="0"/>
                <w:sz w:val="21"/>
                <w:szCs w:val="21"/>
                <w:lang w:val="en-US" w:eastAsia="zh-CN" w:bidi="ar-SA"/>
              </w:rPr>
              <w:t>主要从电子标志牌管理系统的功能角度进行</w:t>
            </w:r>
            <w:r>
              <w:rPr>
                <w:rFonts w:hint="eastAsia" w:ascii="Times New Roman Regular" w:hAnsi="Times New Roman Regular" w:cs="Times New Roman Regular"/>
                <w:kern w:val="0"/>
                <w:sz w:val="21"/>
                <w:szCs w:val="21"/>
                <w:lang w:val="en-US" w:eastAsia="zh-CN" w:bidi="ar-SA"/>
              </w:rPr>
              <w:t>了定义</w:t>
            </w:r>
            <w:r>
              <w:rPr>
                <w:rFonts w:hint="eastAsia" w:ascii="Times New Roman Regular" w:hAnsi="Times New Roman Regular" w:eastAsia="宋体" w:cs="Times New Roman Regular"/>
                <w:kern w:val="0"/>
                <w:sz w:val="21"/>
                <w:szCs w:val="21"/>
                <w:lang w:val="en-US" w:eastAsia="zh-CN" w:bidi="ar-SA"/>
              </w:rPr>
              <w:t>描述</w:t>
            </w:r>
            <w:r>
              <w:rPr>
                <w:rFonts w:hint="eastAsia" w:ascii="Times New Roman Regular" w:hAnsi="Times New Roman Regular" w:cs="Times New Roman Regular"/>
                <w:kern w:val="0"/>
                <w:sz w:val="21"/>
                <w:szCs w:val="21"/>
                <w:lang w:val="en-US" w:eastAsia="zh-CN" w:bidi="ar-SA"/>
              </w:rPr>
              <w:t>。</w:t>
            </w:r>
          </w:p>
        </w:tc>
      </w:tr>
      <w:tr w14:paraId="500C6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000EC863">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4</w:t>
            </w:r>
          </w:p>
        </w:tc>
        <w:tc>
          <w:tcPr>
            <w:tcW w:w="3766" w:type="dxa"/>
          </w:tcPr>
          <w:p w14:paraId="64CE0544">
            <w:pPr>
              <w:pStyle w:val="22"/>
              <w:keepNext w:val="0"/>
              <w:keepLines w:val="0"/>
              <w:pageBreakBefore w:val="0"/>
              <w:widowControl/>
              <w:numPr>
                <w:ilvl w:val="2"/>
                <w:numId w:val="0"/>
              </w:numPr>
              <w:kinsoku/>
              <w:wordWrap/>
              <w:overflowPunct/>
              <w:topLinePunct w:val="0"/>
              <w:bidi w:val="0"/>
              <w:adjustRightInd/>
              <w:snapToGrid/>
              <w:spacing w:before="0" w:beforeLines="0" w:after="0" w:afterLines="0" w:line="240" w:lineRule="auto"/>
              <w:ind w:leftChars="0"/>
              <w:textAlignment w:val="auto"/>
              <w:rPr>
                <w:rFonts w:hint="eastAsia" w:ascii="Times New Roman Regular" w:hAnsi="Times New Roman Regular" w:cs="Times New Roman Regular"/>
                <w:lang w:val="en-US" w:eastAsia="zh-CN"/>
              </w:rPr>
            </w:pPr>
            <w:bookmarkStart w:id="81" w:name="_Toc4734"/>
            <w:bookmarkStart w:id="82" w:name="_Toc4270"/>
            <w:bookmarkStart w:id="83" w:name="_Toc11317"/>
            <w:bookmarkStart w:id="84" w:name="_Toc31748"/>
            <w:r>
              <w:rPr>
                <w:rFonts w:hint="eastAsia" w:ascii="Times New Roman Regular" w:hAnsi="Times New Roman Regular" w:cs="Times New Roman Regular"/>
                <w:lang w:val="en-US" w:eastAsia="zh-CN"/>
              </w:rPr>
              <w:t>4 缩略语</w:t>
            </w:r>
            <w:bookmarkEnd w:id="81"/>
            <w:bookmarkEnd w:id="82"/>
            <w:bookmarkEnd w:id="83"/>
            <w:bookmarkEnd w:id="84"/>
          </w:p>
          <w:p w14:paraId="57454C25">
            <w:pPr>
              <w:pStyle w:val="20"/>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eastAsia" w:ascii="Times New Roman Regular" w:hAnsi="Times New Roman Regular" w:cs="Times New Roman Regular"/>
                <w:lang w:val="en-US" w:eastAsia="zh-CN"/>
              </w:rPr>
            </w:pPr>
            <w:r>
              <w:rPr>
                <w:rFonts w:hint="eastAsia" w:ascii="Times New Roman Regular" w:hAnsi="Times New Roman Regular" w:cs="Times New Roman Regular"/>
                <w:lang w:val="en-US" w:eastAsia="zh-CN"/>
              </w:rPr>
              <w:t>下列缩略语适用于本文件。</w:t>
            </w:r>
          </w:p>
          <w:p w14:paraId="17B8D4CE">
            <w:pPr>
              <w:pStyle w:val="20"/>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default" w:ascii="仿宋" w:hAnsi="仿宋" w:eastAsia="仿宋" w:cs="仿宋"/>
                <w:kern w:val="2"/>
                <w:sz w:val="30"/>
                <w:szCs w:val="30"/>
                <w:vertAlign w:val="baseline"/>
                <w:lang w:val="en-US" w:eastAsia="zh-CN" w:bidi="ar-SA"/>
              </w:rPr>
            </w:pPr>
            <w:bookmarkStart w:id="85" w:name="_Toc3878"/>
            <w:bookmarkStart w:id="86" w:name="_Toc29105"/>
            <w:bookmarkStart w:id="87" w:name="_Toc4560"/>
            <w:r>
              <w:rPr>
                <w:rFonts w:hint="eastAsia" w:ascii="Times New Roman Regular" w:hAnsi="Times New Roman Regular" w:cs="Times New Roman Regular"/>
                <w:lang w:val="en-US" w:eastAsia="zh-CN"/>
              </w:rPr>
              <w:t>IMEI：国际移动设备标志（International Mobile Equipment Identity）</w:t>
            </w:r>
            <w:bookmarkEnd w:id="85"/>
            <w:bookmarkEnd w:id="86"/>
            <w:bookmarkEnd w:id="87"/>
          </w:p>
        </w:tc>
        <w:tc>
          <w:tcPr>
            <w:tcW w:w="4026" w:type="dxa"/>
          </w:tcPr>
          <w:p w14:paraId="38CBDCA9">
            <w:pPr>
              <w:pStyle w:val="20"/>
              <w:keepNext w:val="0"/>
              <w:keepLines w:val="0"/>
              <w:pageBreakBefore w:val="0"/>
              <w:widowControl w:val="0"/>
              <w:kinsoku/>
              <w:wordWrap/>
              <w:overflowPunct/>
              <w:topLinePunct w:val="0"/>
              <w:autoSpaceDE w:val="0"/>
              <w:autoSpaceDN w:val="0"/>
              <w:bidi w:val="0"/>
              <w:adjustRightInd/>
              <w:snapToGrid/>
              <w:spacing w:line="400" w:lineRule="atLeast"/>
              <w:textAlignment w:val="auto"/>
              <w:rPr>
                <w:rFonts w:hint="default" w:ascii="Times New Roman Regular" w:hAnsi="Times New Roman Regular" w:cs="Times New Roman Regular"/>
                <w:sz w:val="24"/>
                <w:szCs w:val="24"/>
                <w:lang w:val="en-US" w:eastAsia="zh-CN"/>
              </w:rPr>
            </w:pPr>
            <w:r>
              <w:rPr>
                <w:rFonts w:hint="eastAsia" w:ascii="Times New Roman Regular" w:hAnsi="Times New Roman Regular" w:eastAsia="宋体" w:cs="Times New Roman Regular"/>
                <w:kern w:val="0"/>
                <w:sz w:val="21"/>
                <w:szCs w:val="21"/>
                <w:lang w:val="en-US" w:eastAsia="zh-CN" w:bidi="ar-SA"/>
              </w:rPr>
              <w:t>为便于理解《规范》内容而给出IMEI缩略语的含义。</w:t>
            </w:r>
          </w:p>
        </w:tc>
      </w:tr>
      <w:tr w14:paraId="67D3F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2FE0AD78">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5.1</w:t>
            </w:r>
          </w:p>
        </w:tc>
        <w:tc>
          <w:tcPr>
            <w:tcW w:w="3766" w:type="dxa"/>
          </w:tcPr>
          <w:p w14:paraId="06A869D6">
            <w:pPr>
              <w:pStyle w:val="22"/>
              <w:keepNext w:val="0"/>
              <w:keepLines w:val="0"/>
              <w:pageBreakBefore w:val="0"/>
              <w:widowControl/>
              <w:numPr>
                <w:ilvl w:val="2"/>
                <w:numId w:val="0"/>
              </w:numPr>
              <w:kinsoku/>
              <w:wordWrap/>
              <w:overflowPunct/>
              <w:topLinePunct w:val="0"/>
              <w:bidi w:val="0"/>
              <w:adjustRightInd/>
              <w:snapToGrid/>
              <w:spacing w:before="0" w:beforeLines="0" w:after="0" w:afterLines="0" w:line="240" w:lineRule="auto"/>
              <w:ind w:leftChars="0"/>
              <w:textAlignment w:val="auto"/>
              <w:rPr>
                <w:rFonts w:hint="default" w:ascii="Times New Roman Regular" w:hAnsi="Times New Roman Regular" w:cs="Times New Roman Regular"/>
                <w:lang w:val="en-US" w:eastAsia="zh-CN"/>
              </w:rPr>
            </w:pPr>
            <w:bookmarkStart w:id="88" w:name="_Toc14271"/>
            <w:bookmarkStart w:id="89" w:name="_Toc32191"/>
            <w:bookmarkStart w:id="90" w:name="_Toc19534"/>
            <w:r>
              <w:rPr>
                <w:rFonts w:hint="eastAsia" w:ascii="Times New Roman Regular" w:hAnsi="Times New Roman Regular" w:cs="Times New Roman Regular"/>
                <w:lang w:val="en-US" w:eastAsia="zh-CN"/>
              </w:rPr>
              <w:t>5 总则</w:t>
            </w:r>
            <w:bookmarkEnd w:id="88"/>
            <w:bookmarkEnd w:id="89"/>
            <w:bookmarkEnd w:id="90"/>
          </w:p>
          <w:p w14:paraId="26945510">
            <w:pPr>
              <w:pStyle w:val="20"/>
              <w:keepNext w:val="0"/>
              <w:keepLines w:val="0"/>
              <w:pageBreakBefore w:val="0"/>
              <w:widowControl/>
              <w:kinsoku/>
              <w:wordWrap/>
              <w:overflowPunct/>
              <w:topLinePunct w:val="0"/>
              <w:autoSpaceDE w:val="0"/>
              <w:autoSpaceDN w:val="0"/>
              <w:bidi w:val="0"/>
              <w:adjustRightInd/>
              <w:snapToGrid/>
              <w:spacing w:line="240" w:lineRule="auto"/>
              <w:ind w:left="0" w:leftChars="0" w:firstLine="0" w:firstLineChars="0"/>
              <w:textAlignment w:val="auto"/>
              <w:rPr>
                <w:rFonts w:hint="eastAsia" w:ascii="Times New Roman Regular" w:hAnsi="Times New Roman Regular" w:cs="Times New Roman Regular"/>
                <w:lang w:val="en-US" w:eastAsia="zh-CN"/>
              </w:rPr>
            </w:pPr>
            <w:bookmarkStart w:id="91" w:name="_Toc20824"/>
            <w:bookmarkStart w:id="92" w:name="_Toc1931"/>
            <w:bookmarkStart w:id="93" w:name="_Toc5095"/>
            <w:bookmarkStart w:id="94" w:name="_Toc30185"/>
            <w:bookmarkStart w:id="95" w:name="_Toc5236"/>
            <w:bookmarkStart w:id="96" w:name="_Toc20429"/>
            <w:bookmarkStart w:id="97" w:name="_Toc25182"/>
            <w:bookmarkStart w:id="98" w:name="_Toc15704"/>
            <w:r>
              <w:rPr>
                <w:rFonts w:hint="eastAsia" w:ascii="Times New Roman Regular" w:hAnsi="Times New Roman Regular" w:cs="Times New Roman Regular"/>
                <w:lang w:val="en-US" w:eastAsia="zh-CN"/>
              </w:rPr>
              <w:t>5.1 从事道路客运服务的客车，宜使用电子标志牌。</w:t>
            </w:r>
            <w:bookmarkEnd w:id="91"/>
            <w:bookmarkEnd w:id="92"/>
            <w:bookmarkEnd w:id="93"/>
            <w:bookmarkEnd w:id="94"/>
            <w:bookmarkEnd w:id="95"/>
            <w:bookmarkEnd w:id="96"/>
            <w:bookmarkEnd w:id="97"/>
            <w:bookmarkEnd w:id="98"/>
          </w:p>
        </w:tc>
        <w:tc>
          <w:tcPr>
            <w:tcW w:w="4026" w:type="dxa"/>
          </w:tcPr>
          <w:p w14:paraId="626A8ABC">
            <w:pPr>
              <w:pStyle w:val="20"/>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default" w:ascii="Times New Roman Regular" w:hAnsi="Times New Roman Regular" w:eastAsia="宋体" w:cs="Times New Roman Regular"/>
                <w:kern w:val="0"/>
                <w:sz w:val="21"/>
                <w:szCs w:val="21"/>
                <w:lang w:val="en-US" w:eastAsia="zh-CN" w:bidi="ar-SA"/>
              </w:rPr>
            </w:pPr>
            <w:r>
              <w:rPr>
                <w:rFonts w:hint="eastAsia" w:ascii="Times New Roman Regular" w:hAnsi="Times New Roman Regular" w:cs="Times New Roman Regular"/>
                <w:lang w:val="en-US" w:eastAsia="zh-CN"/>
              </w:rPr>
              <w:t>鉴于本文件属于推荐性地方标准，本条参考</w:t>
            </w:r>
            <w:r>
              <w:rPr>
                <w:rFonts w:hint="default" w:ascii="Times New Roman Regular" w:hAnsi="Times New Roman Regular" w:cs="Times New Roman Regular"/>
                <w:lang w:val="en-US" w:eastAsia="zh-CN"/>
              </w:rPr>
              <w:t>《道路旅客运输及客运站管理规定》</w:t>
            </w:r>
            <w:r>
              <w:rPr>
                <w:rFonts w:hint="eastAsia" w:ascii="Times New Roman Regular" w:hAnsi="Times New Roman Regular" w:cs="Times New Roman Regular"/>
                <w:lang w:val="en-US" w:eastAsia="zh-CN"/>
              </w:rPr>
              <w:t>第五十四条“客运车辆应当.....，在规定位置放置客运标志牌。”规定客车“宜”使用电子标志牌。</w:t>
            </w:r>
          </w:p>
        </w:tc>
      </w:tr>
      <w:tr w14:paraId="666E9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1D4FE244">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5.2</w:t>
            </w:r>
          </w:p>
        </w:tc>
        <w:tc>
          <w:tcPr>
            <w:tcW w:w="3766" w:type="dxa"/>
          </w:tcPr>
          <w:p w14:paraId="1B881438">
            <w:pPr>
              <w:pStyle w:val="20"/>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Times New Roman Regular" w:hAnsi="Times New Roman Regular" w:cs="Times New Roman Regular"/>
                <w:lang w:val="en-US" w:eastAsia="zh-CN"/>
              </w:rPr>
            </w:pPr>
            <w:bookmarkStart w:id="99" w:name="_Toc7613"/>
            <w:bookmarkStart w:id="100" w:name="_Toc27340"/>
            <w:r>
              <w:rPr>
                <w:rFonts w:hint="eastAsia" w:ascii="Times New Roman Regular" w:hAnsi="Times New Roman Regular" w:cs="Times New Roman Regular"/>
                <w:lang w:val="en-US" w:eastAsia="zh-CN"/>
              </w:rPr>
              <w:t>5.2 电子标志牌应固定装设于客车的仪表台右侧并靠近前风窗位置，显示屏正面朝向车辆前方。</w:t>
            </w:r>
            <w:bookmarkEnd w:id="99"/>
            <w:bookmarkEnd w:id="100"/>
          </w:p>
          <w:p w14:paraId="19275EA1">
            <w:pPr>
              <w:pStyle w:val="20"/>
              <w:keepNext w:val="0"/>
              <w:keepLines w:val="0"/>
              <w:pageBreakBefore w:val="0"/>
              <w:widowControl w:val="0"/>
              <w:kinsoku/>
              <w:wordWrap/>
              <w:overflowPunct/>
              <w:topLinePunct w:val="0"/>
              <w:autoSpaceDE w:val="0"/>
              <w:autoSpaceDN w:val="0"/>
              <w:bidi w:val="0"/>
              <w:adjustRightInd/>
              <w:snapToGrid/>
              <w:spacing w:line="240" w:lineRule="auto"/>
              <w:ind w:left="0" w:leftChars="0" w:firstLine="360" w:firstLineChars="200"/>
              <w:textAlignment w:val="auto"/>
              <w:rPr>
                <w:rFonts w:hint="eastAsia" w:ascii="Times New Roman Regular" w:hAnsi="Times New Roman Regular" w:cs="Times New Roman Regular"/>
                <w:lang w:val="en-US" w:eastAsia="zh-CN"/>
              </w:rPr>
            </w:pPr>
            <w:bookmarkStart w:id="101" w:name="_Toc30335"/>
            <w:bookmarkStart w:id="102" w:name="_Toc17677"/>
            <w:r>
              <w:rPr>
                <w:rFonts w:hint="eastAsia" w:ascii="Times New Roman Regular" w:hAnsi="Times New Roman Regular" w:cs="Times New Roman Regular"/>
                <w:sz w:val="18"/>
                <w:szCs w:val="18"/>
                <w:lang w:val="en-US" w:eastAsia="zh-CN"/>
              </w:rPr>
              <w:t>注：</w:t>
            </w:r>
            <w:bookmarkStart w:id="103" w:name="_Toc20008"/>
            <w:bookmarkStart w:id="104" w:name="_Toc20310"/>
            <w:bookmarkStart w:id="105" w:name="_Toc5596"/>
            <w:bookmarkStart w:id="106" w:name="_Toc14747"/>
            <w:r>
              <w:rPr>
                <w:rFonts w:hint="eastAsia" w:ascii="Times New Roman Regular" w:hAnsi="Times New Roman Regular" w:cs="Times New Roman Regular"/>
                <w:sz w:val="18"/>
                <w:szCs w:val="18"/>
                <w:lang w:val="en-US" w:eastAsia="zh-CN"/>
              </w:rPr>
              <w:t>仪表台是指位于汽车内部正前方，用于操作控制车辆、显示车辆状态信息和配置其它安全、娱乐、空气调节等功能的综合性部件。</w:t>
            </w:r>
            <w:bookmarkEnd w:id="101"/>
            <w:bookmarkEnd w:id="102"/>
            <w:bookmarkEnd w:id="103"/>
            <w:bookmarkEnd w:id="104"/>
            <w:bookmarkEnd w:id="105"/>
            <w:bookmarkEnd w:id="106"/>
          </w:p>
        </w:tc>
        <w:tc>
          <w:tcPr>
            <w:tcW w:w="4026" w:type="dxa"/>
          </w:tcPr>
          <w:p w14:paraId="2B2458F6">
            <w:pPr>
              <w:pStyle w:val="20"/>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default" w:ascii="Times New Roman Regular" w:hAnsi="Times New Roman Regular" w:eastAsia="宋体" w:cs="Times New Roman Regular"/>
                <w:kern w:val="0"/>
                <w:sz w:val="21"/>
                <w:szCs w:val="21"/>
                <w:lang w:val="en-US" w:eastAsia="zh-CN" w:bidi="ar-SA"/>
              </w:rPr>
            </w:pPr>
            <w:r>
              <w:rPr>
                <w:rFonts w:hint="eastAsia" w:ascii="Times New Roman Regular" w:hAnsi="Times New Roman Regular" w:cs="Times New Roman Regular"/>
                <w:lang w:val="en-US" w:eastAsia="zh-CN"/>
              </w:rPr>
              <w:t>本条</w:t>
            </w:r>
            <w:r>
              <w:rPr>
                <w:rFonts w:hint="eastAsia" w:ascii="Times New Roman Regular" w:hAnsi="Times New Roman Regular" w:eastAsia="宋体" w:cs="Times New Roman Regular"/>
                <w:kern w:val="0"/>
                <w:sz w:val="21"/>
                <w:szCs w:val="21"/>
                <w:lang w:val="en-US" w:eastAsia="zh-CN" w:bidi="ar-SA"/>
              </w:rPr>
              <w:t>属于本文件创新</w:t>
            </w:r>
            <w:r>
              <w:rPr>
                <w:rFonts w:hint="eastAsia" w:ascii="Times New Roman Regular" w:hAnsi="Times New Roman Regular" w:cs="Times New Roman Regular"/>
                <w:kern w:val="0"/>
                <w:sz w:val="21"/>
                <w:szCs w:val="21"/>
                <w:lang w:val="en-US" w:eastAsia="zh-CN" w:bidi="ar-SA"/>
              </w:rPr>
              <w:t>起草</w:t>
            </w:r>
            <w:r>
              <w:rPr>
                <w:rFonts w:hint="eastAsia" w:ascii="Times New Roman Regular" w:hAnsi="Times New Roman Regular" w:eastAsia="宋体" w:cs="Times New Roman Regular"/>
                <w:kern w:val="0"/>
                <w:sz w:val="21"/>
                <w:szCs w:val="21"/>
                <w:lang w:val="en-US" w:eastAsia="zh-CN" w:bidi="ar-SA"/>
              </w:rPr>
              <w:t>。</w:t>
            </w:r>
            <w:r>
              <w:rPr>
                <w:rFonts w:hint="eastAsia" w:ascii="Times New Roman Regular" w:hAnsi="Times New Roman Regular" w:cs="Times New Roman Regular"/>
                <w:lang w:val="en-US" w:eastAsia="zh-CN"/>
              </w:rPr>
              <w:t>为规范对电子标志牌的固装并方便从车外观察，根据实践中一般将铝质和纸质标志牌放置在仪表台右侧贴近前风窗玻璃位置的习惯做法，对电子标志牌的安装位置及朝向作了具体规定。</w:t>
            </w:r>
          </w:p>
        </w:tc>
      </w:tr>
      <w:tr w14:paraId="03710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099147BB">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5.3</w:t>
            </w:r>
          </w:p>
        </w:tc>
        <w:tc>
          <w:tcPr>
            <w:tcW w:w="3766" w:type="dxa"/>
          </w:tcPr>
          <w:p w14:paraId="4020AB46">
            <w:pPr>
              <w:pStyle w:val="20"/>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Times New Roman Regular" w:hAnsi="Times New Roman Regular" w:cs="Times New Roman Regular"/>
                <w:lang w:val="en-US" w:eastAsia="zh-CN"/>
              </w:rPr>
            </w:pPr>
            <w:bookmarkStart w:id="107" w:name="_Toc6537"/>
            <w:bookmarkStart w:id="108" w:name="_Toc30577"/>
            <w:bookmarkStart w:id="109" w:name="_Toc16301"/>
            <w:bookmarkStart w:id="110" w:name="_Toc23178"/>
            <w:bookmarkStart w:id="111" w:name="_Toc12452"/>
            <w:bookmarkStart w:id="112" w:name="_Toc1464"/>
            <w:bookmarkStart w:id="113" w:name="_Toc9909"/>
            <w:r>
              <w:rPr>
                <w:rFonts w:hint="eastAsia" w:ascii="Times New Roman Regular" w:hAnsi="Times New Roman Regular" w:cs="Times New Roman Regular"/>
                <w:lang w:val="en-US" w:eastAsia="zh-CN"/>
              </w:rPr>
              <w:t>5.3 电子标志牌不得遮挡客车驾驶人在行车过程中的安全驾驶视野。</w:t>
            </w:r>
            <w:bookmarkEnd w:id="107"/>
            <w:bookmarkEnd w:id="108"/>
            <w:bookmarkEnd w:id="109"/>
            <w:bookmarkEnd w:id="110"/>
            <w:bookmarkEnd w:id="111"/>
            <w:bookmarkEnd w:id="112"/>
            <w:bookmarkEnd w:id="113"/>
          </w:p>
        </w:tc>
        <w:tc>
          <w:tcPr>
            <w:tcW w:w="4026" w:type="dxa"/>
          </w:tcPr>
          <w:p w14:paraId="360762FF">
            <w:pPr>
              <w:pStyle w:val="20"/>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eastAsia" w:ascii="Times New Roman Regular" w:hAnsi="Times New Roman Regular" w:eastAsia="宋体" w:cs="Times New Roman Regular"/>
                <w:kern w:val="0"/>
                <w:sz w:val="21"/>
                <w:szCs w:val="21"/>
                <w:lang w:val="en-US" w:eastAsia="zh-CN" w:bidi="ar-SA"/>
              </w:rPr>
            </w:pPr>
            <w:r>
              <w:rPr>
                <w:rFonts w:hint="eastAsia" w:ascii="Times New Roman Regular" w:hAnsi="Times New Roman Regular" w:cs="Times New Roman Regular"/>
                <w:lang w:val="en-US" w:eastAsia="zh-CN"/>
              </w:rPr>
              <w:t>本条属于本文件创新</w:t>
            </w:r>
            <w:r>
              <w:rPr>
                <w:rFonts w:hint="eastAsia" w:ascii="Times New Roman Regular" w:hAnsi="Times New Roman Regular" w:cs="Times New Roman Regular"/>
                <w:kern w:val="0"/>
                <w:sz w:val="21"/>
                <w:szCs w:val="21"/>
                <w:lang w:val="en-US" w:eastAsia="zh-CN" w:bidi="ar-SA"/>
              </w:rPr>
              <w:t>起草</w:t>
            </w:r>
            <w:r>
              <w:rPr>
                <w:rFonts w:hint="eastAsia" w:ascii="Times New Roman Regular" w:hAnsi="Times New Roman Regular" w:cs="Times New Roman Regular"/>
                <w:lang w:val="en-US" w:eastAsia="zh-CN"/>
              </w:rPr>
              <w:t>，是为了避免电子标志牌因为固装位置不当，而遮挡客车驾驶人的安全驾驶视野，影响行车安全。</w:t>
            </w:r>
          </w:p>
        </w:tc>
      </w:tr>
      <w:tr w14:paraId="7E669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54E02BFE">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5.4</w:t>
            </w:r>
          </w:p>
        </w:tc>
        <w:tc>
          <w:tcPr>
            <w:tcW w:w="3766" w:type="dxa"/>
          </w:tcPr>
          <w:p w14:paraId="309B9E8B">
            <w:pPr>
              <w:pStyle w:val="20"/>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Times New Roman Regular" w:hAnsi="Times New Roman Regular" w:cs="Times New Roman Regular"/>
                <w:lang w:val="en-US" w:eastAsia="zh-CN"/>
              </w:rPr>
            </w:pPr>
            <w:r>
              <w:rPr>
                <w:rFonts w:hint="eastAsia" w:ascii="Times New Roman Regular" w:hAnsi="Times New Roman Regular" w:cs="Times New Roman Regular"/>
                <w:lang w:val="en-US" w:eastAsia="zh-CN"/>
              </w:rPr>
              <w:t>5.4 电子标志牌应保持功能完好、牌面清洁。</w:t>
            </w:r>
          </w:p>
        </w:tc>
        <w:tc>
          <w:tcPr>
            <w:tcW w:w="4026" w:type="dxa"/>
          </w:tcPr>
          <w:p w14:paraId="5785CF34">
            <w:pPr>
              <w:pStyle w:val="20"/>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eastAsia" w:ascii="Times New Roman Regular" w:hAnsi="Times New Roman Regular" w:eastAsia="宋体" w:cs="Times New Roman Regular"/>
                <w:kern w:val="0"/>
                <w:sz w:val="21"/>
                <w:szCs w:val="21"/>
                <w:lang w:val="en-US" w:eastAsia="zh-CN" w:bidi="ar-SA"/>
              </w:rPr>
            </w:pPr>
            <w:r>
              <w:rPr>
                <w:rFonts w:hint="eastAsia" w:ascii="Times New Roman Regular" w:hAnsi="Times New Roman Regular" w:cs="Times New Roman Regular"/>
                <w:lang w:val="en-US" w:eastAsia="zh-CN"/>
              </w:rPr>
              <w:t>本条属于本文件创新</w:t>
            </w:r>
            <w:r>
              <w:rPr>
                <w:rFonts w:hint="eastAsia" w:ascii="Times New Roman Regular" w:hAnsi="Times New Roman Regular" w:cs="Times New Roman Regular"/>
                <w:kern w:val="0"/>
                <w:sz w:val="21"/>
                <w:szCs w:val="21"/>
                <w:lang w:val="en-US" w:eastAsia="zh-CN" w:bidi="ar-SA"/>
              </w:rPr>
              <w:t>起草</w:t>
            </w:r>
            <w:r>
              <w:rPr>
                <w:rFonts w:hint="eastAsia" w:ascii="Times New Roman Regular" w:hAnsi="Times New Roman Regular" w:cs="Times New Roman Regular"/>
                <w:lang w:val="en-US" w:eastAsia="zh-CN"/>
              </w:rPr>
              <w:t>，是为了确保电子标志牌正常发挥使用功能，达到使用效果，而对日常维护作的要求。</w:t>
            </w:r>
          </w:p>
        </w:tc>
      </w:tr>
      <w:tr w14:paraId="71AE9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47B00F67">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5.5</w:t>
            </w:r>
          </w:p>
        </w:tc>
        <w:tc>
          <w:tcPr>
            <w:tcW w:w="3766" w:type="dxa"/>
          </w:tcPr>
          <w:p w14:paraId="0E27E0D9">
            <w:pPr>
              <w:pStyle w:val="20"/>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Times New Roman Regular" w:hAnsi="Times New Roman Regular" w:cs="Times New Roman Regular"/>
                <w:lang w:val="en-US" w:eastAsia="zh-CN"/>
              </w:rPr>
            </w:pPr>
            <w:r>
              <w:rPr>
                <w:rFonts w:hint="eastAsia" w:ascii="Times New Roman Regular" w:hAnsi="Times New Roman Regular" w:cs="Times New Roman Regular"/>
                <w:lang w:val="en-US" w:eastAsia="zh-CN"/>
              </w:rPr>
              <w:t>5.5 电子标志牌应显示客车担当的本运次道路客运的起点地、讫点地、客运类型简称和相关信息追溯二维码，显示字符编码应符合</w:t>
            </w:r>
            <w:r>
              <w:rPr>
                <w:rFonts w:hint="default" w:ascii="Times New Roman Regular" w:hAnsi="Times New Roman Regular" w:cs="Times New Roman Regular"/>
                <w:lang w:val="en-US" w:eastAsia="zh-CN"/>
              </w:rPr>
              <w:t>GB</w:t>
            </w:r>
            <w:r>
              <w:rPr>
                <w:rFonts w:hint="eastAsia" w:ascii="Times New Roman Regular" w:hAnsi="Times New Roman Regular" w:cs="Times New Roman Regular"/>
                <w:lang w:val="en-US" w:eastAsia="zh-CN"/>
              </w:rPr>
              <w:t xml:space="preserve"> </w:t>
            </w:r>
            <w:r>
              <w:rPr>
                <w:rFonts w:hint="default" w:ascii="Times New Roman Regular" w:hAnsi="Times New Roman Regular" w:cs="Times New Roman Regular"/>
                <w:lang w:val="en-US" w:eastAsia="zh-CN"/>
              </w:rPr>
              <w:t>18030</w:t>
            </w:r>
            <w:r>
              <w:rPr>
                <w:rFonts w:hint="eastAsia" w:ascii="Times New Roman Regular" w:hAnsi="Times New Roman Regular" w:cs="Times New Roman Regular"/>
                <w:lang w:val="en-US" w:eastAsia="zh-CN"/>
              </w:rPr>
              <w:t>和</w:t>
            </w:r>
            <w:r>
              <w:rPr>
                <w:rFonts w:hint="default" w:ascii="Times New Roman Regular" w:hAnsi="Times New Roman Regular" w:cs="Times New Roman Regular"/>
                <w:lang w:val="en-US" w:eastAsia="zh-CN"/>
              </w:rPr>
              <w:t>GB/T 1988</w:t>
            </w:r>
            <w:r>
              <w:rPr>
                <w:rFonts w:hint="eastAsia" w:ascii="Times New Roman Regular" w:hAnsi="Times New Roman Regular" w:cs="Times New Roman Regular"/>
                <w:lang w:val="en-US" w:eastAsia="zh-CN"/>
              </w:rPr>
              <w:t>的规定。</w:t>
            </w:r>
          </w:p>
        </w:tc>
        <w:tc>
          <w:tcPr>
            <w:tcW w:w="4026" w:type="dxa"/>
          </w:tcPr>
          <w:p w14:paraId="00DF41E4">
            <w:pPr>
              <w:pStyle w:val="20"/>
              <w:keepNext w:val="0"/>
              <w:keepLines w:val="0"/>
              <w:pageBreakBefore w:val="0"/>
              <w:widowControl/>
              <w:kinsoku/>
              <w:wordWrap/>
              <w:overflowPunct/>
              <w:topLinePunct w:val="0"/>
              <w:autoSpaceDE w:val="0"/>
              <w:autoSpaceDN w:val="0"/>
              <w:bidi w:val="0"/>
              <w:adjustRightInd/>
              <w:snapToGrid/>
              <w:spacing w:line="240" w:lineRule="auto"/>
              <w:ind w:firstLine="420"/>
              <w:textAlignment w:val="auto"/>
              <w:rPr>
                <w:rFonts w:hint="default" w:ascii="Times New Roman Regular" w:hAnsi="Times New Roman Regular" w:eastAsia="宋体" w:cs="Times New Roman Regular"/>
                <w:kern w:val="0"/>
                <w:sz w:val="21"/>
                <w:szCs w:val="21"/>
                <w:lang w:val="en-US" w:eastAsia="zh-CN" w:bidi="ar-SA"/>
              </w:rPr>
            </w:pPr>
            <w:r>
              <w:rPr>
                <w:rFonts w:hint="eastAsia" w:ascii="Times New Roman Regular" w:hAnsi="Times New Roman Regular" w:cs="Times New Roman Regular"/>
                <w:lang w:val="en-US" w:eastAsia="zh-CN"/>
              </w:rPr>
              <w:t>本条根据</w:t>
            </w:r>
            <w:r>
              <w:rPr>
                <w:rFonts w:hint="default" w:ascii="Times New Roman Regular" w:hAnsi="Times New Roman Regular" w:cs="Times New Roman Regular"/>
                <w:lang w:val="en-US" w:eastAsia="zh-CN"/>
              </w:rPr>
              <w:t>《道路旅客运输及客运站管理规定》</w:t>
            </w:r>
            <w:r>
              <w:rPr>
                <w:rFonts w:hint="eastAsia" w:ascii="Times New Roman Regular" w:hAnsi="Times New Roman Regular" w:cs="Times New Roman Regular"/>
                <w:lang w:val="en-US" w:eastAsia="zh-CN"/>
              </w:rPr>
              <w:t>的附件7、附件10、附件11，以及电子标志牌的LED屏显示特性起草。其中，对显示字符编码引用国家标准</w:t>
            </w:r>
            <w:r>
              <w:rPr>
                <w:rFonts w:hint="default" w:ascii="Times New Roman Regular" w:hAnsi="Times New Roman Regular" w:cs="Times New Roman Regular"/>
                <w:lang w:val="en-US" w:eastAsia="zh-CN"/>
              </w:rPr>
              <w:t>GB</w:t>
            </w:r>
            <w:r>
              <w:rPr>
                <w:rFonts w:hint="eastAsia" w:ascii="Times New Roman Regular" w:hAnsi="Times New Roman Regular" w:cs="Times New Roman Regular"/>
                <w:lang w:val="en-US" w:eastAsia="zh-CN"/>
              </w:rPr>
              <w:t xml:space="preserve"> </w:t>
            </w:r>
            <w:r>
              <w:rPr>
                <w:rFonts w:hint="default" w:ascii="Times New Roman Regular" w:hAnsi="Times New Roman Regular" w:cs="Times New Roman Regular"/>
                <w:lang w:val="en-US" w:eastAsia="zh-CN"/>
              </w:rPr>
              <w:t>18030</w:t>
            </w:r>
            <w:r>
              <w:rPr>
                <w:rFonts w:hint="eastAsia" w:ascii="Times New Roman Regular" w:hAnsi="Times New Roman Regular" w:cs="Times New Roman Regular"/>
                <w:lang w:val="en-US" w:eastAsia="zh-CN"/>
              </w:rPr>
              <w:t xml:space="preserve">    《</w:t>
            </w:r>
            <w:r>
              <w:rPr>
                <w:rFonts w:hint="default" w:ascii="Times New Roman Regular" w:hAnsi="Times New Roman Regular" w:cs="Times New Roman Regular"/>
                <w:lang w:val="en-US" w:eastAsia="zh-CN"/>
              </w:rPr>
              <w:t>信息技术</w:t>
            </w:r>
            <w:r>
              <w:rPr>
                <w:rFonts w:hint="eastAsia" w:ascii="Times New Roman Regular" w:hAnsi="Times New Roman Regular" w:cs="Times New Roman Regular"/>
                <w:lang w:val="en-US" w:eastAsia="zh-CN"/>
              </w:rPr>
              <w:t xml:space="preserve"> </w:t>
            </w:r>
            <w:r>
              <w:rPr>
                <w:rFonts w:hint="default" w:ascii="Times New Roman Regular" w:hAnsi="Times New Roman Regular" w:cs="Times New Roman Regular"/>
                <w:lang w:val="en-US" w:eastAsia="zh-CN"/>
              </w:rPr>
              <w:t>中文编码字符集</w:t>
            </w:r>
            <w:r>
              <w:rPr>
                <w:rFonts w:hint="eastAsia" w:ascii="Times New Roman Regular" w:hAnsi="Times New Roman Regular" w:cs="Times New Roman Regular"/>
                <w:lang w:val="en-US" w:eastAsia="zh-CN"/>
              </w:rPr>
              <w:t>》和</w:t>
            </w:r>
            <w:r>
              <w:rPr>
                <w:rFonts w:hint="default" w:ascii="Times New Roman Regular" w:hAnsi="Times New Roman Regular" w:cs="Times New Roman Regular"/>
                <w:lang w:val="en-US" w:eastAsia="zh-CN"/>
              </w:rPr>
              <w:t>GB/T 1988</w:t>
            </w:r>
            <w:r>
              <w:rPr>
                <w:rFonts w:hint="eastAsia" w:ascii="Times New Roman Regular" w:hAnsi="Times New Roman Regular" w:cs="Times New Roman Regular"/>
                <w:lang w:val="en-US" w:eastAsia="zh-CN"/>
              </w:rPr>
              <w:t>《</w:t>
            </w:r>
            <w:r>
              <w:rPr>
                <w:rFonts w:hint="default" w:ascii="Times New Roman Regular" w:hAnsi="Times New Roman Regular" w:cs="Times New Roman Regular"/>
                <w:lang w:val="en-US" w:eastAsia="zh-CN"/>
              </w:rPr>
              <w:t>信息技术</w:t>
            </w:r>
            <w:r>
              <w:rPr>
                <w:rFonts w:hint="eastAsia" w:ascii="Times New Roman Regular" w:hAnsi="Times New Roman Regular" w:cs="Times New Roman Regular"/>
                <w:lang w:val="en-US" w:eastAsia="zh-CN"/>
              </w:rPr>
              <w:t xml:space="preserve"> </w:t>
            </w:r>
            <w:r>
              <w:rPr>
                <w:rFonts w:hint="default" w:ascii="Times New Roman Regular" w:hAnsi="Times New Roman Regular" w:cs="Times New Roman Regular"/>
                <w:lang w:val="en-US" w:eastAsia="zh-CN"/>
              </w:rPr>
              <w:t>信息交换用七位编码字符集</w:t>
            </w:r>
            <w:r>
              <w:rPr>
                <w:rFonts w:hint="eastAsia" w:ascii="Times New Roman Regular" w:hAnsi="Times New Roman Regular" w:cs="Times New Roman Regular"/>
                <w:lang w:val="en-US" w:eastAsia="zh-CN"/>
              </w:rPr>
              <w:t>》。</w:t>
            </w:r>
          </w:p>
        </w:tc>
      </w:tr>
      <w:tr w14:paraId="22675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65343697">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5.6</w:t>
            </w:r>
          </w:p>
        </w:tc>
        <w:tc>
          <w:tcPr>
            <w:tcW w:w="3766" w:type="dxa"/>
          </w:tcPr>
          <w:p w14:paraId="211FB061">
            <w:pPr>
              <w:pStyle w:val="20"/>
              <w:keepNext w:val="0"/>
              <w:keepLines w:val="0"/>
              <w:pageBreakBefore w:val="0"/>
              <w:widowControl/>
              <w:kinsoku/>
              <w:wordWrap/>
              <w:overflowPunct/>
              <w:topLinePunct w:val="0"/>
              <w:autoSpaceDE w:val="0"/>
              <w:autoSpaceDN w:val="0"/>
              <w:bidi w:val="0"/>
              <w:adjustRightInd/>
              <w:snapToGrid/>
              <w:spacing w:line="240" w:lineRule="auto"/>
              <w:ind w:left="0" w:leftChars="0" w:firstLine="0" w:firstLineChars="0"/>
              <w:textAlignment w:val="auto"/>
              <w:rPr>
                <w:rFonts w:hint="eastAsia" w:ascii="Times New Roman Regular" w:hAnsi="Times New Roman Regular" w:cs="Times New Roman Regular"/>
                <w:lang w:val="en-US" w:eastAsia="zh-CN"/>
              </w:rPr>
            </w:pPr>
            <w:bookmarkStart w:id="114" w:name="_Toc3983"/>
            <w:bookmarkStart w:id="115" w:name="_Toc10196"/>
            <w:bookmarkStart w:id="116" w:name="_Toc5658"/>
            <w:bookmarkStart w:id="117" w:name="_Toc2228"/>
            <w:r>
              <w:rPr>
                <w:rFonts w:hint="eastAsia" w:ascii="Times New Roman Regular" w:hAnsi="Times New Roman Regular" w:cs="Times New Roman Regular"/>
                <w:lang w:val="en-US" w:eastAsia="zh-CN"/>
              </w:rPr>
              <w:t>5.6 电子标志牌的文字、线条和追溯二维码应显示清晰、完整，无笔画缺失和坏点</w:t>
            </w:r>
            <w:bookmarkEnd w:id="114"/>
            <w:bookmarkEnd w:id="115"/>
            <w:r>
              <w:rPr>
                <w:rFonts w:hint="eastAsia" w:ascii="Times New Roman Regular" w:hAnsi="Times New Roman Regular" w:cs="Times New Roman Regular"/>
                <w:lang w:val="en-US" w:eastAsia="zh-CN"/>
              </w:rPr>
              <w:t>；追溯二维码的符号质量应符合GB/T 40204的要求。</w:t>
            </w:r>
            <w:bookmarkEnd w:id="116"/>
            <w:bookmarkEnd w:id="117"/>
          </w:p>
        </w:tc>
        <w:tc>
          <w:tcPr>
            <w:tcW w:w="4026" w:type="dxa"/>
          </w:tcPr>
          <w:p w14:paraId="58AA63BB">
            <w:pPr>
              <w:pStyle w:val="20"/>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eastAsia" w:ascii="Times New Roman Regular" w:hAnsi="Times New Roman Regular" w:eastAsia="宋体" w:cs="Times New Roman Regular"/>
                <w:kern w:val="0"/>
                <w:sz w:val="21"/>
                <w:szCs w:val="21"/>
                <w:lang w:val="en-US" w:eastAsia="zh-CN" w:bidi="ar-SA"/>
              </w:rPr>
            </w:pPr>
            <w:r>
              <w:rPr>
                <w:rFonts w:hint="eastAsia" w:ascii="Times New Roman Regular" w:hAnsi="Times New Roman Regular" w:cs="Times New Roman Regular"/>
                <w:lang w:val="en-US" w:eastAsia="zh-CN"/>
              </w:rPr>
              <w:t>本条规定了电子标志牌对文字、线条和追溯二维码的显示质量要求。其中，对追溯二维码的符号质量要求引用国家标准GB/T 40204《追溯二维码技术通则》。</w:t>
            </w:r>
          </w:p>
        </w:tc>
      </w:tr>
      <w:tr w14:paraId="03CD2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2B6083FF">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6.1</w:t>
            </w:r>
          </w:p>
        </w:tc>
        <w:tc>
          <w:tcPr>
            <w:tcW w:w="3766" w:type="dxa"/>
          </w:tcPr>
          <w:p w14:paraId="690B97B4">
            <w:pPr>
              <w:pStyle w:val="22"/>
              <w:keepNext w:val="0"/>
              <w:keepLines w:val="0"/>
              <w:pageBreakBefore w:val="0"/>
              <w:widowControl/>
              <w:numPr>
                <w:ilvl w:val="2"/>
                <w:numId w:val="0"/>
              </w:numPr>
              <w:kinsoku/>
              <w:wordWrap/>
              <w:overflowPunct/>
              <w:topLinePunct w:val="0"/>
              <w:bidi w:val="0"/>
              <w:adjustRightInd/>
              <w:snapToGrid/>
              <w:spacing w:before="0" w:beforeLines="0" w:after="0" w:afterLines="0" w:line="240" w:lineRule="auto"/>
              <w:ind w:leftChars="0"/>
              <w:textAlignment w:val="auto"/>
              <w:rPr>
                <w:rFonts w:hint="default" w:ascii="Times New Roman Regular" w:hAnsi="Times New Roman Regular" w:cs="Times New Roman Regular"/>
                <w:lang w:val="en-US" w:eastAsia="zh-CN"/>
              </w:rPr>
            </w:pPr>
            <w:bookmarkStart w:id="118" w:name="_Toc16826"/>
            <w:r>
              <w:rPr>
                <w:rFonts w:hint="eastAsia" w:ascii="Times New Roman Regular" w:hAnsi="Times New Roman Regular" w:cs="Times New Roman Regular"/>
                <w:lang w:val="en-US" w:eastAsia="zh-CN"/>
              </w:rPr>
              <w:t>6 显示信息</w:t>
            </w:r>
          </w:p>
          <w:p w14:paraId="381B91E4">
            <w:pPr>
              <w:pStyle w:val="20"/>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Times New Roman Regular" w:hAnsi="Times New Roman Regular" w:cs="Times New Roman Regular"/>
                <w:lang w:val="en-US" w:eastAsia="zh-CN"/>
              </w:rPr>
            </w:pPr>
            <w:bookmarkStart w:id="119" w:name="_Toc1195"/>
            <w:bookmarkStart w:id="120" w:name="_Toc7385"/>
            <w:bookmarkStart w:id="121" w:name="_Toc1544"/>
            <w:bookmarkStart w:id="122" w:name="_Toc9086"/>
            <w:r>
              <w:rPr>
                <w:rFonts w:hint="eastAsia" w:ascii="Times New Roman Regular" w:hAnsi="Times New Roman Regular" w:cs="Times New Roman Regular"/>
                <w:lang w:val="en-US" w:eastAsia="zh-CN"/>
              </w:rPr>
              <w:t>6.1 电子标志牌显示的道路客运起点地和讫点地应采用标准地名的专名，其中：</w:t>
            </w:r>
            <w:bookmarkEnd w:id="119"/>
            <w:bookmarkEnd w:id="120"/>
          </w:p>
          <w:p w14:paraId="6305C763">
            <w:pPr>
              <w:pStyle w:val="20"/>
              <w:keepNext w:val="0"/>
              <w:keepLines w:val="0"/>
              <w:pageBreakBefore w:val="0"/>
              <w:widowControl/>
              <w:kinsoku/>
              <w:wordWrap/>
              <w:overflowPunct/>
              <w:topLinePunct w:val="0"/>
              <w:autoSpaceDE w:val="0"/>
              <w:autoSpaceDN w:val="0"/>
              <w:bidi w:val="0"/>
              <w:adjustRightInd/>
              <w:snapToGrid/>
              <w:spacing w:line="240" w:lineRule="auto"/>
              <w:ind w:left="0" w:leftChars="0" w:firstLine="420" w:firstLineChars="200"/>
              <w:textAlignment w:val="auto"/>
              <w:rPr>
                <w:rFonts w:hint="eastAsia" w:ascii="Times New Roman Regular" w:hAnsi="Times New Roman Regular" w:cs="Times New Roman Regular"/>
                <w:lang w:val="en-US" w:eastAsia="zh-CN"/>
              </w:rPr>
            </w:pPr>
            <w:bookmarkStart w:id="123" w:name="_Toc587"/>
            <w:bookmarkStart w:id="124" w:name="_Toc26065"/>
            <w:r>
              <w:rPr>
                <w:rFonts w:hint="eastAsia" w:ascii="Times New Roman Regular" w:hAnsi="Times New Roman Regular" w:cs="Times New Roman Regular"/>
                <w:lang w:val="en-US" w:eastAsia="zh-CN"/>
              </w:rPr>
              <w:t>a）班车客运中的一类客运班线、二类客运班线以及包车客运、旅游客运宜采用县（市、区）级以上地名，必要时可采用地（市）级+县（市、区）级地名，例如：成都邛崃、泸州纳溪；</w:t>
            </w:r>
            <w:bookmarkEnd w:id="123"/>
            <w:bookmarkEnd w:id="124"/>
          </w:p>
          <w:p w14:paraId="67EDDBD5">
            <w:pPr>
              <w:pStyle w:val="20"/>
              <w:keepNext w:val="0"/>
              <w:keepLines w:val="0"/>
              <w:pageBreakBefore w:val="0"/>
              <w:widowControl/>
              <w:kinsoku/>
              <w:wordWrap/>
              <w:overflowPunct/>
              <w:topLinePunct w:val="0"/>
              <w:autoSpaceDE w:val="0"/>
              <w:autoSpaceDN w:val="0"/>
              <w:bidi w:val="0"/>
              <w:adjustRightInd/>
              <w:snapToGrid/>
              <w:spacing w:line="240" w:lineRule="auto"/>
              <w:ind w:left="0" w:leftChars="0" w:firstLine="420" w:firstLineChars="200"/>
              <w:textAlignment w:val="auto"/>
              <w:rPr>
                <w:rFonts w:hint="eastAsia" w:ascii="Times New Roman Regular" w:hAnsi="Times New Roman Regular" w:cs="Times New Roman Regular"/>
                <w:lang w:val="en-US" w:eastAsia="zh-CN"/>
              </w:rPr>
            </w:pPr>
            <w:bookmarkStart w:id="125" w:name="_Toc15236"/>
            <w:bookmarkStart w:id="126" w:name="_Toc18946"/>
            <w:r>
              <w:rPr>
                <w:rFonts w:hint="eastAsia" w:ascii="Times New Roman Regular" w:hAnsi="Times New Roman Regular" w:cs="Times New Roman Regular"/>
                <w:lang w:val="en-US" w:eastAsia="zh-CN"/>
              </w:rPr>
              <w:t>b）班车客运中的三类客运班线宜采用县（市、区）级地名，必要时可采用县（市、区）级+乡镇级地名，例如：合江福宝、永川来苏；</w:t>
            </w:r>
            <w:bookmarkEnd w:id="125"/>
            <w:bookmarkEnd w:id="126"/>
          </w:p>
          <w:p w14:paraId="4E3D52FC">
            <w:pPr>
              <w:pStyle w:val="20"/>
              <w:keepNext w:val="0"/>
              <w:keepLines w:val="0"/>
              <w:pageBreakBefore w:val="0"/>
              <w:widowControl/>
              <w:kinsoku/>
              <w:wordWrap/>
              <w:overflowPunct/>
              <w:topLinePunct w:val="0"/>
              <w:autoSpaceDE w:val="0"/>
              <w:autoSpaceDN w:val="0"/>
              <w:bidi w:val="0"/>
              <w:adjustRightInd/>
              <w:snapToGrid/>
              <w:spacing w:line="240" w:lineRule="auto"/>
              <w:ind w:left="0" w:leftChars="0" w:firstLine="420" w:firstLineChars="200"/>
              <w:textAlignment w:val="auto"/>
              <w:rPr>
                <w:rFonts w:hint="eastAsia" w:ascii="Times New Roman Regular" w:hAnsi="Times New Roman Regular" w:cs="Times New Roman Regular"/>
                <w:lang w:val="en-US" w:eastAsia="zh-CN"/>
              </w:rPr>
            </w:pPr>
            <w:bookmarkStart w:id="127" w:name="_Toc1506"/>
            <w:bookmarkStart w:id="128" w:name="_Toc4405"/>
            <w:r>
              <w:rPr>
                <w:rFonts w:hint="eastAsia" w:ascii="Times New Roman Regular" w:hAnsi="Times New Roman Regular" w:cs="Times New Roman Regular"/>
                <w:lang w:val="en-US" w:eastAsia="zh-CN"/>
              </w:rPr>
              <w:t>c）班车客运中的四类客运班线宜采用乡镇级地名，必要时可采用乡镇级+村组地名；</w:t>
            </w:r>
            <w:bookmarkEnd w:id="127"/>
            <w:bookmarkEnd w:id="128"/>
          </w:p>
          <w:p w14:paraId="4B6EF149">
            <w:pPr>
              <w:pStyle w:val="20"/>
              <w:keepNext w:val="0"/>
              <w:keepLines w:val="0"/>
              <w:pageBreakBefore w:val="0"/>
              <w:widowControl/>
              <w:kinsoku/>
              <w:wordWrap/>
              <w:overflowPunct/>
              <w:topLinePunct w:val="0"/>
              <w:autoSpaceDE w:val="0"/>
              <w:autoSpaceDN w:val="0"/>
              <w:bidi w:val="0"/>
              <w:adjustRightInd/>
              <w:snapToGrid/>
              <w:spacing w:line="240" w:lineRule="auto"/>
              <w:ind w:left="0" w:leftChars="0" w:firstLine="420" w:firstLineChars="200"/>
              <w:textAlignment w:val="auto"/>
              <w:rPr>
                <w:rFonts w:hint="eastAsia" w:ascii="Times New Roman Regular" w:hAnsi="Times New Roman Regular" w:cs="Times New Roman Regular"/>
                <w:lang w:val="en-US" w:eastAsia="zh-CN"/>
              </w:rPr>
            </w:pPr>
            <w:bookmarkStart w:id="129" w:name="_Toc55"/>
            <w:bookmarkStart w:id="130" w:name="_Toc27804"/>
            <w:r>
              <w:rPr>
                <w:rFonts w:hint="eastAsia" w:ascii="Times New Roman Regular" w:hAnsi="Times New Roman Regular" w:cs="Times New Roman Regular"/>
                <w:lang w:val="en-US" w:eastAsia="zh-CN"/>
              </w:rPr>
              <w:t>d）包车客运和旅游客运的起点地或讫点地属于名胜景区和知名旅游点的，可以单独采用景区和旅游点名称，例如：海螺沟、四姑娘山。</w:t>
            </w:r>
            <w:bookmarkEnd w:id="118"/>
            <w:bookmarkEnd w:id="121"/>
            <w:bookmarkEnd w:id="122"/>
            <w:bookmarkEnd w:id="129"/>
            <w:bookmarkEnd w:id="130"/>
          </w:p>
        </w:tc>
        <w:tc>
          <w:tcPr>
            <w:tcW w:w="4026" w:type="dxa"/>
          </w:tcPr>
          <w:p w14:paraId="616D67B4">
            <w:pPr>
              <w:pStyle w:val="20"/>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eastAsia" w:ascii="Times New Roman Regular" w:hAnsi="Times New Roman Regular" w:cs="Times New Roman Regular"/>
                <w:lang w:val="en-US" w:eastAsia="zh-CN"/>
              </w:rPr>
            </w:pPr>
            <w:r>
              <w:rPr>
                <w:rFonts w:hint="eastAsia" w:ascii="Times New Roman Regular" w:hAnsi="Times New Roman Regular" w:cs="Times New Roman Regular"/>
                <w:lang w:val="en-US" w:eastAsia="zh-CN"/>
              </w:rPr>
              <w:t>本条主要参照GB/T 38210-2019《地名 术语》和传统标志牌的习惯做法起草。</w:t>
            </w:r>
          </w:p>
          <w:p w14:paraId="6C8977E2">
            <w:pPr>
              <w:pStyle w:val="20"/>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eastAsia" w:ascii="Times New Roman Regular" w:hAnsi="Times New Roman Regular" w:cs="Times New Roman Regular"/>
                <w:lang w:val="en-US" w:eastAsia="zh-CN"/>
              </w:rPr>
            </w:pPr>
            <w:r>
              <w:rPr>
                <w:rFonts w:hint="eastAsia" w:ascii="Times New Roman Regular" w:hAnsi="Times New Roman Regular" w:cs="Times New Roman Regular"/>
                <w:lang w:val="en-US" w:eastAsia="zh-CN"/>
              </w:rPr>
              <w:t>GB/T 38210-2019第2.2条规定：地名专名specific term of geographical names 专名specific term 地名中用来区分各个地理实体的词。</w:t>
            </w:r>
          </w:p>
          <w:p w14:paraId="54C6DC53">
            <w:pPr>
              <w:pStyle w:val="20"/>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default" w:ascii="Times New Roman Regular" w:hAnsi="Times New Roman Regular" w:cs="Times New Roman Regular"/>
                <w:lang w:val="en-US" w:eastAsia="zh-CN"/>
              </w:rPr>
            </w:pPr>
            <w:r>
              <w:rPr>
                <w:rFonts w:hint="eastAsia" w:ascii="Times New Roman Regular" w:hAnsi="Times New Roman Regular" w:cs="Times New Roman Regular"/>
                <w:lang w:val="en-US" w:eastAsia="zh-CN"/>
              </w:rPr>
              <w:t>GB/T 38210-2019第5.4条规定：标准地名standardized geographical names 根据国家有关法规经标准化处理,并按国家规定的审批权限和程序批准、公布和使用的地名。</w:t>
            </w:r>
          </w:p>
          <w:p w14:paraId="1318046E">
            <w:pPr>
              <w:pStyle w:val="20"/>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default" w:ascii="Times New Roman Regular" w:hAnsi="Times New Roman Regular" w:cs="Times New Roman Regular"/>
                <w:lang w:val="en-US" w:eastAsia="zh-CN"/>
              </w:rPr>
            </w:pPr>
          </w:p>
          <w:p w14:paraId="2FE9C9DB">
            <w:pPr>
              <w:pStyle w:val="20"/>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default" w:ascii="Times New Roman Regular" w:hAnsi="Times New Roman Regular" w:cs="Times New Roman Regular"/>
                <w:lang w:val="en-US" w:eastAsia="zh-CN"/>
              </w:rPr>
            </w:pPr>
          </w:p>
        </w:tc>
      </w:tr>
      <w:tr w14:paraId="7B2F5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131BF5C5">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6.2</w:t>
            </w:r>
          </w:p>
        </w:tc>
        <w:tc>
          <w:tcPr>
            <w:tcW w:w="3766" w:type="dxa"/>
          </w:tcPr>
          <w:p w14:paraId="78D6D880">
            <w:pPr>
              <w:pStyle w:val="20"/>
              <w:keepNext w:val="0"/>
              <w:keepLines w:val="0"/>
              <w:pageBreakBefore w:val="0"/>
              <w:widowControl/>
              <w:kinsoku/>
              <w:wordWrap/>
              <w:overflowPunct/>
              <w:topLinePunct w:val="0"/>
              <w:autoSpaceDE w:val="0"/>
              <w:autoSpaceDN w:val="0"/>
              <w:bidi w:val="0"/>
              <w:adjustRightInd/>
              <w:snapToGrid/>
              <w:spacing w:line="240" w:lineRule="auto"/>
              <w:ind w:left="0" w:leftChars="0" w:firstLine="0" w:firstLineChars="0"/>
              <w:textAlignment w:val="auto"/>
              <w:rPr>
                <w:rFonts w:hint="eastAsia" w:ascii="Times New Roman Regular" w:hAnsi="Times New Roman Regular" w:cs="Times New Roman Regular"/>
                <w:lang w:val="en-US" w:eastAsia="zh-CN"/>
              </w:rPr>
            </w:pPr>
            <w:bookmarkStart w:id="131" w:name="_Toc12064"/>
            <w:bookmarkStart w:id="132" w:name="_Toc17811"/>
            <w:r>
              <w:rPr>
                <w:rFonts w:hint="eastAsia" w:ascii="Times New Roman Regular" w:hAnsi="Times New Roman Regular" w:cs="Times New Roman Regular"/>
                <w:lang w:val="en-US" w:eastAsia="zh-CN"/>
              </w:rPr>
              <w:t>6.2 班车客运和定线旅游客运以起点地或讫点地的某一特定客运站为出发站或到达站的，可在起点地、讫点地的地名后增加车站的交通设施名称，例如：成都新南门、重庆菜园坝。</w:t>
            </w:r>
            <w:bookmarkEnd w:id="131"/>
            <w:bookmarkEnd w:id="132"/>
          </w:p>
        </w:tc>
        <w:tc>
          <w:tcPr>
            <w:tcW w:w="4026" w:type="dxa"/>
          </w:tcPr>
          <w:p w14:paraId="461C9D87">
            <w:pPr>
              <w:pStyle w:val="20"/>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eastAsia" w:ascii="Times New Roman Regular" w:hAnsi="Times New Roman Regular" w:cs="Times New Roman Regular"/>
                <w:lang w:val="en-US" w:eastAsia="zh-CN"/>
              </w:rPr>
            </w:pPr>
            <w:r>
              <w:rPr>
                <w:rFonts w:hint="eastAsia" w:ascii="Times New Roman Regular" w:hAnsi="Times New Roman Regular" w:cs="Times New Roman Regular"/>
                <w:lang w:val="en-US" w:eastAsia="zh-CN"/>
              </w:rPr>
              <w:t>本条主要参照GB/T 38210-2019《地名 术语》和传统标志牌的习惯做法起草。</w:t>
            </w:r>
          </w:p>
          <w:p w14:paraId="7BCC9E35">
            <w:pPr>
              <w:pStyle w:val="20"/>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eastAsia" w:ascii="Times New Roman Regular" w:hAnsi="Times New Roman Regular" w:cs="Times New Roman Regular"/>
                <w:lang w:val="en-US" w:eastAsia="zh-CN"/>
              </w:rPr>
            </w:pPr>
            <w:r>
              <w:rPr>
                <w:rFonts w:hint="eastAsia" w:ascii="Times New Roman Regular" w:hAnsi="Times New Roman Regular" w:cs="Times New Roman Regular"/>
                <w:lang w:val="en-US" w:eastAsia="zh-CN"/>
              </w:rPr>
              <w:t>GB/T 38210-2019第4.6条规定：交通设施名称 odonym 交通路线及其附属设施地理实体的名称。</w:t>
            </w:r>
          </w:p>
        </w:tc>
      </w:tr>
      <w:tr w14:paraId="3E3EC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6D4F9207">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6.3</w:t>
            </w:r>
          </w:p>
        </w:tc>
        <w:tc>
          <w:tcPr>
            <w:tcW w:w="3766" w:type="dxa"/>
          </w:tcPr>
          <w:p w14:paraId="0712D940">
            <w:pPr>
              <w:pStyle w:val="20"/>
              <w:keepNext w:val="0"/>
              <w:keepLines w:val="0"/>
              <w:pageBreakBefore w:val="0"/>
              <w:widowControl/>
              <w:kinsoku/>
              <w:wordWrap/>
              <w:overflowPunct/>
              <w:topLinePunct w:val="0"/>
              <w:autoSpaceDE w:val="0"/>
              <w:autoSpaceDN w:val="0"/>
              <w:bidi w:val="0"/>
              <w:adjustRightInd/>
              <w:snapToGrid/>
              <w:spacing w:line="240" w:lineRule="auto"/>
              <w:ind w:left="0" w:leftChars="0" w:firstLine="0" w:firstLineChars="0"/>
              <w:textAlignment w:val="auto"/>
              <w:rPr>
                <w:rFonts w:hint="eastAsia" w:ascii="Times New Roman Regular" w:hAnsi="Times New Roman Regular" w:cs="Times New Roman Regular"/>
                <w:lang w:val="en-US" w:eastAsia="zh-CN"/>
              </w:rPr>
            </w:pPr>
            <w:bookmarkStart w:id="133" w:name="_Toc14133"/>
            <w:bookmarkStart w:id="134" w:name="_Toc15854"/>
            <w:r>
              <w:rPr>
                <w:rFonts w:hint="eastAsia" w:ascii="Times New Roman Regular" w:hAnsi="Times New Roman Regular" w:cs="Times New Roman Regular"/>
                <w:lang w:val="en-US" w:eastAsia="zh-CN"/>
              </w:rPr>
              <w:t>6.3 电子标志牌显示的道路客运类型简称应符合：</w:t>
            </w:r>
            <w:bookmarkEnd w:id="133"/>
            <w:bookmarkEnd w:id="134"/>
          </w:p>
          <w:p w14:paraId="694A42E2">
            <w:pPr>
              <w:pStyle w:val="20"/>
              <w:keepNext w:val="0"/>
              <w:keepLines w:val="0"/>
              <w:pageBreakBefore w:val="0"/>
              <w:widowControl/>
              <w:kinsoku/>
              <w:wordWrap/>
              <w:overflowPunct/>
              <w:topLinePunct w:val="0"/>
              <w:autoSpaceDE w:val="0"/>
              <w:autoSpaceDN w:val="0"/>
              <w:bidi w:val="0"/>
              <w:adjustRightInd/>
              <w:snapToGrid/>
              <w:spacing w:line="240" w:lineRule="auto"/>
              <w:ind w:left="0" w:leftChars="0" w:firstLine="420" w:firstLineChars="200"/>
              <w:textAlignment w:val="auto"/>
              <w:rPr>
                <w:rFonts w:hint="eastAsia" w:ascii="Times New Roman Regular" w:hAnsi="Times New Roman Regular" w:cs="Times New Roman Regular"/>
                <w:lang w:val="en-US" w:eastAsia="zh-CN"/>
              </w:rPr>
            </w:pPr>
            <w:bookmarkStart w:id="135" w:name="_Toc30277"/>
            <w:bookmarkStart w:id="136" w:name="_Toc15892"/>
            <w:r>
              <w:rPr>
                <w:rFonts w:hint="eastAsia" w:ascii="Times New Roman Regular" w:hAnsi="Times New Roman Regular" w:cs="Times New Roman Regular"/>
                <w:lang w:val="en-US" w:eastAsia="zh-CN"/>
              </w:rPr>
              <w:t>a）班车客运中的一类客运班线简称“省际班线”、二类客运班线简称“市际班线”、三类客运班线简称“县际班线”、四类客运班线简称“县内班线”或“毗邻班线”，属于加班车的相应简称为“省际加班”“市际加班”“县际加班”“县内加班”“毗邻加班”，属于定制客运的相应简称为“省际定制”“市际定制”“县际定制”“县内定制”“毗邻定制”；</w:t>
            </w:r>
            <w:bookmarkEnd w:id="135"/>
            <w:bookmarkEnd w:id="136"/>
          </w:p>
          <w:p w14:paraId="1EEECB56">
            <w:pPr>
              <w:pStyle w:val="20"/>
              <w:keepNext w:val="0"/>
              <w:keepLines w:val="0"/>
              <w:pageBreakBefore w:val="0"/>
              <w:widowControl/>
              <w:kinsoku/>
              <w:wordWrap/>
              <w:overflowPunct/>
              <w:topLinePunct w:val="0"/>
              <w:autoSpaceDE w:val="0"/>
              <w:autoSpaceDN w:val="0"/>
              <w:bidi w:val="0"/>
              <w:adjustRightInd/>
              <w:snapToGrid/>
              <w:spacing w:line="240" w:lineRule="auto"/>
              <w:ind w:left="0" w:leftChars="0" w:firstLine="420" w:firstLineChars="200"/>
              <w:textAlignment w:val="auto"/>
              <w:rPr>
                <w:rFonts w:hint="eastAsia" w:ascii="Times New Roman Regular" w:hAnsi="Times New Roman Regular" w:cs="Times New Roman Regular"/>
                <w:lang w:val="en-US" w:eastAsia="zh-CN"/>
              </w:rPr>
            </w:pPr>
            <w:bookmarkStart w:id="137" w:name="_Toc9343"/>
            <w:bookmarkStart w:id="138" w:name="_Toc30488"/>
            <w:bookmarkStart w:id="139" w:name="_Toc19228"/>
            <w:r>
              <w:rPr>
                <w:rFonts w:hint="eastAsia" w:ascii="Times New Roman Regular" w:hAnsi="Times New Roman Regular" w:cs="Times New Roman Regular"/>
                <w:lang w:val="en-US" w:eastAsia="zh-CN"/>
              </w:rPr>
              <w:t>b）包车客运的省际包车客运简称“省际包车”、省内包车客运简称“省内包车”。</w:t>
            </w:r>
            <w:bookmarkEnd w:id="137"/>
            <w:bookmarkEnd w:id="138"/>
            <w:bookmarkEnd w:id="139"/>
          </w:p>
          <w:p w14:paraId="2EF4C820">
            <w:pPr>
              <w:pStyle w:val="20"/>
              <w:keepNext w:val="0"/>
              <w:keepLines w:val="0"/>
              <w:pageBreakBefore w:val="0"/>
              <w:widowControl/>
              <w:kinsoku/>
              <w:wordWrap/>
              <w:overflowPunct/>
              <w:topLinePunct w:val="0"/>
              <w:autoSpaceDE w:val="0"/>
              <w:autoSpaceDN w:val="0"/>
              <w:bidi w:val="0"/>
              <w:adjustRightInd/>
              <w:snapToGrid/>
              <w:spacing w:line="240" w:lineRule="auto"/>
              <w:ind w:left="0" w:leftChars="0" w:firstLine="420" w:firstLineChars="200"/>
              <w:textAlignment w:val="auto"/>
              <w:rPr>
                <w:rFonts w:hint="eastAsia" w:ascii="Times New Roman Regular" w:hAnsi="Times New Roman Regular" w:cs="Times New Roman Regular"/>
                <w:lang w:val="en-US" w:eastAsia="zh-CN"/>
              </w:rPr>
            </w:pPr>
            <w:bookmarkStart w:id="140" w:name="_Toc28167"/>
            <w:bookmarkStart w:id="141" w:name="_Toc4607"/>
            <w:bookmarkStart w:id="142" w:name="_Toc25051"/>
            <w:r>
              <w:rPr>
                <w:rFonts w:hint="eastAsia" w:ascii="Times New Roman Regular" w:hAnsi="Times New Roman Regular" w:cs="Times New Roman Regular"/>
                <w:lang w:val="en-US" w:eastAsia="zh-CN"/>
              </w:rPr>
              <w:t>c）旅游客运的定线旅游客运简称“定线旅游”、非定线旅游客运简称“非定线旅游”。</w:t>
            </w:r>
            <w:bookmarkEnd w:id="140"/>
            <w:bookmarkEnd w:id="141"/>
            <w:bookmarkEnd w:id="142"/>
          </w:p>
        </w:tc>
        <w:tc>
          <w:tcPr>
            <w:tcW w:w="4026" w:type="dxa"/>
          </w:tcPr>
          <w:p w14:paraId="3FF4EF67">
            <w:pPr>
              <w:pStyle w:val="20"/>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default" w:ascii="Times New Roman Regular" w:hAnsi="Times New Roman Regular" w:cs="Times New Roman Regular"/>
                <w:lang w:val="en-US" w:eastAsia="zh-CN"/>
              </w:rPr>
            </w:pPr>
            <w:r>
              <w:rPr>
                <w:rFonts w:hint="eastAsia" w:ascii="Times New Roman Regular" w:hAnsi="Times New Roman Regular" w:cs="Times New Roman Regular"/>
                <w:lang w:val="en-US" w:eastAsia="zh-CN"/>
              </w:rPr>
              <w:t>本条主要参照</w:t>
            </w:r>
            <w:r>
              <w:rPr>
                <w:rFonts w:hint="default" w:ascii="Times New Roman Regular" w:hAnsi="Times New Roman Regular" w:cs="Times New Roman Regular"/>
                <w:lang w:val="en-US" w:eastAsia="zh-CN"/>
              </w:rPr>
              <w:t>《道路旅客运输及客运站管理规定》</w:t>
            </w:r>
            <w:r>
              <w:rPr>
                <w:rFonts w:hint="eastAsia" w:ascii="Times New Roman Regular" w:hAnsi="Times New Roman Regular" w:cs="Times New Roman Regular"/>
                <w:lang w:val="en-US" w:eastAsia="zh-CN"/>
              </w:rPr>
              <w:t>起草，并考虑了LED显示屏对较小尺寸文字的显示能力，将道路客运类型简称统一控制为4</w:t>
            </w:r>
            <w:r>
              <w:rPr>
                <w:rFonts w:hint="default" w:ascii="Times New Roman" w:hAnsi="Times New Roman" w:cs="Times New Roman"/>
                <w:lang w:val="en-US" w:eastAsia="zh-CN"/>
              </w:rPr>
              <w:t>~</w:t>
            </w:r>
            <w:r>
              <w:rPr>
                <w:rFonts w:hint="eastAsia" w:ascii="Times New Roman Regular" w:hAnsi="Times New Roman Regular" w:cs="Times New Roman Regular"/>
                <w:lang w:val="en-US" w:eastAsia="zh-CN"/>
              </w:rPr>
              <w:t>5个汉字。</w:t>
            </w:r>
          </w:p>
        </w:tc>
      </w:tr>
      <w:tr w14:paraId="6C5D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20A9961D">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6.4</w:t>
            </w:r>
          </w:p>
        </w:tc>
        <w:tc>
          <w:tcPr>
            <w:tcW w:w="3766" w:type="dxa"/>
          </w:tcPr>
          <w:p w14:paraId="4666A7DC">
            <w:pPr>
              <w:pStyle w:val="20"/>
              <w:keepNext w:val="0"/>
              <w:keepLines w:val="0"/>
              <w:pageBreakBefore w:val="0"/>
              <w:widowControl/>
              <w:kinsoku/>
              <w:wordWrap/>
              <w:overflowPunct/>
              <w:topLinePunct w:val="0"/>
              <w:autoSpaceDE w:val="0"/>
              <w:autoSpaceDN w:val="0"/>
              <w:bidi w:val="0"/>
              <w:adjustRightInd/>
              <w:snapToGrid/>
              <w:spacing w:line="240" w:lineRule="auto"/>
              <w:ind w:left="0" w:leftChars="0" w:firstLine="0" w:firstLineChars="0"/>
              <w:textAlignment w:val="auto"/>
              <w:rPr>
                <w:rFonts w:hint="default" w:ascii="Times New Roman Regular" w:hAnsi="Times New Roman Regular" w:cs="Times New Roman Regular"/>
                <w:lang w:val="en-US" w:eastAsia="zh-CN"/>
              </w:rPr>
            </w:pPr>
            <w:bookmarkStart w:id="143" w:name="_Toc23207"/>
            <w:bookmarkStart w:id="144" w:name="_Toc1201"/>
            <w:bookmarkStart w:id="145" w:name="_Toc3014"/>
            <w:bookmarkStart w:id="146" w:name="_Toc3986"/>
            <w:r>
              <w:rPr>
                <w:rFonts w:hint="eastAsia" w:ascii="Times New Roman Regular" w:hAnsi="Times New Roman Regular" w:cs="Times New Roman Regular"/>
                <w:lang w:val="en-US" w:eastAsia="zh-CN"/>
              </w:rPr>
              <w:t>6.4 电子标志牌的显示样式见图1。牌面底色采用无发光黑色或白色，客运起点地和讫点地采用红色黑体字，客运类型简称采用绿色或蓝色宋体字，追溯二维码的显示颜色与客运类型简称相同。</w:t>
            </w:r>
            <w:bookmarkEnd w:id="143"/>
            <w:bookmarkEnd w:id="144"/>
            <w:bookmarkEnd w:id="145"/>
            <w:bookmarkEnd w:id="146"/>
          </w:p>
          <w:p w14:paraId="2BA3BF38">
            <w:pPr>
              <w:keepNext w:val="0"/>
              <w:keepLines w:val="0"/>
              <w:pageBreakBefore w:val="0"/>
              <w:widowControl w:val="0"/>
              <w:kinsoku/>
              <w:wordWrap/>
              <w:overflowPunct/>
              <w:topLinePunct w:val="0"/>
              <w:autoSpaceDE/>
              <w:autoSpaceDN/>
              <w:bidi w:val="0"/>
              <w:adjustRightInd/>
              <w:snapToGrid/>
              <w:spacing w:line="240" w:lineRule="auto"/>
              <w:jc w:val="center"/>
              <w:textAlignment w:val="auto"/>
            </w:pPr>
            <w:bookmarkStart w:id="147" w:name="_Toc8904"/>
            <w:bookmarkStart w:id="148" w:name="_Toc21701"/>
            <w:bookmarkStart w:id="149" w:name="_Toc22908"/>
            <w:bookmarkStart w:id="150" w:name="_Toc32464"/>
            <w:r>
              <w:object>
                <v:shape id="_x0000_i1025" o:spt="75" type="#_x0000_t75" style="height:30.25pt;width:165.65pt;" o:ole="t" filled="f" o:preferrelative="t" stroked="f" coordsize="21600,21600">
                  <v:path/>
                  <v:fill on="f" focussize="0,0"/>
                  <v:stroke on="f"/>
                  <v:imagedata r:id="rId6" o:title=""/>
                  <o:lock v:ext="edit" aspectratio="f"/>
                  <w10:wrap type="none"/>
                  <w10:anchorlock/>
                </v:shape>
                <o:OLEObject Type="Embed" ProgID="Visio.Drawing.15" ShapeID="_x0000_i1025" DrawAspect="Content" ObjectID="_1468075725" r:id="rId5">
                  <o:LockedField>false</o:LockedField>
                </o:OLEObject>
              </w:object>
            </w:r>
            <w:bookmarkEnd w:id="147"/>
            <w:bookmarkEnd w:id="148"/>
            <w:bookmarkEnd w:id="149"/>
            <w:bookmarkEnd w:id="150"/>
            <w:bookmarkStart w:id="151" w:name="_Toc23099"/>
            <w:bookmarkStart w:id="152" w:name="_Toc31564"/>
          </w:p>
          <w:p w14:paraId="2431891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Regular" w:hAnsi="Times New Roman Regular" w:cs="Times New Roman Regular"/>
                <w:lang w:val="en-US" w:eastAsia="zh-CN"/>
              </w:rPr>
            </w:pPr>
            <w:r>
              <w:rPr>
                <w:rFonts w:hint="eastAsia"/>
                <w:lang w:val="en-US" w:eastAsia="zh-CN"/>
              </w:rPr>
              <w:t>图1  电子标志牌显示样式</w:t>
            </w:r>
            <w:bookmarkEnd w:id="151"/>
            <w:bookmarkEnd w:id="152"/>
          </w:p>
        </w:tc>
        <w:tc>
          <w:tcPr>
            <w:tcW w:w="4026" w:type="dxa"/>
          </w:tcPr>
          <w:p w14:paraId="56822F4F">
            <w:pPr>
              <w:pStyle w:val="20"/>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default" w:ascii="Times New Roman Regular" w:hAnsi="Times New Roman Regular" w:cs="Times New Roman Regular"/>
                <w:lang w:val="en-US" w:eastAsia="zh-CN"/>
              </w:rPr>
            </w:pPr>
            <w:r>
              <w:rPr>
                <w:rFonts w:hint="eastAsia" w:ascii="Times New Roman Regular" w:hAnsi="Times New Roman Regular" w:cs="Times New Roman Regular"/>
                <w:lang w:val="en-US" w:eastAsia="zh-CN"/>
              </w:rPr>
              <w:t>本条主要根据现有LED显示屏的本底颜色一般为黑色或白色，可显示基本颜色为红、绿、蓝三原色，并参考</w:t>
            </w:r>
            <w:r>
              <w:rPr>
                <w:rFonts w:hint="default" w:ascii="Times New Roman Regular" w:hAnsi="Times New Roman Regular" w:cs="Times New Roman Regular"/>
                <w:lang w:val="en-US" w:eastAsia="zh-CN"/>
              </w:rPr>
              <w:t>《道路旅客运输及客运站管理规定》</w:t>
            </w:r>
            <w:r>
              <w:rPr>
                <w:rFonts w:hint="eastAsia" w:ascii="Times New Roman Regular" w:hAnsi="Times New Roman Regular" w:cs="Times New Roman Regular"/>
                <w:lang w:val="en-US" w:eastAsia="zh-CN"/>
              </w:rPr>
              <w:t>附件13对客运起点地和讫点地采用红色黑体字、其它字符采用黑色宋体字的要求起草。</w:t>
            </w:r>
          </w:p>
        </w:tc>
      </w:tr>
      <w:tr w14:paraId="5EBB6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18D8C08B">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6.5</w:t>
            </w:r>
          </w:p>
        </w:tc>
        <w:tc>
          <w:tcPr>
            <w:tcW w:w="3766" w:type="dxa"/>
          </w:tcPr>
          <w:p w14:paraId="5A88682A">
            <w:pPr>
              <w:pStyle w:val="20"/>
              <w:keepNext w:val="0"/>
              <w:keepLines w:val="0"/>
              <w:pageBreakBefore w:val="0"/>
              <w:widowControl/>
              <w:kinsoku/>
              <w:wordWrap/>
              <w:overflowPunct/>
              <w:topLinePunct w:val="0"/>
              <w:autoSpaceDE w:val="0"/>
              <w:autoSpaceDN w:val="0"/>
              <w:bidi w:val="0"/>
              <w:adjustRightInd/>
              <w:snapToGrid/>
              <w:spacing w:line="240" w:lineRule="auto"/>
              <w:ind w:left="0" w:leftChars="0" w:firstLine="0" w:firstLineChars="0"/>
              <w:textAlignment w:val="auto"/>
              <w:rPr>
                <w:rFonts w:hint="eastAsia" w:ascii="Times New Roman Regular" w:hAnsi="Times New Roman Regular" w:cs="Times New Roman Regular"/>
                <w:lang w:val="en-US" w:eastAsia="zh-CN"/>
              </w:rPr>
            </w:pPr>
            <w:bookmarkStart w:id="153" w:name="_Toc16579"/>
            <w:bookmarkStart w:id="154" w:name="_Toc26266"/>
            <w:bookmarkStart w:id="155" w:name="_Toc29128"/>
            <w:bookmarkStart w:id="156" w:name="_Toc20094"/>
            <w:r>
              <w:rPr>
                <w:rFonts w:hint="eastAsia" w:ascii="Times New Roman Regular" w:hAnsi="Times New Roman Regular" w:cs="Times New Roman Regular"/>
                <w:lang w:val="en-US" w:eastAsia="zh-CN"/>
              </w:rPr>
              <w:t>6.</w:t>
            </w:r>
            <w:bookmarkEnd w:id="153"/>
            <w:bookmarkStart w:id="157" w:name="_Toc29743"/>
            <w:r>
              <w:rPr>
                <w:rFonts w:hint="eastAsia" w:ascii="Times New Roman Regular" w:hAnsi="Times New Roman Regular" w:cs="Times New Roman Regular"/>
                <w:lang w:val="en-US" w:eastAsia="zh-CN"/>
              </w:rPr>
              <w:t>5 文字和追溯二维码的显示尺寸应符合：</w:t>
            </w:r>
            <w:bookmarkEnd w:id="154"/>
            <w:bookmarkEnd w:id="155"/>
            <w:bookmarkEnd w:id="156"/>
            <w:bookmarkEnd w:id="157"/>
          </w:p>
          <w:p w14:paraId="363B1598">
            <w:pPr>
              <w:pStyle w:val="20"/>
              <w:keepNext w:val="0"/>
              <w:keepLines w:val="0"/>
              <w:pageBreakBefore w:val="0"/>
              <w:widowControl/>
              <w:kinsoku/>
              <w:wordWrap/>
              <w:overflowPunct/>
              <w:topLinePunct w:val="0"/>
              <w:autoSpaceDE w:val="0"/>
              <w:autoSpaceDN w:val="0"/>
              <w:bidi w:val="0"/>
              <w:adjustRightInd/>
              <w:snapToGrid/>
              <w:spacing w:line="240" w:lineRule="auto"/>
              <w:ind w:left="0" w:leftChars="0" w:firstLine="420" w:firstLineChars="200"/>
              <w:textAlignment w:val="auto"/>
              <w:rPr>
                <w:rFonts w:hint="eastAsia" w:ascii="Times New Roman Regular" w:hAnsi="Times New Roman Regular" w:cs="Times New Roman Regular"/>
                <w:lang w:val="en-US" w:eastAsia="zh-CN"/>
              </w:rPr>
            </w:pPr>
            <w:bookmarkStart w:id="158" w:name="_Toc3125"/>
            <w:bookmarkStart w:id="159" w:name="_Toc7002"/>
            <w:bookmarkStart w:id="160" w:name="_Toc13821"/>
            <w:r>
              <w:rPr>
                <w:rFonts w:hint="eastAsia" w:ascii="Times New Roman Regular" w:hAnsi="Times New Roman Regular" w:cs="Times New Roman Regular"/>
                <w:lang w:val="en-US" w:eastAsia="zh-CN"/>
              </w:rPr>
              <w:t>a）大型客车使用的电子标志牌，客运起点地和讫点地的显示字高为130</w:t>
            </w:r>
            <m:oMath>
              <m:r>
                <m:rPr>
                  <m:sty m:val="p"/>
                </m:rPr>
                <w:rPr>
                  <w:rFonts w:hint="eastAsia" w:ascii="Cambria Math" w:hAnsi="Cambria Math" w:cs="Times New Roman Regular"/>
                  <w:lang w:val="en-US" w:eastAsia="zh-CN"/>
                </w:rPr>
                <m:t>±</m:t>
              </m:r>
            </m:oMath>
            <w:r>
              <w:rPr>
                <w:rFonts w:hint="eastAsia" w:hAnsi="Cambria Math" w:cs="Times New Roman Regular"/>
                <w:b w:val="0"/>
                <w:i w:val="0"/>
                <w:lang w:val="en-US" w:eastAsia="zh-CN"/>
              </w:rPr>
              <w:t>10</w:t>
            </w:r>
            <w:r>
              <w:rPr>
                <w:rFonts w:hint="eastAsia" w:ascii="Times New Roman Regular" w:hAnsi="Times New Roman Regular" w:cs="Times New Roman Regular"/>
                <w:lang w:val="en-US" w:eastAsia="zh-CN"/>
              </w:rPr>
              <w:t>mm、字宽为105</w:t>
            </w:r>
            <m:oMath>
              <m:r>
                <m:rPr>
                  <m:sty m:val="p"/>
                </m:rPr>
                <w:rPr>
                  <w:rFonts w:hint="eastAsia" w:ascii="Cambria Math" w:hAnsi="Cambria Math" w:cs="Times New Roman Regular"/>
                  <w:lang w:val="en-US" w:eastAsia="zh-CN"/>
                </w:rPr>
                <m:t>±</m:t>
              </m:r>
            </m:oMath>
            <w:r>
              <w:rPr>
                <w:rFonts w:hint="eastAsia" w:hAnsi="Cambria Math" w:cs="Times New Roman Regular"/>
                <w:b w:val="0"/>
                <w:i w:val="0"/>
                <w:lang w:val="en-US" w:eastAsia="zh-CN"/>
              </w:rPr>
              <w:t>10</w:t>
            </w:r>
            <w:r>
              <w:rPr>
                <w:rFonts w:hint="eastAsia" w:ascii="Times New Roman Regular" w:hAnsi="Times New Roman Regular" w:cs="Times New Roman Regular"/>
                <w:lang w:val="en-US" w:eastAsia="zh-CN"/>
              </w:rPr>
              <w:t>mm，客运类型简称的显示字高为35</w:t>
            </w:r>
            <m:oMath>
              <m:r>
                <m:rPr>
                  <m:sty m:val="p"/>
                </m:rPr>
                <w:rPr>
                  <w:rFonts w:hint="eastAsia" w:ascii="Cambria Math" w:hAnsi="Cambria Math" w:cs="Times New Roman Regular"/>
                  <w:lang w:val="en-US" w:eastAsia="zh-CN"/>
                </w:rPr>
                <m:t>±</m:t>
              </m:r>
            </m:oMath>
            <w:r>
              <w:rPr>
                <w:rFonts w:hint="eastAsia" w:hAnsi="Cambria Math" w:cs="Times New Roman Regular"/>
                <w:b w:val="0"/>
                <w:i w:val="0"/>
                <w:lang w:val="en-US" w:eastAsia="zh-CN"/>
              </w:rPr>
              <w:t>5</w:t>
            </w:r>
            <w:r>
              <w:rPr>
                <w:rFonts w:hint="eastAsia" w:ascii="Times New Roman Regular" w:hAnsi="Times New Roman Regular" w:cs="Times New Roman Regular"/>
                <w:lang w:val="en-US" w:eastAsia="zh-CN"/>
              </w:rPr>
              <w:t>mm、字宽为35</w:t>
            </w:r>
            <m:oMath>
              <m:r>
                <m:rPr>
                  <m:sty m:val="p"/>
                </m:rPr>
                <w:rPr>
                  <w:rFonts w:hint="eastAsia" w:ascii="Cambria Math" w:hAnsi="Cambria Math" w:cs="Times New Roman Regular"/>
                  <w:lang w:val="en-US" w:eastAsia="zh-CN"/>
                </w:rPr>
                <m:t>±</m:t>
              </m:r>
            </m:oMath>
            <w:r>
              <w:rPr>
                <w:rFonts w:hint="eastAsia" w:hAnsi="Cambria Math" w:cs="Times New Roman Regular"/>
                <w:b w:val="0"/>
                <w:i w:val="0"/>
                <w:lang w:val="en-US" w:eastAsia="zh-CN"/>
              </w:rPr>
              <w:t>5</w:t>
            </w:r>
            <w:r>
              <w:rPr>
                <w:rFonts w:hint="eastAsia" w:ascii="Times New Roman Regular" w:hAnsi="Times New Roman Regular" w:cs="Times New Roman Regular"/>
                <w:lang w:val="en-US" w:eastAsia="zh-CN"/>
              </w:rPr>
              <w:t>mm，追溯二维码的显示尺寸为高130</w:t>
            </w:r>
            <m:oMath>
              <m:r>
                <m:rPr>
                  <m:sty m:val="p"/>
                </m:rPr>
                <w:rPr>
                  <w:rFonts w:hint="eastAsia" w:ascii="Cambria Math" w:hAnsi="Cambria Math" w:cs="Times New Roman Regular"/>
                  <w:lang w:val="en-US" w:eastAsia="zh-CN"/>
                </w:rPr>
                <m:t>±</m:t>
              </m:r>
            </m:oMath>
            <w:r>
              <w:rPr>
                <w:rFonts w:hint="eastAsia" w:hAnsi="Cambria Math" w:cs="Times New Roman Regular"/>
                <w:b w:val="0"/>
                <w:i w:val="0"/>
                <w:lang w:val="en-US" w:eastAsia="zh-CN"/>
              </w:rPr>
              <w:t>10</w:t>
            </w:r>
            <w:r>
              <w:rPr>
                <w:rFonts w:hint="eastAsia" w:ascii="Times New Roman Regular" w:hAnsi="Times New Roman Regular" w:cs="Times New Roman Regular"/>
                <w:lang w:val="en-US" w:eastAsia="zh-CN"/>
              </w:rPr>
              <w:t>mm、宽130</w:t>
            </w:r>
            <m:oMath>
              <m:r>
                <m:rPr>
                  <m:sty m:val="p"/>
                </m:rPr>
                <w:rPr>
                  <w:rFonts w:hint="eastAsia" w:ascii="Cambria Math" w:hAnsi="Cambria Math" w:cs="Times New Roman Regular"/>
                  <w:lang w:val="en-US" w:eastAsia="zh-CN"/>
                </w:rPr>
                <m:t>±</m:t>
              </m:r>
            </m:oMath>
            <w:r>
              <w:rPr>
                <w:rFonts w:hint="eastAsia" w:hAnsi="Cambria Math" w:cs="Times New Roman Regular"/>
                <w:b w:val="0"/>
                <w:i w:val="0"/>
                <w:lang w:val="en-US" w:eastAsia="zh-CN"/>
              </w:rPr>
              <w:t>10</w:t>
            </w:r>
            <w:r>
              <w:rPr>
                <w:rFonts w:hint="eastAsia" w:ascii="Times New Roman Regular" w:hAnsi="Times New Roman Regular" w:cs="Times New Roman Regular"/>
                <w:lang w:val="en-US" w:eastAsia="zh-CN"/>
              </w:rPr>
              <w:t>mm；</w:t>
            </w:r>
            <w:bookmarkEnd w:id="158"/>
            <w:bookmarkEnd w:id="159"/>
            <w:bookmarkEnd w:id="160"/>
            <w:r>
              <w:rPr>
                <w:rFonts w:hint="eastAsia" w:ascii="Times New Roman Regular" w:hAnsi="Times New Roman Regular" w:cs="Times New Roman Regular"/>
                <w:lang w:val="en-US" w:eastAsia="zh-CN"/>
              </w:rPr>
              <w:t xml:space="preserve"> </w:t>
            </w:r>
          </w:p>
          <w:p w14:paraId="2FEF7AE7">
            <w:pPr>
              <w:pStyle w:val="20"/>
              <w:keepNext w:val="0"/>
              <w:keepLines w:val="0"/>
              <w:pageBreakBefore w:val="0"/>
              <w:widowControl/>
              <w:kinsoku/>
              <w:wordWrap/>
              <w:overflowPunct/>
              <w:topLinePunct w:val="0"/>
              <w:autoSpaceDE w:val="0"/>
              <w:autoSpaceDN w:val="0"/>
              <w:bidi w:val="0"/>
              <w:adjustRightInd/>
              <w:snapToGrid/>
              <w:spacing w:line="240" w:lineRule="auto"/>
              <w:ind w:left="0" w:leftChars="0" w:firstLine="420" w:firstLineChars="200"/>
              <w:textAlignment w:val="auto"/>
              <w:rPr>
                <w:rFonts w:hint="eastAsia" w:ascii="Times New Roman Regular" w:hAnsi="Times New Roman Regular" w:cs="Times New Roman Regular"/>
                <w:lang w:val="en-US" w:eastAsia="zh-CN"/>
              </w:rPr>
            </w:pPr>
            <w:bookmarkStart w:id="161" w:name="_Toc15852"/>
            <w:bookmarkStart w:id="162" w:name="_Toc18717"/>
            <w:bookmarkStart w:id="163" w:name="_Toc21484"/>
            <w:r>
              <w:rPr>
                <w:rFonts w:hint="eastAsia" w:ascii="Times New Roman Regular" w:hAnsi="Times New Roman Regular" w:cs="Times New Roman Regular"/>
                <w:lang w:val="en-US" w:eastAsia="zh-CN"/>
              </w:rPr>
              <w:t>b）中小型客车使用的电子标志牌，客运起点地和讫点地的显示字高为110</w:t>
            </w:r>
            <m:oMath>
              <m:r>
                <m:rPr>
                  <m:sty m:val="p"/>
                </m:rPr>
                <w:rPr>
                  <w:rFonts w:hint="eastAsia" w:ascii="Cambria Math" w:hAnsi="Cambria Math" w:cs="Times New Roman Regular"/>
                  <w:lang w:val="en-US" w:eastAsia="zh-CN"/>
                </w:rPr>
                <m:t>±</m:t>
              </m:r>
            </m:oMath>
            <w:r>
              <w:rPr>
                <w:rFonts w:hint="eastAsia" w:hAnsi="Cambria Math" w:cs="Times New Roman Regular"/>
                <w:b w:val="0"/>
                <w:i w:val="0"/>
                <w:lang w:val="en-US" w:eastAsia="zh-CN"/>
              </w:rPr>
              <w:t>10</w:t>
            </w:r>
            <w:r>
              <w:rPr>
                <w:rFonts w:hint="eastAsia" w:ascii="Times New Roman Regular" w:hAnsi="Times New Roman Regular" w:cs="Times New Roman Regular"/>
                <w:lang w:val="en-US" w:eastAsia="zh-CN"/>
              </w:rPr>
              <w:t>mm、字宽为80</w:t>
            </w:r>
            <m:oMath>
              <m:r>
                <m:rPr>
                  <m:sty m:val="p"/>
                </m:rPr>
                <w:rPr>
                  <w:rFonts w:hint="eastAsia" w:ascii="Cambria Math" w:hAnsi="Cambria Math" w:cs="Times New Roman Regular"/>
                  <w:lang w:val="en-US" w:eastAsia="zh-CN"/>
                </w:rPr>
                <m:t>±</m:t>
              </m:r>
            </m:oMath>
            <w:r>
              <w:rPr>
                <w:rFonts w:hint="eastAsia" w:hAnsi="Cambria Math" w:cs="Times New Roman Regular"/>
                <w:b w:val="0"/>
                <w:i w:val="0"/>
                <w:lang w:val="en-US" w:eastAsia="zh-CN"/>
              </w:rPr>
              <w:t>10</w:t>
            </w:r>
            <w:r>
              <w:rPr>
                <w:rFonts w:hint="eastAsia" w:ascii="Times New Roman Regular" w:hAnsi="Times New Roman Regular" w:cs="Times New Roman Regular"/>
                <w:lang w:val="en-US" w:eastAsia="zh-CN"/>
              </w:rPr>
              <w:t>mm，客运类型简称的显示字高为28</w:t>
            </w:r>
            <m:oMath>
              <m:r>
                <m:rPr>
                  <m:sty m:val="p"/>
                </m:rPr>
                <w:rPr>
                  <w:rFonts w:hint="eastAsia" w:ascii="Cambria Math" w:hAnsi="Cambria Math" w:cs="Times New Roman Regular"/>
                  <w:lang w:val="en-US" w:eastAsia="zh-CN"/>
                </w:rPr>
                <m:t>±</m:t>
              </m:r>
            </m:oMath>
            <w:r>
              <w:rPr>
                <w:rFonts w:hint="eastAsia" w:hAnsi="Cambria Math" w:cs="Times New Roman Regular"/>
                <w:b w:val="0"/>
                <w:i w:val="0"/>
                <w:lang w:val="en-US" w:eastAsia="zh-CN"/>
              </w:rPr>
              <w:t>5</w:t>
            </w:r>
            <w:r>
              <w:rPr>
                <w:rFonts w:hint="eastAsia" w:ascii="Times New Roman Regular" w:hAnsi="Times New Roman Regular" w:cs="Times New Roman Regular"/>
                <w:lang w:val="en-US" w:eastAsia="zh-CN"/>
              </w:rPr>
              <w:t>mm、字宽为28</w:t>
            </w:r>
            <m:oMath>
              <m:r>
                <m:rPr>
                  <m:sty m:val="p"/>
                </m:rPr>
                <w:rPr>
                  <w:rFonts w:hint="eastAsia" w:ascii="Cambria Math" w:hAnsi="Cambria Math" w:cs="Times New Roman Regular"/>
                  <w:lang w:val="en-US" w:eastAsia="zh-CN"/>
                </w:rPr>
                <m:t>±</m:t>
              </m:r>
            </m:oMath>
            <w:r>
              <w:rPr>
                <w:rFonts w:hint="eastAsia" w:hAnsi="Cambria Math" w:cs="Times New Roman Regular"/>
                <w:b w:val="0"/>
                <w:i w:val="0"/>
                <w:lang w:val="en-US" w:eastAsia="zh-CN"/>
              </w:rPr>
              <w:t>5</w:t>
            </w:r>
            <w:r>
              <w:rPr>
                <w:rFonts w:hint="eastAsia" w:ascii="Times New Roman Regular" w:hAnsi="Times New Roman Regular" w:cs="Times New Roman Regular"/>
                <w:lang w:val="en-US" w:eastAsia="zh-CN"/>
              </w:rPr>
              <w:t>mm，追溯二维码的显示尺寸为高110</w:t>
            </w:r>
            <m:oMath>
              <m:r>
                <m:rPr>
                  <m:sty m:val="p"/>
                </m:rPr>
                <w:rPr>
                  <w:rFonts w:hint="eastAsia" w:ascii="Cambria Math" w:hAnsi="Cambria Math" w:cs="Times New Roman Regular"/>
                  <w:lang w:val="en-US" w:eastAsia="zh-CN"/>
                </w:rPr>
                <m:t>±</m:t>
              </m:r>
            </m:oMath>
            <w:r>
              <w:rPr>
                <w:rFonts w:hint="eastAsia" w:hAnsi="Cambria Math" w:cs="Times New Roman Regular"/>
                <w:b w:val="0"/>
                <w:i w:val="0"/>
                <w:lang w:val="en-US" w:eastAsia="zh-CN"/>
              </w:rPr>
              <w:t>10</w:t>
            </w:r>
            <w:r>
              <w:rPr>
                <w:rFonts w:hint="eastAsia" w:ascii="Times New Roman Regular" w:hAnsi="Times New Roman Regular" w:cs="Times New Roman Regular"/>
                <w:lang w:val="en-US" w:eastAsia="zh-CN"/>
              </w:rPr>
              <w:t>mm、宽110</w:t>
            </w:r>
            <m:oMath>
              <m:r>
                <m:rPr>
                  <m:sty m:val="p"/>
                </m:rPr>
                <w:rPr>
                  <w:rFonts w:hint="eastAsia" w:ascii="Cambria Math" w:hAnsi="Cambria Math" w:cs="Times New Roman Regular"/>
                  <w:lang w:val="en-US" w:eastAsia="zh-CN"/>
                </w:rPr>
                <m:t>±</m:t>
              </m:r>
            </m:oMath>
            <w:r>
              <w:rPr>
                <w:rFonts w:hint="eastAsia" w:hAnsi="Cambria Math" w:cs="Times New Roman Regular"/>
                <w:b w:val="0"/>
                <w:i w:val="0"/>
                <w:lang w:val="en-US" w:eastAsia="zh-CN"/>
              </w:rPr>
              <w:t>10</w:t>
            </w:r>
            <w:r>
              <w:rPr>
                <w:rFonts w:hint="eastAsia" w:ascii="Times New Roman Regular" w:hAnsi="Times New Roman Regular" w:cs="Times New Roman Regular"/>
                <w:lang w:val="en-US" w:eastAsia="zh-CN"/>
              </w:rPr>
              <w:t>mm；</w:t>
            </w:r>
          </w:p>
          <w:p w14:paraId="6485454C">
            <w:pPr>
              <w:pStyle w:val="20"/>
              <w:keepNext w:val="0"/>
              <w:keepLines w:val="0"/>
              <w:pageBreakBefore w:val="0"/>
              <w:widowControl/>
              <w:kinsoku/>
              <w:wordWrap/>
              <w:overflowPunct/>
              <w:topLinePunct w:val="0"/>
              <w:autoSpaceDE w:val="0"/>
              <w:autoSpaceDN w:val="0"/>
              <w:bidi w:val="0"/>
              <w:adjustRightInd/>
              <w:snapToGrid/>
              <w:spacing w:line="240" w:lineRule="auto"/>
              <w:ind w:left="0" w:leftChars="0" w:firstLine="420" w:firstLineChars="200"/>
              <w:textAlignment w:val="auto"/>
              <w:rPr>
                <w:rFonts w:hint="eastAsia" w:ascii="Times New Roman Regular" w:hAnsi="Times New Roman Regular" w:cs="Times New Roman Regular"/>
                <w:lang w:val="en-US" w:eastAsia="zh-CN"/>
              </w:rPr>
            </w:pPr>
            <w:r>
              <w:rPr>
                <w:rFonts w:hint="eastAsia" w:ascii="Times New Roman Regular" w:hAnsi="Times New Roman Regular" w:cs="Times New Roman Regular"/>
                <w:lang w:val="en-US" w:eastAsia="zh-CN"/>
              </w:rPr>
              <w:t>c）显示字数较多的，可以对起点地、讫点地和客运类型简称采用分屏滚动显示，分屏数量宜不超过2屏且每屏显示时间为3</w:t>
            </w:r>
            <m:oMath>
              <m:r>
                <m:rPr>
                  <m:sty m:val="p"/>
                </m:rPr>
                <w:rPr>
                  <w:rFonts w:hint="eastAsia" w:ascii="Cambria Math" w:hAnsi="Cambria Math" w:cs="Times New Roman Regular"/>
                  <w:lang w:val="en-US" w:eastAsia="zh-CN"/>
                </w:rPr>
                <m:t>±</m:t>
              </m:r>
            </m:oMath>
            <w:r>
              <w:rPr>
                <w:rFonts w:hint="eastAsia" w:ascii="Times New Roman Regular" w:hAnsi="Times New Roman Regular" w:cs="Times New Roman Regular"/>
                <w:lang w:val="en-US" w:eastAsia="zh-CN"/>
              </w:rPr>
              <w:t>0.5s，间隔时间为0.5</w:t>
            </w:r>
            <m:oMath>
              <m:r>
                <m:rPr>
                  <m:sty m:val="p"/>
                </m:rPr>
                <w:rPr>
                  <w:rFonts w:hint="eastAsia" w:ascii="Cambria Math" w:hAnsi="Cambria Math" w:cs="Times New Roman Regular"/>
                  <w:lang w:val="en-US" w:eastAsia="zh-CN"/>
                </w:rPr>
                <m:t>±</m:t>
              </m:r>
            </m:oMath>
            <w:r>
              <w:rPr>
                <w:rFonts w:hint="eastAsia" w:ascii="Times New Roman Regular" w:hAnsi="Times New Roman Regular" w:cs="Times New Roman Regular"/>
                <w:lang w:val="en-US" w:eastAsia="zh-CN"/>
              </w:rPr>
              <w:t>0.5s。</w:t>
            </w:r>
            <w:bookmarkEnd w:id="161"/>
            <w:bookmarkEnd w:id="162"/>
            <w:bookmarkEnd w:id="163"/>
          </w:p>
        </w:tc>
        <w:tc>
          <w:tcPr>
            <w:tcW w:w="4026" w:type="dxa"/>
          </w:tcPr>
          <w:p w14:paraId="7B8BBB3E">
            <w:pPr>
              <w:pStyle w:val="20"/>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eastAsia" w:ascii="Times New Roman Regular" w:hAnsi="Times New Roman Regular" w:eastAsia="宋体" w:cs="Times New Roman Regular"/>
                <w:kern w:val="0"/>
                <w:sz w:val="21"/>
                <w:szCs w:val="20"/>
                <w:lang w:val="en-US" w:eastAsia="zh-CN" w:bidi="ar-SA"/>
              </w:rPr>
            </w:pPr>
            <w:r>
              <w:rPr>
                <w:rFonts w:hint="eastAsia" w:ascii="Times New Roman Regular" w:hAnsi="Times New Roman Regular" w:eastAsia="宋体" w:cs="Times New Roman Regular"/>
                <w:kern w:val="0"/>
                <w:sz w:val="21"/>
                <w:szCs w:val="20"/>
                <w:lang w:val="en-US" w:eastAsia="zh-CN" w:bidi="ar-SA"/>
              </w:rPr>
              <w:t>本条主要参照</w:t>
            </w:r>
            <w:r>
              <w:rPr>
                <w:rFonts w:hint="default" w:ascii="Times New Roman Regular" w:hAnsi="Times New Roman Regular" w:eastAsia="宋体" w:cs="Times New Roman Regular"/>
                <w:kern w:val="0"/>
                <w:sz w:val="21"/>
                <w:szCs w:val="20"/>
                <w:lang w:val="en-US" w:eastAsia="zh-CN" w:bidi="ar-SA"/>
              </w:rPr>
              <w:t>《道路旅客运输及客运站管理规定》</w:t>
            </w:r>
            <w:r>
              <w:rPr>
                <w:rFonts w:hint="eastAsia" w:ascii="Times New Roman Regular" w:hAnsi="Times New Roman Regular" w:eastAsia="宋体" w:cs="Times New Roman Regular"/>
                <w:kern w:val="0"/>
                <w:sz w:val="21"/>
                <w:szCs w:val="20"/>
                <w:lang w:val="en-US" w:eastAsia="zh-CN" w:bidi="ar-SA"/>
              </w:rPr>
              <w:t>的</w:t>
            </w:r>
            <w:r>
              <w:rPr>
                <w:rFonts w:hint="eastAsia" w:ascii="Times New Roman Regular" w:hAnsi="Times New Roman Regular" w:cs="Times New Roman Regular"/>
                <w:kern w:val="0"/>
                <w:sz w:val="21"/>
                <w:szCs w:val="20"/>
                <w:lang w:val="en-US" w:eastAsia="zh-CN" w:bidi="ar-SA"/>
              </w:rPr>
              <w:t>如下所示</w:t>
            </w:r>
            <w:r>
              <w:rPr>
                <w:rFonts w:hint="eastAsia" w:ascii="Times New Roman Regular" w:hAnsi="Times New Roman Regular" w:eastAsia="宋体" w:cs="Times New Roman Regular"/>
                <w:kern w:val="0"/>
                <w:sz w:val="21"/>
                <w:szCs w:val="20"/>
                <w:lang w:val="en-US" w:eastAsia="zh-CN" w:bidi="ar-SA"/>
              </w:rPr>
              <w:t>附件13起草</w:t>
            </w:r>
            <w:r>
              <w:rPr>
                <w:rFonts w:hint="eastAsia" w:ascii="Times New Roman Regular" w:hAnsi="Times New Roman Regular" w:cs="Times New Roman Regular"/>
                <w:kern w:val="0"/>
                <w:sz w:val="21"/>
                <w:szCs w:val="20"/>
                <w:lang w:val="en-US" w:eastAsia="zh-CN" w:bidi="ar-SA"/>
              </w:rPr>
              <w:t>，同时兼顾了不同规格LED显示屏的像素尺寸差异，以及对显示字数较多时的分屏显示要求</w:t>
            </w:r>
            <w:r>
              <w:rPr>
                <w:rFonts w:hint="eastAsia" w:ascii="Times New Roman Regular" w:hAnsi="Times New Roman Regular" w:eastAsia="宋体" w:cs="Times New Roman Regular"/>
                <w:kern w:val="0"/>
                <w:sz w:val="21"/>
                <w:szCs w:val="20"/>
                <w:lang w:val="en-US" w:eastAsia="zh-CN" w:bidi="ar-SA"/>
              </w:rPr>
              <w:t>：</w:t>
            </w:r>
          </w:p>
          <w:p w14:paraId="57BC2E5E">
            <w:pPr>
              <w:pStyle w:val="20"/>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eastAsia" w:ascii="Times New Roman Regular" w:hAnsi="Times New Roman Regular" w:eastAsia="宋体" w:cs="Times New Roman Regular"/>
                <w:kern w:val="0"/>
                <w:sz w:val="21"/>
                <w:szCs w:val="20"/>
                <w:lang w:val="en-US" w:eastAsia="zh-CN" w:bidi="ar-SA"/>
              </w:rPr>
            </w:pPr>
            <w:r>
              <w:rPr>
                <w:rFonts w:hint="eastAsia" w:ascii="Times New Roman Regular" w:hAnsi="Times New Roman Regular" w:eastAsia="宋体" w:cs="Times New Roman Regular"/>
                <w:kern w:val="0"/>
                <w:sz w:val="21"/>
                <w:szCs w:val="20"/>
                <w:lang w:val="en-US" w:eastAsia="zh-CN" w:bidi="ar-SA"/>
              </w:rPr>
              <w:t>1.大型客车使用的班车客运标志牌。</w:t>
            </w:r>
          </w:p>
          <w:p w14:paraId="5DDEFD21">
            <w:pPr>
              <w:pStyle w:val="20"/>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eastAsia" w:ascii="Times New Roman Regular" w:hAnsi="Times New Roman Regular" w:eastAsia="宋体" w:cs="Times New Roman Regular"/>
                <w:kern w:val="0"/>
                <w:sz w:val="21"/>
                <w:szCs w:val="20"/>
                <w:lang w:val="en-US" w:eastAsia="zh-CN" w:bidi="ar-SA"/>
              </w:rPr>
            </w:pPr>
            <w:r>
              <w:rPr>
                <w:rFonts w:hint="eastAsia" w:ascii="Times New Roman Regular" w:hAnsi="Times New Roman Regular" w:eastAsia="宋体" w:cs="Times New Roman Regular"/>
                <w:kern w:val="0"/>
                <w:sz w:val="21"/>
                <w:szCs w:val="20"/>
                <w:lang w:val="en-US" w:eastAsia="zh-CN" w:bidi="ar-SA"/>
              </w:rPr>
              <w:t>第一行字为黑色宋体，字高35mm×字宽35mm。</w:t>
            </w:r>
          </w:p>
          <w:p w14:paraId="1C312500">
            <w:pPr>
              <w:pStyle w:val="20"/>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eastAsia" w:ascii="Times New Roman Regular" w:hAnsi="Times New Roman Regular" w:eastAsia="宋体" w:cs="Times New Roman Regular"/>
                <w:kern w:val="0"/>
                <w:sz w:val="21"/>
                <w:szCs w:val="20"/>
                <w:lang w:val="en-US" w:eastAsia="zh-CN" w:bidi="ar-SA"/>
              </w:rPr>
            </w:pPr>
            <w:r>
              <w:rPr>
                <w:rFonts w:hint="eastAsia" w:ascii="Times New Roman Regular" w:hAnsi="Times New Roman Regular" w:eastAsia="宋体" w:cs="Times New Roman Regular"/>
                <w:kern w:val="0"/>
                <w:sz w:val="21"/>
                <w:szCs w:val="20"/>
                <w:lang w:val="en-US" w:eastAsia="zh-CN" w:bidi="ar-SA"/>
              </w:rPr>
              <w:t>第二行字为红色黑体，字高130mm×字宽100mm—110mm，随字数多少而改变。横线为黑色，宽度20mm，长度随字数多少而改变。横线中间上方套印红色的许可机关专用章。</w:t>
            </w:r>
          </w:p>
          <w:p w14:paraId="40F35CAC">
            <w:pPr>
              <w:pStyle w:val="20"/>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eastAsia" w:ascii="Times New Roman Regular" w:hAnsi="Times New Roman Regular" w:eastAsia="宋体" w:cs="Times New Roman Regular"/>
                <w:kern w:val="0"/>
                <w:sz w:val="21"/>
                <w:szCs w:val="20"/>
                <w:lang w:val="en-US" w:eastAsia="zh-CN" w:bidi="ar-SA"/>
              </w:rPr>
            </w:pPr>
            <w:r>
              <w:rPr>
                <w:rFonts w:hint="eastAsia" w:ascii="Times New Roman Regular" w:hAnsi="Times New Roman Regular" w:eastAsia="宋体" w:cs="Times New Roman Regular"/>
                <w:kern w:val="0"/>
                <w:sz w:val="21"/>
                <w:szCs w:val="20"/>
                <w:lang w:val="en-US" w:eastAsia="zh-CN" w:bidi="ar-SA"/>
              </w:rPr>
              <w:t>第三行字为黑色宋体，字高25mm×字宽18mm，号码为红色阿拉伯数字。</w:t>
            </w:r>
          </w:p>
          <w:p w14:paraId="335F5679">
            <w:pPr>
              <w:pStyle w:val="20"/>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eastAsia" w:ascii="Times New Roman Regular" w:hAnsi="Times New Roman Regular" w:eastAsia="宋体" w:cs="Times New Roman Regular"/>
                <w:kern w:val="0"/>
                <w:sz w:val="21"/>
                <w:szCs w:val="20"/>
                <w:lang w:val="en-US" w:eastAsia="zh-CN" w:bidi="ar-SA"/>
              </w:rPr>
            </w:pPr>
            <w:r>
              <w:rPr>
                <w:rFonts w:hint="eastAsia" w:ascii="Times New Roman Regular" w:hAnsi="Times New Roman Regular" w:eastAsia="宋体" w:cs="Times New Roman Regular"/>
                <w:kern w:val="0"/>
                <w:sz w:val="21"/>
                <w:szCs w:val="20"/>
                <w:lang w:val="en-US" w:eastAsia="zh-CN" w:bidi="ar-SA"/>
              </w:rPr>
              <w:t>2.中小型客车使用的班车客运标志牌。</w:t>
            </w:r>
          </w:p>
          <w:p w14:paraId="099F2EFB">
            <w:pPr>
              <w:pStyle w:val="20"/>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eastAsia" w:ascii="Times New Roman Regular" w:hAnsi="Times New Roman Regular" w:eastAsia="宋体" w:cs="Times New Roman Regular"/>
                <w:kern w:val="0"/>
                <w:sz w:val="21"/>
                <w:szCs w:val="20"/>
                <w:lang w:val="en-US" w:eastAsia="zh-CN" w:bidi="ar-SA"/>
              </w:rPr>
            </w:pPr>
            <w:r>
              <w:rPr>
                <w:rFonts w:hint="eastAsia" w:ascii="Times New Roman Regular" w:hAnsi="Times New Roman Regular" w:eastAsia="宋体" w:cs="Times New Roman Regular"/>
                <w:kern w:val="0"/>
                <w:sz w:val="21"/>
                <w:szCs w:val="20"/>
                <w:lang w:val="en-US" w:eastAsia="zh-CN" w:bidi="ar-SA"/>
              </w:rPr>
              <w:t>第一行字为黑色宋体，字高28mm×字宽28mm。</w:t>
            </w:r>
          </w:p>
          <w:p w14:paraId="183AF7AC">
            <w:pPr>
              <w:pStyle w:val="20"/>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eastAsia" w:ascii="Times New Roman Regular" w:hAnsi="Times New Roman Regular" w:eastAsia="宋体" w:cs="Times New Roman Regular"/>
                <w:kern w:val="0"/>
                <w:sz w:val="21"/>
                <w:szCs w:val="20"/>
                <w:lang w:val="en-US" w:eastAsia="zh-CN" w:bidi="ar-SA"/>
              </w:rPr>
            </w:pPr>
            <w:r>
              <w:rPr>
                <w:rFonts w:hint="eastAsia" w:ascii="Times New Roman Regular" w:hAnsi="Times New Roman Regular" w:eastAsia="宋体" w:cs="Times New Roman Regular"/>
                <w:kern w:val="0"/>
                <w:sz w:val="21"/>
                <w:szCs w:val="20"/>
                <w:lang w:val="en-US" w:eastAsia="zh-CN" w:bidi="ar-SA"/>
              </w:rPr>
              <w:t>第二行字为红色黑体，字高110mm×字宽80mm，随字数多少而改变。横线为黑色，宽度15mm，长度随字数多少而改变。横线中间上方套印红色的许可机关专用章。</w:t>
            </w:r>
          </w:p>
          <w:p w14:paraId="4EFB52C9">
            <w:pPr>
              <w:pStyle w:val="20"/>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eastAsia" w:ascii="Times New Roman Regular" w:hAnsi="Times New Roman Regular" w:cs="Times New Roman Regular"/>
                <w:lang w:val="en-US" w:eastAsia="zh-CN"/>
              </w:rPr>
            </w:pPr>
            <w:r>
              <w:rPr>
                <w:rFonts w:hint="eastAsia" w:ascii="Times New Roman Regular" w:hAnsi="Times New Roman Regular" w:eastAsia="宋体" w:cs="Times New Roman Regular"/>
                <w:kern w:val="0"/>
                <w:sz w:val="21"/>
                <w:szCs w:val="20"/>
                <w:lang w:val="en-US" w:eastAsia="zh-CN" w:bidi="ar-SA"/>
              </w:rPr>
              <w:t>第三行字为黑色宋体，字高20 mm×字宽15 mm，号码为红色阿拉伯数字。</w:t>
            </w:r>
          </w:p>
        </w:tc>
      </w:tr>
      <w:tr w14:paraId="78C44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0A2BB58B">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7.1.1</w:t>
            </w:r>
          </w:p>
        </w:tc>
        <w:tc>
          <w:tcPr>
            <w:tcW w:w="3766" w:type="dxa"/>
          </w:tcPr>
          <w:p w14:paraId="53BEBA96">
            <w:pPr>
              <w:pStyle w:val="21"/>
              <w:keepNext w:val="0"/>
              <w:keepLines w:val="0"/>
              <w:pageBreakBefore w:val="0"/>
              <w:widowControl/>
              <w:numPr>
                <w:ilvl w:val="1"/>
                <w:numId w:val="0"/>
              </w:numPr>
              <w:kinsoku/>
              <w:wordWrap/>
              <w:overflowPunct/>
              <w:topLinePunct w:val="0"/>
              <w:bidi w:val="0"/>
              <w:adjustRightInd/>
              <w:snapToGrid/>
              <w:spacing w:before="0" w:beforeLines="0" w:after="0" w:afterLines="0" w:line="240" w:lineRule="auto"/>
              <w:ind w:leftChars="0"/>
              <w:textAlignment w:val="auto"/>
              <w:rPr>
                <w:rFonts w:hint="default" w:ascii="Times New Roman Regular" w:hAnsi="Times New Roman Regular" w:cs="Times New Roman Regular"/>
                <w:lang w:val="en-US" w:eastAsia="zh-CN"/>
              </w:rPr>
            </w:pPr>
            <w:bookmarkStart w:id="164" w:name="_Toc19273"/>
            <w:bookmarkStart w:id="165" w:name="_Toc1160"/>
            <w:bookmarkStart w:id="166" w:name="_Toc15299"/>
            <w:r>
              <w:rPr>
                <w:rFonts w:hint="eastAsia" w:ascii="Times New Roman Regular" w:hAnsi="Times New Roman Regular" w:cs="Times New Roman Regular"/>
                <w:lang w:val="en-US" w:eastAsia="zh-CN"/>
              </w:rPr>
              <w:t>7 信息管理</w:t>
            </w:r>
            <w:bookmarkEnd w:id="164"/>
            <w:bookmarkEnd w:id="165"/>
            <w:bookmarkEnd w:id="166"/>
          </w:p>
          <w:p w14:paraId="403115A2">
            <w:pPr>
              <w:pStyle w:val="22"/>
              <w:keepNext w:val="0"/>
              <w:keepLines w:val="0"/>
              <w:pageBreakBefore w:val="0"/>
              <w:widowControl/>
              <w:numPr>
                <w:ilvl w:val="2"/>
                <w:numId w:val="0"/>
              </w:numPr>
              <w:kinsoku/>
              <w:wordWrap/>
              <w:overflowPunct/>
              <w:topLinePunct w:val="0"/>
              <w:bidi w:val="0"/>
              <w:adjustRightInd/>
              <w:snapToGrid/>
              <w:spacing w:before="0" w:beforeLines="0" w:after="0" w:afterLines="0" w:line="240" w:lineRule="auto"/>
              <w:ind w:leftChars="0"/>
              <w:textAlignment w:val="auto"/>
              <w:rPr>
                <w:rFonts w:hint="eastAsia" w:ascii="Times New Roman Regular" w:hAnsi="Times New Roman Regular" w:cs="Times New Roman Regular"/>
                <w:lang w:val="en-US" w:eastAsia="zh-CN"/>
              </w:rPr>
            </w:pPr>
            <w:bookmarkStart w:id="167" w:name="_Toc2179"/>
            <w:bookmarkStart w:id="168" w:name="_Toc4007"/>
            <w:bookmarkStart w:id="169" w:name="_Toc19414"/>
            <w:r>
              <w:rPr>
                <w:rFonts w:hint="eastAsia" w:ascii="Times New Roman Regular" w:hAnsi="Times New Roman Regular" w:cs="Times New Roman Regular"/>
                <w:lang w:val="en-US" w:eastAsia="zh-CN"/>
              </w:rPr>
              <w:t>7.1 信息生成</w:t>
            </w:r>
            <w:bookmarkEnd w:id="167"/>
            <w:bookmarkEnd w:id="168"/>
            <w:bookmarkEnd w:id="169"/>
          </w:p>
          <w:p w14:paraId="55CEDE53">
            <w:pPr>
              <w:pStyle w:val="20"/>
              <w:keepNext w:val="0"/>
              <w:keepLines w:val="0"/>
              <w:pageBreakBefore w:val="0"/>
              <w:widowControl/>
              <w:kinsoku/>
              <w:wordWrap/>
              <w:overflowPunct/>
              <w:topLinePunct w:val="0"/>
              <w:autoSpaceDE w:val="0"/>
              <w:autoSpaceDN w:val="0"/>
              <w:bidi w:val="0"/>
              <w:adjustRightInd/>
              <w:snapToGrid/>
              <w:spacing w:line="240" w:lineRule="auto"/>
              <w:ind w:left="0" w:leftChars="0" w:firstLine="0" w:firstLineChars="0"/>
              <w:textAlignment w:val="auto"/>
              <w:rPr>
                <w:rFonts w:hint="eastAsia" w:ascii="Times New Roman Regular" w:hAnsi="Times New Roman Regular" w:cs="Times New Roman Regular"/>
                <w:lang w:val="en-US" w:eastAsia="zh-CN"/>
              </w:rPr>
            </w:pPr>
            <w:bookmarkStart w:id="170" w:name="_Toc3979"/>
            <w:bookmarkStart w:id="171" w:name="_Toc23836"/>
            <w:bookmarkStart w:id="172" w:name="_Toc19876"/>
            <w:bookmarkStart w:id="173" w:name="_Toc15687"/>
            <w:r>
              <w:rPr>
                <w:rFonts w:hint="eastAsia" w:ascii="Times New Roman Regular" w:hAnsi="Times New Roman Regular" w:cs="Times New Roman Regular"/>
                <w:lang w:val="en-US" w:eastAsia="zh-CN"/>
              </w:rPr>
              <w:t xml:space="preserve">7.1.1 </w:t>
            </w:r>
            <w:r>
              <w:rPr>
                <w:rFonts w:hint="eastAsia" w:ascii="宋体" w:hAnsi="宋体" w:eastAsia="宋体" w:cs="宋体"/>
                <w:szCs w:val="21"/>
                <w:lang w:val="en-US" w:eastAsia="zh-CN"/>
              </w:rPr>
              <w:t>客车担当的本运次道路客运经营信息和电子标志牌显示信息，由道路客运经营主体归属地的电子标志牌管理系统生成，信息编码应符合JT/T 415的要求</w:t>
            </w:r>
            <w:r>
              <w:rPr>
                <w:rFonts w:hint="eastAsia" w:ascii="Times New Roman Regular" w:hAnsi="Times New Roman Regular" w:cs="Times New Roman Regular"/>
                <w:lang w:val="en-US" w:eastAsia="zh-CN"/>
              </w:rPr>
              <w:t>。</w:t>
            </w:r>
            <w:bookmarkEnd w:id="170"/>
            <w:bookmarkEnd w:id="171"/>
            <w:bookmarkEnd w:id="172"/>
            <w:bookmarkEnd w:id="173"/>
          </w:p>
        </w:tc>
        <w:tc>
          <w:tcPr>
            <w:tcW w:w="4026" w:type="dxa"/>
          </w:tcPr>
          <w:p w14:paraId="318FC908">
            <w:pPr>
              <w:pStyle w:val="20"/>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default" w:ascii="Times New Roman Regular" w:hAnsi="Times New Roman Regular" w:eastAsia="宋体" w:cs="Times New Roman Regular"/>
                <w:kern w:val="0"/>
                <w:sz w:val="21"/>
                <w:szCs w:val="20"/>
                <w:lang w:val="en-US" w:eastAsia="zh-CN" w:bidi="ar-SA"/>
              </w:rPr>
            </w:pPr>
            <w:r>
              <w:rPr>
                <w:rFonts w:hint="eastAsia" w:ascii="Times New Roman Regular" w:hAnsi="Times New Roman Regular" w:eastAsia="宋体" w:cs="Times New Roman Regular"/>
                <w:kern w:val="0"/>
                <w:sz w:val="21"/>
                <w:szCs w:val="20"/>
                <w:lang w:val="en-US" w:eastAsia="zh-CN" w:bidi="ar-SA"/>
              </w:rPr>
              <w:t>本条主要根据</w:t>
            </w:r>
            <w:r>
              <w:rPr>
                <w:rFonts w:hint="eastAsia" w:ascii="宋体" w:hAnsi="宋体" w:eastAsia="宋体" w:cs="宋体"/>
                <w:szCs w:val="21"/>
                <w:lang w:val="en-US" w:eastAsia="zh-CN"/>
              </w:rPr>
              <w:t>JT/T 415</w:t>
            </w:r>
            <w:r>
              <w:rPr>
                <w:rFonts w:hint="eastAsia" w:hAnsi="宋体" w:cs="宋体"/>
                <w:szCs w:val="21"/>
                <w:lang w:val="en-US" w:eastAsia="zh-CN"/>
              </w:rPr>
              <w:t>《</w:t>
            </w:r>
            <w:r>
              <w:rPr>
                <w:rFonts w:hint="eastAsia" w:ascii="宋体" w:hAnsi="宋体" w:cs="宋体"/>
                <w:lang w:val="en-US" w:eastAsia="zh-CN"/>
              </w:rPr>
              <w:t>道路运输电子政务平台信息分类与编码</w:t>
            </w:r>
            <w:r>
              <w:rPr>
                <w:rFonts w:hint="eastAsia" w:hAnsi="宋体" w:cs="宋体"/>
                <w:lang w:val="en-US" w:eastAsia="zh-CN"/>
              </w:rPr>
              <w:t>》</w:t>
            </w:r>
            <w:r>
              <w:rPr>
                <w:rFonts w:hint="eastAsia" w:hAnsi="宋体" w:cs="宋体"/>
                <w:szCs w:val="21"/>
                <w:lang w:val="en-US" w:eastAsia="zh-CN"/>
              </w:rPr>
              <w:t>和</w:t>
            </w:r>
            <w:r>
              <w:rPr>
                <w:rFonts w:hint="default" w:ascii="Times New Roman Regular" w:hAnsi="Times New Roman Regular" w:eastAsia="宋体" w:cs="Times New Roman Regular"/>
                <w:kern w:val="0"/>
                <w:sz w:val="21"/>
                <w:szCs w:val="20"/>
                <w:lang w:val="en-US" w:eastAsia="zh-CN" w:bidi="ar-SA"/>
              </w:rPr>
              <w:t>《道路旅客运输及客运站管理规定》</w:t>
            </w:r>
            <w:r>
              <w:rPr>
                <w:rFonts w:hint="eastAsia" w:ascii="Times New Roman Regular" w:hAnsi="Times New Roman Regular" w:eastAsia="宋体" w:cs="Times New Roman Regular"/>
                <w:kern w:val="0"/>
                <w:sz w:val="21"/>
                <w:szCs w:val="20"/>
                <w:lang w:val="en-US" w:eastAsia="zh-CN" w:bidi="ar-SA"/>
              </w:rPr>
              <w:t>第六条第二款“县级以上地方人民政府交通运输主管部门（以下简称交通运输主管部门）负责本行政区域的道路客运及客运站管理工作”起草，以满足</w:t>
            </w:r>
            <w:r>
              <w:rPr>
                <w:rFonts w:hint="eastAsia" w:ascii="Times New Roman Regular" w:hAnsi="Times New Roman Regular" w:cs="Times New Roman Regular"/>
                <w:kern w:val="0"/>
                <w:sz w:val="21"/>
                <w:szCs w:val="20"/>
                <w:lang w:val="en-US" w:eastAsia="zh-CN" w:bidi="ar-SA"/>
              </w:rPr>
              <w:t>对</w:t>
            </w:r>
            <w:r>
              <w:rPr>
                <w:rFonts w:hint="eastAsia" w:ascii="Times New Roman Regular" w:hAnsi="Times New Roman Regular" w:eastAsia="宋体" w:cs="Times New Roman Regular"/>
                <w:kern w:val="0"/>
                <w:sz w:val="21"/>
                <w:szCs w:val="20"/>
                <w:lang w:val="en-US" w:eastAsia="zh-CN" w:bidi="ar-SA"/>
              </w:rPr>
              <w:t>道路客运的地域管辖</w:t>
            </w:r>
            <w:r>
              <w:rPr>
                <w:rFonts w:hint="eastAsia" w:ascii="Times New Roman Regular" w:hAnsi="Times New Roman Regular" w:cs="Times New Roman Regular"/>
                <w:kern w:val="0"/>
                <w:sz w:val="21"/>
                <w:szCs w:val="20"/>
                <w:lang w:val="en-US" w:eastAsia="zh-CN" w:bidi="ar-SA"/>
              </w:rPr>
              <w:t>需要。</w:t>
            </w:r>
          </w:p>
        </w:tc>
      </w:tr>
      <w:tr w14:paraId="27632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502A2225">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7.1.2</w:t>
            </w:r>
          </w:p>
        </w:tc>
        <w:tc>
          <w:tcPr>
            <w:tcW w:w="3766" w:type="dxa"/>
          </w:tcPr>
          <w:p w14:paraId="11BDBB6A">
            <w:pPr>
              <w:pStyle w:val="20"/>
              <w:keepNext w:val="0"/>
              <w:keepLines w:val="0"/>
              <w:pageBreakBefore w:val="0"/>
              <w:widowControl/>
              <w:kinsoku/>
              <w:wordWrap/>
              <w:overflowPunct/>
              <w:topLinePunct w:val="0"/>
              <w:autoSpaceDE w:val="0"/>
              <w:autoSpaceDN w:val="0"/>
              <w:bidi w:val="0"/>
              <w:adjustRightInd/>
              <w:snapToGrid/>
              <w:spacing w:line="240" w:lineRule="auto"/>
              <w:ind w:left="0" w:leftChars="0" w:firstLine="0" w:firstLineChars="0"/>
              <w:textAlignment w:val="auto"/>
              <w:rPr>
                <w:rFonts w:hint="eastAsia" w:ascii="Times New Roman Regular" w:hAnsi="Times New Roman Regular" w:cs="Times New Roman Regular"/>
                <w:lang w:val="en-US" w:eastAsia="zh-CN"/>
              </w:rPr>
            </w:pPr>
            <w:bookmarkStart w:id="174" w:name="_Toc14965"/>
            <w:bookmarkStart w:id="175" w:name="_Toc13621"/>
            <w:bookmarkStart w:id="176" w:name="_Toc29569"/>
            <w:bookmarkStart w:id="177" w:name="_Toc25291"/>
            <w:r>
              <w:rPr>
                <w:rFonts w:hint="eastAsia" w:ascii="Times New Roman Regular" w:hAnsi="Times New Roman Regular" w:cs="Times New Roman Regular"/>
                <w:lang w:val="en-US" w:eastAsia="zh-CN"/>
              </w:rPr>
              <w:t>7.1.2 电子标志牌管理系统生成的道路客运经营信息内容包括但不限于：</w:t>
            </w:r>
            <w:bookmarkEnd w:id="174"/>
            <w:bookmarkEnd w:id="175"/>
            <w:bookmarkEnd w:id="176"/>
          </w:p>
          <w:p w14:paraId="41913D41">
            <w:pPr>
              <w:pStyle w:val="20"/>
              <w:keepNext w:val="0"/>
              <w:keepLines w:val="0"/>
              <w:pageBreakBefore w:val="0"/>
              <w:widowControl/>
              <w:kinsoku/>
              <w:wordWrap/>
              <w:overflowPunct/>
              <w:topLinePunct w:val="0"/>
              <w:autoSpaceDE w:val="0"/>
              <w:autoSpaceDN w:val="0"/>
              <w:bidi w:val="0"/>
              <w:adjustRightInd/>
              <w:snapToGrid/>
              <w:spacing w:line="240" w:lineRule="auto"/>
              <w:ind w:left="0" w:leftChars="0" w:firstLine="420" w:firstLineChars="200"/>
              <w:textAlignment w:val="auto"/>
              <w:rPr>
                <w:rFonts w:hint="default" w:ascii="Times New Roman Regular" w:hAnsi="Times New Roman Regular" w:cs="Times New Roman Regular"/>
                <w:lang w:val="en-US" w:eastAsia="zh-CN"/>
              </w:rPr>
            </w:pPr>
            <w:bookmarkStart w:id="178" w:name="_Toc31853"/>
            <w:bookmarkStart w:id="179" w:name="_Toc7584"/>
            <w:bookmarkStart w:id="180" w:name="_Toc22774"/>
            <w:r>
              <w:rPr>
                <w:rFonts w:hint="eastAsia" w:ascii="Times New Roman Regular" w:hAnsi="Times New Roman Regular" w:cs="Times New Roman Regular"/>
                <w:lang w:val="en-US" w:eastAsia="zh-CN"/>
              </w:rPr>
              <w:t>a）班车客运的道路客运经营主体、经营许可证号、标志牌编号、客运班线类型、日发班次下限、车辆类型等级、起点地和讫点地、中途停靠地客运站点、客运班线经营期限、起点地客运站点、讫点地客运站点、途经路线、车牌号码、驾驶人姓名、驾驶人驾驶证号，以及是否属于线路公司、</w:t>
            </w:r>
            <w:r>
              <w:rPr>
                <w:rFonts w:hint="default" w:ascii="Times New Roman Regular" w:hAnsi="Times New Roman Regular" w:cs="Times New Roman Regular"/>
                <w:lang w:val="en-US" w:eastAsia="zh-CN"/>
              </w:rPr>
              <w:t>农村道路客运</w:t>
            </w:r>
            <w:r>
              <w:rPr>
                <w:rFonts w:hint="eastAsia" w:ascii="Times New Roman Regular" w:hAnsi="Times New Roman Regular" w:cs="Times New Roman Regular"/>
                <w:lang w:val="en-US" w:eastAsia="zh-CN"/>
              </w:rPr>
              <w:t>、</w:t>
            </w:r>
            <w:r>
              <w:rPr>
                <w:rFonts w:hint="default" w:ascii="Times New Roman Regular" w:hAnsi="Times New Roman Regular" w:cs="Times New Roman Regular"/>
                <w:lang w:val="en-US" w:eastAsia="zh-CN"/>
              </w:rPr>
              <w:t>营运线路长度在</w:t>
            </w:r>
            <w:r>
              <w:rPr>
                <w:rFonts w:hint="eastAsia" w:ascii="Times New Roman Regular" w:hAnsi="Times New Roman Regular" w:cs="Times New Roman Regular"/>
                <w:lang w:val="en-US" w:eastAsia="zh-CN"/>
              </w:rPr>
              <w:t>800</w:t>
            </w:r>
            <w:r>
              <w:rPr>
                <w:rFonts w:hint="default" w:ascii="Times New Roman Regular" w:hAnsi="Times New Roman Regular" w:cs="Times New Roman Regular"/>
                <w:lang w:val="en-US" w:eastAsia="zh-CN"/>
              </w:rPr>
              <w:t>公里以上的客运班线</w:t>
            </w:r>
            <w:r>
              <w:rPr>
                <w:rFonts w:hint="eastAsia" w:ascii="Times New Roman Regular" w:hAnsi="Times New Roman Regular" w:cs="Times New Roman Regular"/>
                <w:lang w:val="en-US" w:eastAsia="zh-CN"/>
              </w:rPr>
              <w:t>。</w:t>
            </w:r>
            <w:bookmarkEnd w:id="178"/>
            <w:bookmarkEnd w:id="179"/>
            <w:bookmarkEnd w:id="180"/>
          </w:p>
          <w:p w14:paraId="42BC2052">
            <w:pPr>
              <w:pStyle w:val="20"/>
              <w:keepNext w:val="0"/>
              <w:keepLines w:val="0"/>
              <w:pageBreakBefore w:val="0"/>
              <w:widowControl/>
              <w:kinsoku/>
              <w:wordWrap/>
              <w:overflowPunct/>
              <w:topLinePunct w:val="0"/>
              <w:autoSpaceDE w:val="0"/>
              <w:autoSpaceDN w:val="0"/>
              <w:bidi w:val="0"/>
              <w:adjustRightInd/>
              <w:snapToGrid/>
              <w:spacing w:line="240" w:lineRule="auto"/>
              <w:ind w:left="0" w:leftChars="0" w:firstLine="420" w:firstLineChars="200"/>
              <w:textAlignment w:val="auto"/>
              <w:rPr>
                <w:rFonts w:hint="eastAsia" w:ascii="Times New Roman Regular" w:hAnsi="Times New Roman Regular" w:cs="Times New Roman Regular"/>
                <w:lang w:val="en-US" w:eastAsia="zh-CN"/>
              </w:rPr>
            </w:pPr>
            <w:bookmarkStart w:id="181" w:name="_Toc14535"/>
            <w:bookmarkStart w:id="182" w:name="_Toc26027"/>
            <w:bookmarkStart w:id="183" w:name="_Toc23308"/>
            <w:r>
              <w:rPr>
                <w:rFonts w:hint="eastAsia" w:ascii="Times New Roman Regular" w:hAnsi="Times New Roman Regular" w:cs="Times New Roman Regular"/>
                <w:lang w:val="en-US" w:eastAsia="zh-CN"/>
              </w:rPr>
              <w:t>b）包车客运、旅游客运</w:t>
            </w:r>
            <w:bookmarkEnd w:id="177"/>
            <w:r>
              <w:rPr>
                <w:rFonts w:hint="eastAsia" w:ascii="Times New Roman Regular" w:hAnsi="Times New Roman Regular" w:cs="Times New Roman Regular"/>
                <w:lang w:val="en-US" w:eastAsia="zh-CN"/>
              </w:rPr>
              <w:t>的道路客运经营主体、经营许可证号、标志牌编号、车牌号码、起讫地及客运站点、中途停靠地客运站点、途经路线、使用原因、有效期、驾驶人姓名、驾驶人驾驶证号。</w:t>
            </w:r>
            <w:bookmarkEnd w:id="181"/>
            <w:bookmarkEnd w:id="182"/>
            <w:bookmarkEnd w:id="183"/>
          </w:p>
        </w:tc>
        <w:tc>
          <w:tcPr>
            <w:tcW w:w="4026" w:type="dxa"/>
          </w:tcPr>
          <w:p w14:paraId="1CFC0AB3">
            <w:pPr>
              <w:pStyle w:val="20"/>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default" w:ascii="Times New Roman Regular" w:hAnsi="Times New Roman Regular" w:eastAsia="宋体" w:cs="Times New Roman Regular"/>
                <w:kern w:val="0"/>
                <w:sz w:val="21"/>
                <w:szCs w:val="20"/>
                <w:lang w:val="en-US" w:eastAsia="zh-CN" w:bidi="ar-SA"/>
              </w:rPr>
            </w:pPr>
            <w:r>
              <w:rPr>
                <w:rFonts w:hint="eastAsia" w:ascii="Times New Roman Regular" w:hAnsi="Times New Roman Regular" w:eastAsia="宋体" w:cs="Times New Roman Regular"/>
                <w:kern w:val="0"/>
                <w:sz w:val="21"/>
                <w:szCs w:val="20"/>
                <w:lang w:val="en-US" w:eastAsia="zh-CN" w:bidi="ar-SA"/>
              </w:rPr>
              <w:t>本条主要根据</w:t>
            </w:r>
            <w:r>
              <w:rPr>
                <w:rFonts w:hint="default" w:ascii="Times New Roman Regular" w:hAnsi="Times New Roman Regular" w:eastAsia="宋体" w:cs="Times New Roman Regular"/>
                <w:kern w:val="0"/>
                <w:sz w:val="21"/>
                <w:szCs w:val="20"/>
                <w:lang w:val="en-US" w:eastAsia="zh-CN" w:bidi="ar-SA"/>
              </w:rPr>
              <w:t>《道路旅客运输及客运站管理规定》</w:t>
            </w:r>
            <w:r>
              <w:rPr>
                <w:rFonts w:hint="eastAsia" w:ascii="Times New Roman Regular" w:hAnsi="Times New Roman Regular" w:cs="Times New Roman Regular"/>
                <w:kern w:val="0"/>
                <w:sz w:val="21"/>
                <w:szCs w:val="20"/>
                <w:lang w:val="en-US" w:eastAsia="zh-CN" w:bidi="ar-SA"/>
              </w:rPr>
              <w:t>的附件7、附件8、附件10、附件11、附件12</w:t>
            </w:r>
            <w:r>
              <w:rPr>
                <w:rFonts w:hint="eastAsia" w:ascii="Times New Roman Regular" w:hAnsi="Times New Roman Regular" w:eastAsia="宋体" w:cs="Times New Roman Regular"/>
                <w:kern w:val="0"/>
                <w:sz w:val="21"/>
                <w:szCs w:val="20"/>
                <w:lang w:val="en-US" w:eastAsia="zh-CN" w:bidi="ar-SA"/>
              </w:rPr>
              <w:t>起草，涵盖了</w:t>
            </w:r>
            <w:r>
              <w:rPr>
                <w:rFonts w:hint="eastAsia" w:ascii="Times New Roman Regular" w:hAnsi="Times New Roman Regular" w:cs="Times New Roman Regular"/>
                <w:kern w:val="0"/>
                <w:sz w:val="21"/>
                <w:szCs w:val="20"/>
                <w:lang w:val="en-US" w:eastAsia="zh-CN" w:bidi="ar-SA"/>
              </w:rPr>
              <w:t>对</w:t>
            </w:r>
            <w:r>
              <w:rPr>
                <w:rFonts w:hint="eastAsia" w:ascii="Times New Roman Regular" w:hAnsi="Times New Roman Regular" w:eastAsia="宋体" w:cs="Times New Roman Regular"/>
                <w:kern w:val="0"/>
                <w:sz w:val="21"/>
                <w:szCs w:val="20"/>
                <w:lang w:val="en-US" w:eastAsia="zh-CN" w:bidi="ar-SA"/>
              </w:rPr>
              <w:t>相应</w:t>
            </w:r>
            <w:r>
              <w:rPr>
                <w:rFonts w:hint="eastAsia" w:ascii="Times New Roman Regular" w:hAnsi="Times New Roman Regular" w:cs="Times New Roman Regular"/>
                <w:kern w:val="0"/>
                <w:sz w:val="21"/>
                <w:szCs w:val="20"/>
                <w:lang w:val="en-US" w:eastAsia="zh-CN" w:bidi="ar-SA"/>
              </w:rPr>
              <w:t>道路客运</w:t>
            </w:r>
            <w:r>
              <w:rPr>
                <w:rFonts w:hint="eastAsia" w:ascii="Times New Roman Regular" w:hAnsi="Times New Roman Regular" w:eastAsia="宋体" w:cs="Times New Roman Regular"/>
                <w:kern w:val="0"/>
                <w:sz w:val="21"/>
                <w:szCs w:val="20"/>
                <w:lang w:val="en-US" w:eastAsia="zh-CN" w:bidi="ar-SA"/>
              </w:rPr>
              <w:t>类别</w:t>
            </w:r>
            <w:r>
              <w:rPr>
                <w:rFonts w:hint="eastAsia" w:ascii="Times New Roman Regular" w:hAnsi="Times New Roman Regular" w:cs="Times New Roman Regular"/>
                <w:kern w:val="0"/>
                <w:sz w:val="21"/>
                <w:szCs w:val="20"/>
                <w:lang w:val="en-US" w:eastAsia="zh-CN" w:bidi="ar-SA"/>
              </w:rPr>
              <w:t>的电子</w:t>
            </w:r>
            <w:r>
              <w:rPr>
                <w:rFonts w:hint="eastAsia" w:ascii="Times New Roman Regular" w:hAnsi="Times New Roman Regular" w:eastAsia="宋体" w:cs="Times New Roman Regular"/>
                <w:kern w:val="0"/>
                <w:sz w:val="21"/>
                <w:szCs w:val="20"/>
                <w:lang w:val="en-US" w:eastAsia="zh-CN" w:bidi="ar-SA"/>
              </w:rPr>
              <w:t>标志牌</w:t>
            </w:r>
            <w:r>
              <w:rPr>
                <w:rFonts w:hint="eastAsia" w:ascii="Times New Roman Regular" w:hAnsi="Times New Roman Regular" w:cs="Times New Roman Regular"/>
                <w:kern w:val="0"/>
                <w:sz w:val="21"/>
                <w:szCs w:val="20"/>
                <w:lang w:val="en-US" w:eastAsia="zh-CN" w:bidi="ar-SA"/>
              </w:rPr>
              <w:t>管理与使用所需</w:t>
            </w:r>
            <w:r>
              <w:rPr>
                <w:rFonts w:hint="eastAsia" w:ascii="Times New Roman Regular" w:hAnsi="Times New Roman Regular" w:eastAsia="宋体" w:cs="Times New Roman Regular"/>
                <w:kern w:val="0"/>
                <w:sz w:val="21"/>
                <w:szCs w:val="20"/>
                <w:lang w:val="en-US" w:eastAsia="zh-CN" w:bidi="ar-SA"/>
              </w:rPr>
              <w:t>道路客运经营信息</w:t>
            </w:r>
            <w:r>
              <w:rPr>
                <w:rFonts w:hint="eastAsia" w:ascii="Times New Roman Regular" w:hAnsi="Times New Roman Regular" w:cs="Times New Roman Regular"/>
                <w:kern w:val="0"/>
                <w:sz w:val="21"/>
                <w:szCs w:val="20"/>
                <w:lang w:val="en-US" w:eastAsia="zh-CN" w:bidi="ar-SA"/>
              </w:rPr>
              <w:t>，并且为满足未来拓展客运服务需要，以“不限于”方式，允许根据需要增加生成其他相关信息。</w:t>
            </w:r>
          </w:p>
        </w:tc>
      </w:tr>
      <w:tr w14:paraId="68DBB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6371EF32">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7.1.3</w:t>
            </w:r>
          </w:p>
        </w:tc>
        <w:tc>
          <w:tcPr>
            <w:tcW w:w="3766" w:type="dxa"/>
          </w:tcPr>
          <w:p w14:paraId="64E123D9">
            <w:pPr>
              <w:pStyle w:val="20"/>
              <w:keepNext w:val="0"/>
              <w:keepLines w:val="0"/>
              <w:pageBreakBefore w:val="0"/>
              <w:widowControl/>
              <w:kinsoku/>
              <w:wordWrap/>
              <w:overflowPunct/>
              <w:topLinePunct w:val="0"/>
              <w:autoSpaceDE w:val="0"/>
              <w:autoSpaceDN w:val="0"/>
              <w:bidi w:val="0"/>
              <w:adjustRightInd/>
              <w:snapToGrid/>
              <w:spacing w:line="240" w:lineRule="auto"/>
              <w:ind w:left="0" w:leftChars="0" w:firstLine="0" w:firstLineChars="0"/>
              <w:textAlignment w:val="auto"/>
              <w:rPr>
                <w:rFonts w:hint="eastAsia" w:ascii="Times New Roman Regular" w:hAnsi="Times New Roman Regular" w:cs="Times New Roman Regular"/>
                <w:lang w:val="en-US" w:eastAsia="zh-CN"/>
              </w:rPr>
            </w:pPr>
            <w:bookmarkStart w:id="184" w:name="_Toc30943"/>
            <w:bookmarkStart w:id="185" w:name="_Toc6242"/>
            <w:bookmarkStart w:id="186" w:name="_Toc25808"/>
            <w:bookmarkStart w:id="187" w:name="_Toc21154"/>
            <w:bookmarkStart w:id="188" w:name="_Toc19443"/>
            <w:bookmarkStart w:id="189" w:name="_Toc7755"/>
            <w:bookmarkStart w:id="190" w:name="_Toc4966"/>
            <w:r>
              <w:rPr>
                <w:rFonts w:hint="eastAsia" w:ascii="Times New Roman Regular" w:hAnsi="Times New Roman Regular" w:cs="Times New Roman Regular"/>
                <w:lang w:val="en-US" w:eastAsia="zh-CN"/>
              </w:rPr>
              <w:t>7.1.3 道路客运经营信息数据存储于道路客运经</w:t>
            </w:r>
            <w:r>
              <w:rPr>
                <w:rFonts w:hint="default" w:ascii="Times New Roman Regular" w:hAnsi="Times New Roman Regular" w:cs="Times New Roman Regular"/>
                <w:lang w:val="en-US" w:eastAsia="zh-CN"/>
              </w:rPr>
              <w:t>营主体</w:t>
            </w:r>
            <w:r>
              <w:rPr>
                <w:rFonts w:hint="eastAsia" w:ascii="Times New Roman Regular" w:hAnsi="Times New Roman Regular" w:cs="Times New Roman Regular"/>
                <w:lang w:val="en-US" w:eastAsia="zh-CN"/>
              </w:rPr>
              <w:t>归属地的电子标志牌管理系统数据库</w:t>
            </w:r>
            <w:bookmarkEnd w:id="184"/>
            <w:bookmarkEnd w:id="185"/>
            <w:bookmarkEnd w:id="186"/>
            <w:r>
              <w:rPr>
                <w:rFonts w:hint="eastAsia" w:ascii="Times New Roman Regular" w:hAnsi="Times New Roman Regular" w:cs="Times New Roman Regular"/>
                <w:lang w:val="en-US" w:eastAsia="zh-CN"/>
              </w:rPr>
              <w:t>，电子标志牌显示信息数据存储于电子标志牌的本地存储器。</w:t>
            </w:r>
            <w:bookmarkEnd w:id="187"/>
            <w:bookmarkEnd w:id="188"/>
            <w:bookmarkEnd w:id="189"/>
            <w:bookmarkEnd w:id="190"/>
          </w:p>
        </w:tc>
        <w:tc>
          <w:tcPr>
            <w:tcW w:w="4026" w:type="dxa"/>
          </w:tcPr>
          <w:p w14:paraId="2F9FF722">
            <w:pPr>
              <w:pStyle w:val="20"/>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default" w:ascii="Times New Roman Regular" w:hAnsi="Times New Roman Regular" w:eastAsia="宋体" w:cs="Times New Roman Regular"/>
                <w:kern w:val="0"/>
                <w:sz w:val="21"/>
                <w:szCs w:val="20"/>
                <w:lang w:val="en-US" w:eastAsia="zh-CN" w:bidi="ar-SA"/>
              </w:rPr>
            </w:pPr>
            <w:r>
              <w:rPr>
                <w:rFonts w:hint="eastAsia" w:ascii="Times New Roman Regular" w:hAnsi="Times New Roman Regular" w:eastAsia="宋体" w:cs="Times New Roman Regular"/>
                <w:kern w:val="0"/>
                <w:sz w:val="21"/>
                <w:szCs w:val="20"/>
                <w:lang w:val="en-US" w:eastAsia="zh-CN" w:bidi="ar-SA"/>
              </w:rPr>
              <w:t>本条主要根据</w:t>
            </w:r>
            <w:r>
              <w:rPr>
                <w:rFonts w:hint="default" w:ascii="Times New Roman Regular" w:hAnsi="Times New Roman Regular" w:eastAsia="宋体" w:cs="Times New Roman Regular"/>
                <w:kern w:val="0"/>
                <w:sz w:val="21"/>
                <w:szCs w:val="20"/>
                <w:lang w:val="en-US" w:eastAsia="zh-CN" w:bidi="ar-SA"/>
              </w:rPr>
              <w:t>《道路旅客运输及客运站管理规定》</w:t>
            </w:r>
            <w:r>
              <w:rPr>
                <w:rFonts w:hint="eastAsia" w:ascii="Times New Roman Regular" w:hAnsi="Times New Roman Regular" w:eastAsia="宋体" w:cs="Times New Roman Regular"/>
                <w:kern w:val="0"/>
                <w:sz w:val="21"/>
                <w:szCs w:val="20"/>
                <w:lang w:val="en-US" w:eastAsia="zh-CN" w:bidi="ar-SA"/>
              </w:rPr>
              <w:t>第六条第二款</w:t>
            </w:r>
            <w:r>
              <w:rPr>
                <w:rFonts w:hint="eastAsia" w:ascii="Times New Roman Regular" w:hAnsi="Times New Roman Regular" w:cs="Times New Roman Regular"/>
                <w:kern w:val="0"/>
                <w:sz w:val="21"/>
                <w:szCs w:val="20"/>
                <w:lang w:val="en-US" w:eastAsia="zh-CN" w:bidi="ar-SA"/>
              </w:rPr>
              <w:t>对道路客运的</w:t>
            </w:r>
            <w:r>
              <w:rPr>
                <w:rFonts w:hint="eastAsia" w:ascii="Times New Roman Regular" w:hAnsi="Times New Roman Regular" w:eastAsia="宋体" w:cs="Times New Roman Regular"/>
                <w:kern w:val="0"/>
                <w:sz w:val="21"/>
                <w:szCs w:val="20"/>
                <w:lang w:val="en-US" w:eastAsia="zh-CN" w:bidi="ar-SA"/>
              </w:rPr>
              <w:t>地域管辖</w:t>
            </w:r>
            <w:r>
              <w:rPr>
                <w:rFonts w:hint="eastAsia" w:ascii="Times New Roman Regular" w:hAnsi="Times New Roman Regular" w:cs="Times New Roman Regular"/>
                <w:kern w:val="0"/>
                <w:sz w:val="21"/>
                <w:szCs w:val="20"/>
                <w:lang w:val="en-US" w:eastAsia="zh-CN" w:bidi="ar-SA"/>
              </w:rPr>
              <w:t>规定</w:t>
            </w:r>
            <w:r>
              <w:rPr>
                <w:rFonts w:hint="eastAsia" w:ascii="Times New Roman Regular" w:hAnsi="Times New Roman Regular" w:eastAsia="宋体" w:cs="Times New Roman Regular"/>
                <w:kern w:val="0"/>
                <w:sz w:val="21"/>
                <w:szCs w:val="20"/>
                <w:lang w:val="en-US" w:eastAsia="zh-CN" w:bidi="ar-SA"/>
              </w:rPr>
              <w:t>起草</w:t>
            </w:r>
            <w:r>
              <w:rPr>
                <w:rFonts w:hint="eastAsia" w:ascii="Times New Roman Regular" w:hAnsi="Times New Roman Regular" w:cs="Times New Roman Regular"/>
                <w:kern w:val="0"/>
                <w:sz w:val="21"/>
                <w:szCs w:val="20"/>
                <w:lang w:val="en-US" w:eastAsia="zh-CN" w:bidi="ar-SA"/>
              </w:rPr>
              <w:t>。为方便对数据的使用和管理，将生成的完整</w:t>
            </w:r>
            <w:r>
              <w:rPr>
                <w:rFonts w:hint="eastAsia" w:ascii="Times New Roman Regular" w:hAnsi="Times New Roman Regular" w:cs="Times New Roman Regular"/>
                <w:lang w:val="en-US" w:eastAsia="zh-CN"/>
              </w:rPr>
              <w:t>道路客运经营信息数据存储于经</w:t>
            </w:r>
            <w:r>
              <w:rPr>
                <w:rFonts w:hint="default" w:ascii="Times New Roman Regular" w:hAnsi="Times New Roman Regular" w:cs="Times New Roman Regular"/>
                <w:lang w:val="en-US" w:eastAsia="zh-CN"/>
              </w:rPr>
              <w:t>营主体</w:t>
            </w:r>
            <w:r>
              <w:rPr>
                <w:rFonts w:hint="eastAsia" w:ascii="Times New Roman Regular" w:hAnsi="Times New Roman Regular" w:cs="Times New Roman Regular"/>
                <w:lang w:val="en-US" w:eastAsia="zh-CN"/>
              </w:rPr>
              <w:t>归属地的电子标志牌管理系统数据库，将用于电子标志牌显示的信息数据传输至具体电子标志牌之后，存储于电子标志牌的本地存储器。</w:t>
            </w:r>
          </w:p>
        </w:tc>
      </w:tr>
      <w:tr w14:paraId="04BBE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2C673D94">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7.2.1</w:t>
            </w:r>
          </w:p>
        </w:tc>
        <w:tc>
          <w:tcPr>
            <w:tcW w:w="3766" w:type="dxa"/>
          </w:tcPr>
          <w:p w14:paraId="59045E58">
            <w:pPr>
              <w:pStyle w:val="22"/>
              <w:keepNext w:val="0"/>
              <w:keepLines w:val="0"/>
              <w:pageBreakBefore w:val="0"/>
              <w:widowControl w:val="0"/>
              <w:numPr>
                <w:ilvl w:val="2"/>
                <w:numId w:val="0"/>
              </w:numPr>
              <w:kinsoku/>
              <w:wordWrap/>
              <w:overflowPunct/>
              <w:topLinePunct w:val="0"/>
              <w:bidi w:val="0"/>
              <w:adjustRightInd/>
              <w:snapToGrid/>
              <w:spacing w:before="0" w:beforeLines="0" w:after="0" w:afterLines="0" w:line="240" w:lineRule="auto"/>
              <w:ind w:leftChars="0"/>
              <w:textAlignment w:val="auto"/>
              <w:rPr>
                <w:rFonts w:hint="eastAsia" w:ascii="Times New Roman Regular" w:hAnsi="Times New Roman Regular" w:cs="Times New Roman Regular"/>
                <w:lang w:val="en-US" w:eastAsia="zh-CN"/>
              </w:rPr>
            </w:pPr>
            <w:bookmarkStart w:id="191" w:name="_Toc3781"/>
            <w:bookmarkStart w:id="192" w:name="_Toc15035"/>
            <w:bookmarkStart w:id="193" w:name="_Toc18448"/>
            <w:bookmarkStart w:id="194" w:name="_Toc7355"/>
            <w:bookmarkStart w:id="195" w:name="_Toc9166"/>
            <w:bookmarkStart w:id="196" w:name="_Toc23637"/>
            <w:r>
              <w:rPr>
                <w:rFonts w:hint="eastAsia" w:ascii="Times New Roman Regular" w:hAnsi="Times New Roman Regular" w:cs="Times New Roman Regular"/>
                <w:lang w:val="en-US" w:eastAsia="zh-CN"/>
              </w:rPr>
              <w:t>7.2 信息传输与显示</w:t>
            </w:r>
            <w:bookmarkEnd w:id="191"/>
            <w:bookmarkEnd w:id="192"/>
          </w:p>
          <w:p w14:paraId="4B8316E9">
            <w:pPr>
              <w:pStyle w:val="20"/>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Times New Roman Regular" w:hAnsi="Times New Roman Regular" w:cs="Times New Roman Regular"/>
                <w:lang w:val="en-US" w:eastAsia="zh-CN"/>
              </w:rPr>
            </w:pPr>
            <w:r>
              <w:rPr>
                <w:rFonts w:hint="eastAsia" w:ascii="Times New Roman Regular" w:hAnsi="Times New Roman Regular" w:cs="Times New Roman Regular"/>
                <w:lang w:val="en-US" w:eastAsia="zh-CN"/>
              </w:rPr>
              <w:t>7.2.1 电子标志牌管理系统向电子标志牌用户</w:t>
            </w:r>
            <w:r>
              <w:rPr>
                <w:rFonts w:hint="default" w:ascii="Times New Roman Regular" w:hAnsi="Times New Roman Regular" w:cs="Times New Roman Regular"/>
                <w:lang w:val="en-US" w:eastAsia="zh-CN"/>
              </w:rPr>
              <w:t>分配接入码，</w:t>
            </w:r>
            <w:r>
              <w:rPr>
                <w:rFonts w:hint="eastAsia" w:ascii="Times New Roman Regular" w:hAnsi="Times New Roman Regular" w:cs="Times New Roman Regular"/>
                <w:lang w:val="en-US" w:eastAsia="zh-CN"/>
              </w:rPr>
              <w:t>由用户通过公众移动通信网络将电子标志牌与电子标志牌管理系统建立通讯连接和进行</w:t>
            </w:r>
            <w:r>
              <w:rPr>
                <w:rFonts w:hint="default" w:ascii="Times New Roman Regular" w:hAnsi="Times New Roman Regular" w:cs="Times New Roman Regular"/>
                <w:lang w:val="en-US" w:eastAsia="zh-CN"/>
              </w:rPr>
              <w:t>消息订阅</w:t>
            </w:r>
            <w:r>
              <w:rPr>
                <w:rFonts w:hint="eastAsia" w:ascii="Times New Roman Regular" w:hAnsi="Times New Roman Regular" w:cs="Times New Roman Regular"/>
                <w:lang w:val="en-US" w:eastAsia="zh-CN"/>
              </w:rPr>
              <w:t>。</w:t>
            </w:r>
            <w:bookmarkEnd w:id="193"/>
            <w:bookmarkEnd w:id="194"/>
            <w:bookmarkEnd w:id="195"/>
            <w:r>
              <w:rPr>
                <w:rFonts w:hint="eastAsia" w:ascii="Times New Roman Regular" w:hAnsi="Times New Roman Regular" w:cs="Times New Roman Regular"/>
                <w:lang w:val="en-US" w:eastAsia="zh-CN"/>
              </w:rPr>
              <w:t>通讯接口与数据传递流程参见附录A。</w:t>
            </w:r>
            <w:bookmarkEnd w:id="196"/>
          </w:p>
        </w:tc>
        <w:tc>
          <w:tcPr>
            <w:tcW w:w="4026" w:type="dxa"/>
          </w:tcPr>
          <w:p w14:paraId="061EDCF2">
            <w:pPr>
              <w:pStyle w:val="20"/>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default" w:ascii="Times New Roman Regular" w:hAnsi="Times New Roman Regular" w:eastAsia="宋体" w:cs="Times New Roman Regular"/>
                <w:kern w:val="0"/>
                <w:sz w:val="21"/>
                <w:szCs w:val="20"/>
                <w:lang w:val="en-US" w:eastAsia="zh-CN" w:bidi="ar-SA"/>
              </w:rPr>
            </w:pPr>
            <w:r>
              <w:rPr>
                <w:rFonts w:hint="eastAsia" w:ascii="Times New Roman Regular" w:hAnsi="Times New Roman Regular" w:eastAsia="宋体" w:cs="Times New Roman Regular"/>
                <w:kern w:val="0"/>
                <w:sz w:val="21"/>
                <w:szCs w:val="20"/>
                <w:lang w:val="en-US" w:eastAsia="zh-CN" w:bidi="ar-SA"/>
              </w:rPr>
              <w:t>本条主要根据4G移动通信技术和MQTT</w:t>
            </w:r>
            <w:r>
              <w:rPr>
                <w:rFonts w:hint="eastAsia" w:ascii="Times New Roman Regular" w:hAnsi="Times New Roman Regular" w:cs="Times New Roman Regular"/>
                <w:kern w:val="0"/>
                <w:sz w:val="21"/>
                <w:szCs w:val="20"/>
                <w:lang w:val="en-US" w:eastAsia="zh-CN" w:bidi="ar-SA"/>
              </w:rPr>
              <w:t>（</w:t>
            </w:r>
            <w:r>
              <w:rPr>
                <w:rFonts w:hint="default" w:ascii="Times New Roman Regular" w:hAnsi="Times New Roman Regular" w:eastAsia="宋体" w:cs="Times New Roman Regular"/>
                <w:kern w:val="0"/>
                <w:sz w:val="21"/>
                <w:szCs w:val="20"/>
                <w:lang w:val="en-US" w:eastAsia="zh-CN" w:bidi="ar-SA"/>
              </w:rPr>
              <w:t>消息队列遥测传输</w:t>
            </w:r>
            <w:r>
              <w:rPr>
                <w:rFonts w:hint="eastAsia" w:ascii="Times New Roman Regular" w:hAnsi="Times New Roman Regular" w:cs="Times New Roman Regular"/>
                <w:kern w:val="0"/>
                <w:sz w:val="21"/>
                <w:szCs w:val="20"/>
                <w:lang w:val="en-US" w:eastAsia="zh-CN" w:bidi="ar-SA"/>
              </w:rPr>
              <w:t>）</w:t>
            </w:r>
            <w:r>
              <w:rPr>
                <w:rFonts w:hint="default" w:ascii="Times New Roman Regular" w:hAnsi="Times New Roman Regular" w:eastAsia="宋体" w:cs="Times New Roman Regular"/>
                <w:kern w:val="0"/>
                <w:sz w:val="21"/>
                <w:szCs w:val="20"/>
                <w:lang w:val="en-US" w:eastAsia="zh-CN" w:bidi="ar-SA"/>
              </w:rPr>
              <w:t>协议</w:t>
            </w:r>
            <w:r>
              <w:rPr>
                <w:rFonts w:hint="eastAsia" w:ascii="Times New Roman Regular" w:hAnsi="Times New Roman Regular" w:eastAsia="宋体" w:cs="Times New Roman Regular"/>
                <w:kern w:val="0"/>
                <w:sz w:val="21"/>
                <w:szCs w:val="20"/>
                <w:lang w:val="en-US" w:eastAsia="zh-CN" w:bidi="ar-SA"/>
              </w:rPr>
              <w:t>，</w:t>
            </w:r>
            <w:r>
              <w:rPr>
                <w:rFonts w:hint="eastAsia" w:ascii="Times New Roman Regular" w:hAnsi="Times New Roman Regular" w:cs="Times New Roman Regular"/>
                <w:kern w:val="0"/>
                <w:sz w:val="21"/>
                <w:szCs w:val="20"/>
                <w:lang w:val="en-US" w:eastAsia="zh-CN" w:bidi="ar-SA"/>
              </w:rPr>
              <w:t>规定了</w:t>
            </w:r>
            <w:r>
              <w:rPr>
                <w:rFonts w:hint="eastAsia" w:ascii="Times New Roman Regular" w:hAnsi="Times New Roman Regular" w:cs="Times New Roman Regular"/>
                <w:lang w:val="en-US" w:eastAsia="zh-CN"/>
              </w:rPr>
              <w:t>电子标志牌管理系统将生成的电子标志牌显示信息数据，通过无线</w:t>
            </w:r>
            <w:r>
              <w:rPr>
                <w:rFonts w:hint="eastAsia" w:ascii="Times New Roman Regular" w:hAnsi="Times New Roman Regular" w:eastAsia="宋体" w:cs="Times New Roman Regular"/>
                <w:kern w:val="0"/>
                <w:sz w:val="21"/>
                <w:szCs w:val="20"/>
                <w:lang w:val="en-US" w:eastAsia="zh-CN" w:bidi="ar-SA"/>
              </w:rPr>
              <w:t>通信</w:t>
            </w:r>
            <w:r>
              <w:rPr>
                <w:rFonts w:hint="eastAsia" w:ascii="Times New Roman Regular" w:hAnsi="Times New Roman Regular" w:cs="Times New Roman Regular"/>
                <w:lang w:val="en-US" w:eastAsia="zh-CN"/>
              </w:rPr>
              <w:t>网络下发给具体电子标志牌的信息传输途径和基本流程。</w:t>
            </w:r>
          </w:p>
        </w:tc>
      </w:tr>
      <w:tr w14:paraId="0AA10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143E1E9D">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7.2.2</w:t>
            </w:r>
          </w:p>
        </w:tc>
        <w:tc>
          <w:tcPr>
            <w:tcW w:w="3766" w:type="dxa"/>
          </w:tcPr>
          <w:p w14:paraId="3727B680">
            <w:pPr>
              <w:pStyle w:val="20"/>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Times New Roman Regular" w:hAnsi="Times New Roman Regular" w:cs="Times New Roman Regular"/>
                <w:lang w:val="en-US" w:eastAsia="zh-CN"/>
              </w:rPr>
            </w:pPr>
            <w:r>
              <w:rPr>
                <w:rFonts w:hint="eastAsia" w:ascii="Times New Roman Regular" w:hAnsi="Times New Roman Regular" w:cs="Times New Roman Regular"/>
                <w:lang w:val="en-US" w:eastAsia="zh-CN"/>
              </w:rPr>
              <w:t xml:space="preserve">7.2.2 </w:t>
            </w:r>
            <w:r>
              <w:rPr>
                <w:rFonts w:hint="eastAsia" w:ascii="Times New Roman Regular" w:hAnsi="Times New Roman Regular" w:cs="Times New Roman Regular"/>
                <w:kern w:val="0"/>
                <w:sz w:val="21"/>
                <w:szCs w:val="20"/>
                <w:lang w:val="en-US" w:eastAsia="zh-CN" w:bidi="ar-SA"/>
              </w:rPr>
              <w:t>当</w:t>
            </w:r>
            <w:r>
              <w:rPr>
                <w:rFonts w:hint="eastAsia" w:ascii="Times New Roman Regular" w:hAnsi="Times New Roman Regular" w:cs="Times New Roman Regular"/>
                <w:lang w:val="en-US" w:eastAsia="zh-CN"/>
              </w:rPr>
              <w:t>电子标志牌开机和开机后每满10min，由电子标志牌管理系统根据客运班线经营期限或者包车客运、旅游客运有效期，对本运次道路客运的电子标志牌显示信息进行有效性核验，其中：</w:t>
            </w:r>
          </w:p>
          <w:p w14:paraId="7B910E10">
            <w:pPr>
              <w:pStyle w:val="20"/>
              <w:keepNext w:val="0"/>
              <w:keepLines w:val="0"/>
              <w:pageBreakBefore w:val="0"/>
              <w:widowControl w:val="0"/>
              <w:kinsoku/>
              <w:wordWrap/>
              <w:overflowPunct/>
              <w:topLinePunct w:val="0"/>
              <w:autoSpaceDE w:val="0"/>
              <w:autoSpaceDN w:val="0"/>
              <w:bidi w:val="0"/>
              <w:adjustRightInd/>
              <w:snapToGrid/>
              <w:spacing w:line="240" w:lineRule="auto"/>
              <w:ind w:left="0" w:leftChars="0" w:firstLine="420" w:firstLineChars="200"/>
              <w:textAlignment w:val="auto"/>
              <w:rPr>
                <w:rFonts w:hint="eastAsia" w:ascii="Times New Roman Regular" w:hAnsi="Times New Roman Regular" w:cs="Times New Roman Regular"/>
                <w:lang w:val="en-US" w:eastAsia="zh-CN"/>
              </w:rPr>
            </w:pPr>
            <w:r>
              <w:rPr>
                <w:rFonts w:hint="eastAsia" w:ascii="Times New Roman Regular" w:hAnsi="Times New Roman Regular" w:cs="Times New Roman Regular"/>
                <w:lang w:val="en-US" w:eastAsia="zh-CN"/>
              </w:rPr>
              <w:t>a）有效期未届满的，开启电子标志牌的显示信息；</w:t>
            </w:r>
          </w:p>
          <w:p w14:paraId="797D44B4">
            <w:pPr>
              <w:pStyle w:val="20"/>
              <w:keepNext w:val="0"/>
              <w:keepLines w:val="0"/>
              <w:pageBreakBefore w:val="0"/>
              <w:widowControl w:val="0"/>
              <w:kinsoku/>
              <w:wordWrap/>
              <w:overflowPunct/>
              <w:topLinePunct w:val="0"/>
              <w:autoSpaceDE w:val="0"/>
              <w:autoSpaceDN w:val="0"/>
              <w:bidi w:val="0"/>
              <w:adjustRightInd/>
              <w:snapToGrid/>
              <w:spacing w:line="240" w:lineRule="auto"/>
              <w:ind w:left="0" w:leftChars="0" w:firstLine="420" w:firstLineChars="200"/>
              <w:textAlignment w:val="auto"/>
              <w:rPr>
                <w:rFonts w:hint="eastAsia" w:ascii="Times New Roman Regular" w:hAnsi="Times New Roman Regular" w:cs="Times New Roman Regular"/>
                <w:lang w:val="en-US" w:eastAsia="zh-CN"/>
              </w:rPr>
            </w:pPr>
            <w:r>
              <w:rPr>
                <w:rFonts w:hint="eastAsia" w:ascii="Times New Roman Regular" w:hAnsi="Times New Roman Regular" w:cs="Times New Roman Regular"/>
                <w:lang w:val="en-US" w:eastAsia="zh-CN"/>
              </w:rPr>
              <w:t>b）有效期届满的，</w:t>
            </w:r>
            <w:r>
              <w:rPr>
                <w:rFonts w:hint="eastAsia" w:ascii="Times New Roman Regular" w:hAnsi="Times New Roman Regular" w:cs="Times New Roman Regular"/>
                <w:kern w:val="0"/>
                <w:sz w:val="21"/>
                <w:szCs w:val="20"/>
                <w:lang w:val="en-US" w:eastAsia="zh-CN" w:bidi="ar-SA"/>
              </w:rPr>
              <w:t>关闭</w:t>
            </w:r>
            <w:r>
              <w:rPr>
                <w:rFonts w:hint="eastAsia" w:ascii="Times New Roman Regular" w:hAnsi="Times New Roman Regular" w:cs="Times New Roman Regular"/>
                <w:lang w:val="en-US" w:eastAsia="zh-CN"/>
              </w:rPr>
              <w:t>电子标志牌的显示信息</w:t>
            </w:r>
            <w:r>
              <w:rPr>
                <w:rFonts w:hint="eastAsia" w:ascii="Times New Roman Regular" w:hAnsi="Times New Roman Regular" w:cs="Times New Roman Regular"/>
                <w:kern w:val="0"/>
                <w:sz w:val="21"/>
                <w:szCs w:val="20"/>
                <w:lang w:val="en-US" w:eastAsia="zh-CN" w:bidi="ar-SA"/>
              </w:rPr>
              <w:t>。</w:t>
            </w:r>
          </w:p>
        </w:tc>
        <w:tc>
          <w:tcPr>
            <w:tcW w:w="4026" w:type="dxa"/>
          </w:tcPr>
          <w:p w14:paraId="3E3DA148">
            <w:pPr>
              <w:pStyle w:val="20"/>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eastAsia" w:ascii="Times New Roman Regular" w:hAnsi="Times New Roman Regular" w:eastAsia="宋体" w:cs="Times New Roman Regular"/>
                <w:kern w:val="0"/>
                <w:sz w:val="21"/>
                <w:szCs w:val="20"/>
                <w:lang w:val="en-US" w:eastAsia="zh-CN" w:bidi="ar-SA"/>
              </w:rPr>
            </w:pPr>
            <w:r>
              <w:rPr>
                <w:rFonts w:hint="eastAsia" w:ascii="Times New Roman Regular" w:hAnsi="Times New Roman Regular" w:cs="Times New Roman Regular"/>
                <w:lang w:val="en-US" w:eastAsia="zh-CN"/>
              </w:rPr>
              <w:t>本条属于本文件创新</w:t>
            </w:r>
            <w:r>
              <w:rPr>
                <w:rFonts w:hint="eastAsia" w:ascii="Times New Roman Regular" w:hAnsi="Times New Roman Regular" w:cs="Times New Roman Regular"/>
                <w:kern w:val="0"/>
                <w:sz w:val="21"/>
                <w:szCs w:val="21"/>
                <w:lang w:val="en-US" w:eastAsia="zh-CN" w:bidi="ar-SA"/>
              </w:rPr>
              <w:t>起草</w:t>
            </w:r>
            <w:r>
              <w:rPr>
                <w:rFonts w:hint="eastAsia" w:ascii="Times New Roman Regular" w:hAnsi="Times New Roman Regular" w:cs="Times New Roman Regular"/>
                <w:lang w:val="en-US" w:eastAsia="zh-CN"/>
              </w:rPr>
              <w:t>。</w:t>
            </w:r>
            <w:r>
              <w:rPr>
                <w:rFonts w:hint="eastAsia" w:ascii="Times New Roman Regular" w:hAnsi="Times New Roman Regular" w:cs="Times New Roman Regular"/>
                <w:kern w:val="0"/>
                <w:sz w:val="21"/>
                <w:szCs w:val="20"/>
                <w:lang w:val="en-US" w:eastAsia="zh-CN" w:bidi="ar-SA"/>
              </w:rPr>
              <w:t>为了确保</w:t>
            </w:r>
            <w:r>
              <w:rPr>
                <w:rFonts w:hint="eastAsia" w:ascii="Times New Roman Regular" w:hAnsi="Times New Roman Regular" w:cs="Times New Roman Regular"/>
                <w:lang w:val="en-US" w:eastAsia="zh-CN"/>
              </w:rPr>
              <w:t>具体电子标志牌所显示信息的合法和有效性，规定电子标志牌管理系统要对处于开机状态的电子标志牌的显示信息进行在线有效性循环校验，循环周期为10min，当核验到显示信息的有效期已届满的，自动关闭电子标志牌的显示信息，停止信息显示。</w:t>
            </w:r>
          </w:p>
        </w:tc>
      </w:tr>
      <w:tr w14:paraId="223FE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4E162EBE">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7.3.1</w:t>
            </w:r>
          </w:p>
        </w:tc>
        <w:tc>
          <w:tcPr>
            <w:tcW w:w="3766" w:type="dxa"/>
          </w:tcPr>
          <w:p w14:paraId="17800D05">
            <w:pPr>
              <w:pStyle w:val="22"/>
              <w:keepNext w:val="0"/>
              <w:keepLines w:val="0"/>
              <w:pageBreakBefore w:val="0"/>
              <w:widowControl w:val="0"/>
              <w:numPr>
                <w:ilvl w:val="2"/>
                <w:numId w:val="0"/>
              </w:numPr>
              <w:kinsoku/>
              <w:wordWrap/>
              <w:overflowPunct/>
              <w:topLinePunct w:val="0"/>
              <w:bidi w:val="0"/>
              <w:adjustRightInd/>
              <w:snapToGrid/>
              <w:spacing w:before="0" w:beforeLines="0" w:after="0" w:afterLines="0" w:line="240" w:lineRule="auto"/>
              <w:ind w:leftChars="0"/>
              <w:textAlignment w:val="auto"/>
              <w:rPr>
                <w:rFonts w:hint="eastAsia" w:ascii="Times New Roman Regular" w:hAnsi="Times New Roman Regular" w:cs="Times New Roman Regular"/>
                <w:lang w:val="en-US" w:eastAsia="zh-CN"/>
              </w:rPr>
            </w:pPr>
            <w:bookmarkStart w:id="197" w:name="_Toc32361"/>
            <w:bookmarkStart w:id="198" w:name="_Toc6945"/>
            <w:bookmarkStart w:id="199" w:name="_Toc5173"/>
            <w:r>
              <w:rPr>
                <w:rFonts w:hint="eastAsia" w:ascii="Times New Roman Regular" w:hAnsi="Times New Roman Regular" w:cs="Times New Roman Regular"/>
                <w:lang w:val="en-US" w:eastAsia="zh-CN"/>
              </w:rPr>
              <w:t>7.3 信息查询</w:t>
            </w:r>
            <w:bookmarkEnd w:id="197"/>
            <w:bookmarkEnd w:id="198"/>
            <w:bookmarkEnd w:id="199"/>
          </w:p>
          <w:p w14:paraId="76253F59">
            <w:pPr>
              <w:pStyle w:val="20"/>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Times New Roman Regular" w:hAnsi="Times New Roman Regular" w:cs="Times New Roman Regular"/>
                <w:lang w:val="en-US" w:eastAsia="zh-CN"/>
              </w:rPr>
            </w:pPr>
            <w:bookmarkStart w:id="200" w:name="_Toc19528"/>
            <w:bookmarkStart w:id="201" w:name="_Toc28176"/>
            <w:bookmarkStart w:id="202" w:name="_Toc3895"/>
            <w:bookmarkStart w:id="203" w:name="_Toc31429"/>
            <w:bookmarkStart w:id="204" w:name="_Toc22971"/>
            <w:r>
              <w:rPr>
                <w:rFonts w:hint="eastAsia" w:ascii="Times New Roman Regular" w:hAnsi="Times New Roman Regular" w:cs="Times New Roman Regular"/>
                <w:lang w:val="en-US" w:eastAsia="zh-CN"/>
              </w:rPr>
              <w:t xml:space="preserve">7.3.1 </w:t>
            </w:r>
            <w:bookmarkEnd w:id="200"/>
            <w:r>
              <w:rPr>
                <w:rFonts w:hint="eastAsia" w:ascii="Times New Roman Regular" w:hAnsi="Times New Roman Regular" w:cs="Times New Roman Regular"/>
                <w:lang w:val="en-US" w:eastAsia="zh-CN"/>
              </w:rPr>
              <w:t>用手机、平板电脑等移动通信终端的摄像头扫描追溯二维码，可以使用电子标志牌管理系统的服务接口解析追溯二维码中承载的加密编码信息，获取客车担当的本运次道路客运相关追溯服务信息。</w:t>
            </w:r>
            <w:bookmarkEnd w:id="201"/>
            <w:r>
              <w:rPr>
                <w:rFonts w:hint="eastAsia" w:ascii="Times New Roman Regular" w:hAnsi="Times New Roman Regular" w:cs="Times New Roman Regular"/>
                <w:lang w:val="en-US" w:eastAsia="zh-CN"/>
              </w:rPr>
              <w:t>电子标志牌管理系统的接口与参数定义参见附录B。</w:t>
            </w:r>
            <w:bookmarkEnd w:id="202"/>
            <w:bookmarkEnd w:id="203"/>
            <w:bookmarkEnd w:id="204"/>
          </w:p>
        </w:tc>
        <w:tc>
          <w:tcPr>
            <w:tcW w:w="4026" w:type="dxa"/>
          </w:tcPr>
          <w:p w14:paraId="7A3C36C4">
            <w:pPr>
              <w:pStyle w:val="20"/>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eastAsia" w:ascii="Times New Roman Regular" w:hAnsi="Times New Roman Regular" w:eastAsia="宋体" w:cs="Times New Roman Regular"/>
                <w:kern w:val="0"/>
                <w:sz w:val="21"/>
                <w:szCs w:val="20"/>
                <w:lang w:val="en-US" w:eastAsia="zh-CN" w:bidi="ar-SA"/>
              </w:rPr>
            </w:pPr>
            <w:r>
              <w:rPr>
                <w:rFonts w:hint="eastAsia" w:ascii="Times New Roman Regular" w:hAnsi="Times New Roman Regular" w:cs="Times New Roman Regular"/>
                <w:lang w:val="en-US" w:eastAsia="zh-CN"/>
              </w:rPr>
              <w:t>本条属于本文件创新</w:t>
            </w:r>
            <w:r>
              <w:rPr>
                <w:rFonts w:hint="eastAsia" w:ascii="Times New Roman Regular" w:hAnsi="Times New Roman Regular" w:cs="Times New Roman Regular"/>
                <w:kern w:val="0"/>
                <w:sz w:val="21"/>
                <w:szCs w:val="21"/>
                <w:lang w:val="en-US" w:eastAsia="zh-CN" w:bidi="ar-SA"/>
              </w:rPr>
              <w:t>起草</w:t>
            </w:r>
            <w:r>
              <w:rPr>
                <w:rFonts w:hint="eastAsia" w:ascii="Times New Roman Regular" w:hAnsi="Times New Roman Regular" w:cs="Times New Roman Regular"/>
                <w:lang w:val="en-US" w:eastAsia="zh-CN"/>
              </w:rPr>
              <w:t>。</w:t>
            </w:r>
            <w:r>
              <w:rPr>
                <w:rFonts w:hint="eastAsia" w:ascii="Times New Roman Regular" w:hAnsi="Times New Roman Regular" w:cs="Times New Roman Regular"/>
                <w:kern w:val="0"/>
                <w:sz w:val="21"/>
                <w:szCs w:val="20"/>
                <w:lang w:val="en-US" w:eastAsia="zh-CN" w:bidi="ar-SA"/>
              </w:rPr>
              <w:t>为了方便交通运输综合执法人员和旅客查询客运车辆的道路客运信息，并核验信息的合法有效性，</w:t>
            </w:r>
            <w:r>
              <w:rPr>
                <w:rFonts w:hint="eastAsia" w:ascii="Times New Roman Regular" w:hAnsi="Times New Roman Regular" w:eastAsia="宋体" w:cs="Times New Roman Regular"/>
                <w:kern w:val="0"/>
                <w:sz w:val="21"/>
                <w:szCs w:val="20"/>
                <w:lang w:val="en-US" w:eastAsia="zh-CN" w:bidi="ar-SA"/>
              </w:rPr>
              <w:t>本条</w:t>
            </w:r>
            <w:r>
              <w:rPr>
                <w:rFonts w:hint="eastAsia" w:ascii="Times New Roman Regular" w:hAnsi="Times New Roman Regular" w:cs="Times New Roman Regular"/>
                <w:kern w:val="0"/>
                <w:sz w:val="21"/>
                <w:szCs w:val="20"/>
                <w:lang w:val="en-US" w:eastAsia="zh-CN" w:bidi="ar-SA"/>
              </w:rPr>
              <w:t>规定通过</w:t>
            </w:r>
            <w:r>
              <w:rPr>
                <w:rFonts w:hint="eastAsia" w:ascii="Times New Roman Regular" w:hAnsi="Times New Roman Regular" w:cs="Times New Roman Regular"/>
                <w:lang w:val="en-US" w:eastAsia="zh-CN"/>
              </w:rPr>
              <w:t>移动通信终端扫描电子标志牌上的追溯二维码，来从电子标志牌管理系统中获取相关</w:t>
            </w:r>
            <w:r>
              <w:rPr>
                <w:rFonts w:hint="eastAsia" w:ascii="Times New Roman Regular" w:hAnsi="Times New Roman Regular" w:cs="Times New Roman Regular"/>
                <w:kern w:val="0"/>
                <w:sz w:val="21"/>
                <w:szCs w:val="20"/>
                <w:lang w:val="en-US" w:eastAsia="zh-CN" w:bidi="ar-SA"/>
              </w:rPr>
              <w:t>道路客运</w:t>
            </w:r>
            <w:r>
              <w:rPr>
                <w:rFonts w:hint="eastAsia" w:ascii="Times New Roman Regular" w:hAnsi="Times New Roman Regular" w:cs="Times New Roman Regular"/>
                <w:lang w:val="en-US" w:eastAsia="zh-CN"/>
              </w:rPr>
              <w:t>信息的</w:t>
            </w:r>
            <w:r>
              <w:rPr>
                <w:rFonts w:hint="eastAsia" w:ascii="Times New Roman Regular" w:hAnsi="Times New Roman Regular" w:cs="Times New Roman Regular"/>
                <w:kern w:val="0"/>
                <w:sz w:val="21"/>
                <w:szCs w:val="20"/>
                <w:lang w:val="en-US" w:eastAsia="zh-CN" w:bidi="ar-SA"/>
              </w:rPr>
              <w:t>技术</w:t>
            </w:r>
            <w:r>
              <w:rPr>
                <w:rFonts w:hint="eastAsia" w:ascii="Times New Roman Regular" w:hAnsi="Times New Roman Regular" w:cs="Times New Roman Regular"/>
                <w:lang w:val="en-US" w:eastAsia="zh-CN"/>
              </w:rPr>
              <w:t>途径和</w:t>
            </w:r>
            <w:r>
              <w:rPr>
                <w:rFonts w:hint="eastAsia" w:ascii="Times New Roman Regular" w:hAnsi="Times New Roman Regular" w:cs="Times New Roman Regular"/>
                <w:kern w:val="0"/>
                <w:sz w:val="21"/>
                <w:szCs w:val="20"/>
                <w:lang w:val="en-US" w:eastAsia="zh-CN" w:bidi="ar-SA"/>
              </w:rPr>
              <w:t>要求</w:t>
            </w:r>
            <w:r>
              <w:rPr>
                <w:rFonts w:hint="eastAsia" w:ascii="Times New Roman Regular" w:hAnsi="Times New Roman Regular" w:cs="Times New Roman Regular"/>
                <w:lang w:val="en-US" w:eastAsia="zh-CN"/>
              </w:rPr>
              <w:t>。</w:t>
            </w:r>
          </w:p>
        </w:tc>
      </w:tr>
      <w:tr w14:paraId="15103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6B594EAE">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7.3.2</w:t>
            </w:r>
          </w:p>
        </w:tc>
        <w:tc>
          <w:tcPr>
            <w:tcW w:w="3766" w:type="dxa"/>
          </w:tcPr>
          <w:p w14:paraId="6BDBACD9">
            <w:pPr>
              <w:pStyle w:val="20"/>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Times New Roman Regular" w:hAnsi="Times New Roman Regular" w:cs="Times New Roman Regular"/>
                <w:lang w:val="en-US" w:eastAsia="zh-CN"/>
              </w:rPr>
            </w:pPr>
            <w:r>
              <w:rPr>
                <w:rFonts w:hint="eastAsia" w:ascii="Times New Roman Regular" w:hAnsi="Times New Roman Regular" w:cs="Times New Roman Regular"/>
                <w:lang w:val="en-US" w:eastAsia="zh-CN"/>
              </w:rPr>
              <w:t>7.3.2 电子标志牌管理系统根据用户数据库，对扫描追溯二维码信息的用户进行身份校验，其中：</w:t>
            </w:r>
          </w:p>
          <w:p w14:paraId="56372480">
            <w:pPr>
              <w:pStyle w:val="20"/>
              <w:keepNext w:val="0"/>
              <w:keepLines w:val="0"/>
              <w:pageBreakBefore w:val="0"/>
              <w:widowControl w:val="0"/>
              <w:kinsoku/>
              <w:wordWrap/>
              <w:overflowPunct/>
              <w:topLinePunct w:val="0"/>
              <w:autoSpaceDE w:val="0"/>
              <w:autoSpaceDN w:val="0"/>
              <w:bidi w:val="0"/>
              <w:adjustRightInd/>
              <w:snapToGrid/>
              <w:spacing w:line="240" w:lineRule="auto"/>
              <w:ind w:left="0" w:leftChars="0" w:firstLine="420" w:firstLineChars="200"/>
              <w:textAlignment w:val="auto"/>
              <w:rPr>
                <w:rFonts w:hint="eastAsia" w:ascii="Times New Roman Regular" w:hAnsi="Times New Roman Regular" w:cs="Times New Roman Regular"/>
                <w:lang w:val="en-US" w:eastAsia="zh-CN"/>
              </w:rPr>
            </w:pPr>
            <w:bookmarkStart w:id="205" w:name="_Toc28009"/>
            <w:bookmarkStart w:id="206" w:name="_Toc17547"/>
            <w:r>
              <w:rPr>
                <w:rFonts w:hint="eastAsia" w:ascii="Times New Roman Regular" w:hAnsi="Times New Roman Regular" w:cs="Times New Roman Regular"/>
                <w:lang w:val="en-US" w:eastAsia="zh-CN"/>
              </w:rPr>
              <w:t>a）校验通过的，可以完整获取客车担当的本运次道路客运经营信息；</w:t>
            </w:r>
            <w:bookmarkEnd w:id="205"/>
            <w:bookmarkEnd w:id="206"/>
          </w:p>
          <w:p w14:paraId="790404AB">
            <w:pPr>
              <w:pStyle w:val="20"/>
              <w:keepNext w:val="0"/>
              <w:keepLines w:val="0"/>
              <w:pageBreakBefore w:val="0"/>
              <w:widowControl w:val="0"/>
              <w:kinsoku/>
              <w:wordWrap/>
              <w:overflowPunct/>
              <w:topLinePunct w:val="0"/>
              <w:autoSpaceDE w:val="0"/>
              <w:autoSpaceDN w:val="0"/>
              <w:bidi w:val="0"/>
              <w:adjustRightInd/>
              <w:snapToGrid/>
              <w:spacing w:line="240" w:lineRule="auto"/>
              <w:ind w:left="0" w:leftChars="0" w:firstLine="420" w:firstLineChars="200"/>
              <w:textAlignment w:val="auto"/>
              <w:rPr>
                <w:rFonts w:hint="eastAsia" w:ascii="Times New Roman Regular" w:hAnsi="Times New Roman Regular" w:cs="Times New Roman Regular"/>
                <w:lang w:val="en-US" w:eastAsia="zh-CN"/>
              </w:rPr>
            </w:pPr>
            <w:r>
              <w:rPr>
                <w:rFonts w:hint="eastAsia" w:ascii="Times New Roman Regular" w:hAnsi="Times New Roman Regular" w:cs="Times New Roman Regular"/>
                <w:lang w:val="en-US" w:eastAsia="zh-CN"/>
              </w:rPr>
              <w:t>b）校验未通过的，只能获取客车担当的本运次车辆号码、驾驶人姓名、客运类型、起讫地及客运站点、中途停靠地客运站点等公开信息。</w:t>
            </w:r>
          </w:p>
        </w:tc>
        <w:tc>
          <w:tcPr>
            <w:tcW w:w="4026" w:type="dxa"/>
          </w:tcPr>
          <w:p w14:paraId="75882251">
            <w:pPr>
              <w:pStyle w:val="20"/>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eastAsia" w:ascii="Times New Roman Regular" w:hAnsi="Times New Roman Regular" w:eastAsia="宋体" w:cs="Times New Roman Regular"/>
                <w:kern w:val="0"/>
                <w:sz w:val="21"/>
                <w:szCs w:val="20"/>
                <w:lang w:val="en-US" w:eastAsia="zh-CN" w:bidi="ar-SA"/>
              </w:rPr>
            </w:pPr>
            <w:r>
              <w:rPr>
                <w:rFonts w:hint="eastAsia" w:ascii="Times New Roman Regular" w:hAnsi="Times New Roman Regular" w:cs="Times New Roman Regular"/>
                <w:lang w:val="en-US" w:eastAsia="zh-CN"/>
              </w:rPr>
              <w:t>本条属于本文件创新</w:t>
            </w:r>
            <w:r>
              <w:rPr>
                <w:rFonts w:hint="eastAsia" w:ascii="Times New Roman Regular" w:hAnsi="Times New Roman Regular" w:cs="Times New Roman Regular"/>
                <w:kern w:val="0"/>
                <w:sz w:val="21"/>
                <w:szCs w:val="21"/>
                <w:lang w:val="en-US" w:eastAsia="zh-CN" w:bidi="ar-SA"/>
              </w:rPr>
              <w:t>起草</w:t>
            </w:r>
            <w:r>
              <w:rPr>
                <w:rFonts w:hint="eastAsia" w:ascii="Times New Roman Regular" w:hAnsi="Times New Roman Regular" w:cs="Times New Roman Regular"/>
                <w:lang w:val="en-US" w:eastAsia="zh-CN"/>
              </w:rPr>
              <w:t>。</w:t>
            </w:r>
            <w:r>
              <w:rPr>
                <w:rFonts w:hint="eastAsia" w:ascii="Times New Roman Regular" w:hAnsi="Times New Roman Regular" w:cs="Times New Roman Regular"/>
                <w:kern w:val="0"/>
                <w:sz w:val="21"/>
                <w:szCs w:val="20"/>
                <w:lang w:val="en-US" w:eastAsia="zh-CN" w:bidi="ar-SA"/>
              </w:rPr>
              <w:t>主要针对交通运输综合执法人员和普通旅客等不同主体对查询道路客运信息的目的和用途不同，对于</w:t>
            </w:r>
            <w:r>
              <w:rPr>
                <w:rFonts w:hint="eastAsia" w:ascii="Times New Roman Regular" w:hAnsi="Times New Roman Regular" w:cs="Times New Roman Regular"/>
                <w:lang w:val="en-US" w:eastAsia="zh-CN"/>
              </w:rPr>
              <w:t>扫描追溯二维码查询相关服务信息的主体，根据其</w:t>
            </w:r>
            <w:r>
              <w:rPr>
                <w:rFonts w:hint="eastAsia" w:ascii="Times New Roman Regular" w:hAnsi="Times New Roman Regular" w:cs="Times New Roman Regular"/>
                <w:kern w:val="0"/>
                <w:sz w:val="21"/>
                <w:szCs w:val="20"/>
                <w:lang w:val="en-US" w:eastAsia="zh-CN" w:bidi="ar-SA"/>
              </w:rPr>
              <w:t>是否属于按规定已进行了注册的用户，分别赋予不同的信息查询权限。</w:t>
            </w:r>
          </w:p>
        </w:tc>
      </w:tr>
      <w:tr w14:paraId="403D4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3329E85A">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7.4.1</w:t>
            </w:r>
          </w:p>
        </w:tc>
        <w:tc>
          <w:tcPr>
            <w:tcW w:w="3766" w:type="dxa"/>
          </w:tcPr>
          <w:p w14:paraId="5C582FCB">
            <w:pPr>
              <w:pStyle w:val="22"/>
              <w:keepNext w:val="0"/>
              <w:keepLines w:val="0"/>
              <w:pageBreakBefore w:val="0"/>
              <w:widowControl w:val="0"/>
              <w:numPr>
                <w:ilvl w:val="2"/>
                <w:numId w:val="0"/>
              </w:numPr>
              <w:kinsoku/>
              <w:wordWrap/>
              <w:overflowPunct/>
              <w:topLinePunct w:val="0"/>
              <w:bidi w:val="0"/>
              <w:adjustRightInd/>
              <w:snapToGrid/>
              <w:spacing w:before="0" w:beforeLines="0" w:after="0" w:afterLines="0" w:line="240" w:lineRule="auto"/>
              <w:ind w:leftChars="0"/>
              <w:textAlignment w:val="auto"/>
              <w:rPr>
                <w:rFonts w:hint="eastAsia" w:ascii="Times New Roman Regular" w:hAnsi="Times New Roman Regular" w:cs="Times New Roman Regular"/>
                <w:lang w:val="en-US" w:eastAsia="zh-CN"/>
              </w:rPr>
            </w:pPr>
            <w:r>
              <w:rPr>
                <w:rFonts w:hint="eastAsia" w:ascii="Times New Roman Regular" w:hAnsi="Times New Roman Regular" w:cs="Times New Roman Regular"/>
                <w:lang w:val="en-US" w:eastAsia="zh-CN"/>
              </w:rPr>
              <w:t>7.4 数据安全</w:t>
            </w:r>
          </w:p>
          <w:p w14:paraId="49C4D1D5">
            <w:pPr>
              <w:pStyle w:val="20"/>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Times New Roman Regular" w:hAnsi="Times New Roman Regular" w:cs="Times New Roman Regular"/>
                <w:lang w:val="en-US" w:eastAsia="zh-CN"/>
              </w:rPr>
            </w:pPr>
            <w:r>
              <w:rPr>
                <w:rFonts w:hint="eastAsia" w:ascii="Times New Roman Regular" w:hAnsi="Times New Roman Regular" w:cs="Times New Roman Regular"/>
                <w:lang w:val="en-US" w:eastAsia="zh-CN"/>
              </w:rPr>
              <w:t>7.4.1 电子标志牌管理系统应对传输数据进行加密，加密机制应符合</w:t>
            </w:r>
            <w:r>
              <w:rPr>
                <w:rFonts w:hint="default" w:ascii="Times New Roman Regular" w:hAnsi="Times New Roman Regular" w:cs="Times New Roman Regular"/>
                <w:lang w:val="en-US" w:eastAsia="zh-CN"/>
              </w:rPr>
              <w:t>GB/T 40684</w:t>
            </w:r>
            <w:r>
              <w:rPr>
                <w:rFonts w:hint="eastAsia" w:ascii="Times New Roman Regular" w:hAnsi="Times New Roman Regular" w:cs="Times New Roman Regular"/>
                <w:lang w:val="en-US" w:eastAsia="zh-CN"/>
              </w:rPr>
              <w:t>和</w:t>
            </w:r>
            <w:r>
              <w:rPr>
                <w:rFonts w:hint="default" w:ascii="Times New Roman Regular" w:hAnsi="Times New Roman Regular" w:cs="Times New Roman Regular"/>
                <w:lang w:val="en-US" w:eastAsia="zh-CN"/>
              </w:rPr>
              <w:t>GB/T 41239</w:t>
            </w:r>
            <w:r>
              <w:rPr>
                <w:rFonts w:hint="eastAsia" w:ascii="Times New Roman Regular" w:hAnsi="Times New Roman Regular" w:cs="Times New Roman Regular"/>
                <w:lang w:val="en-US" w:eastAsia="zh-CN"/>
              </w:rPr>
              <w:t>的规定。</w:t>
            </w:r>
          </w:p>
        </w:tc>
        <w:tc>
          <w:tcPr>
            <w:tcW w:w="4026" w:type="dxa"/>
          </w:tcPr>
          <w:p w14:paraId="6545D114">
            <w:pPr>
              <w:pStyle w:val="20"/>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default" w:ascii="Times New Roman Regular" w:hAnsi="Times New Roman Regular" w:eastAsia="宋体" w:cs="Times New Roman Regular"/>
                <w:kern w:val="0"/>
                <w:sz w:val="21"/>
                <w:szCs w:val="20"/>
                <w:lang w:val="en-US" w:eastAsia="zh-CN" w:bidi="ar-SA"/>
              </w:rPr>
            </w:pPr>
            <w:r>
              <w:rPr>
                <w:rFonts w:hint="eastAsia" w:ascii="Times New Roman Regular" w:hAnsi="Times New Roman Regular" w:eastAsia="宋体" w:cs="Times New Roman Regular"/>
                <w:kern w:val="0"/>
                <w:sz w:val="21"/>
                <w:szCs w:val="20"/>
                <w:lang w:val="en-US" w:eastAsia="zh-CN" w:bidi="ar-SA"/>
              </w:rPr>
              <w:t>本条主要</w:t>
            </w:r>
            <w:r>
              <w:rPr>
                <w:rFonts w:hint="eastAsia" w:ascii="Times New Roman Regular" w:hAnsi="Times New Roman Regular" w:cs="Times New Roman Regular"/>
                <w:kern w:val="0"/>
                <w:sz w:val="21"/>
                <w:szCs w:val="20"/>
                <w:lang w:val="en-US" w:eastAsia="zh-CN" w:bidi="ar-SA"/>
              </w:rPr>
              <w:t>针对</w:t>
            </w:r>
            <w:r>
              <w:rPr>
                <w:rFonts w:hint="eastAsia" w:ascii="Times New Roman Regular" w:hAnsi="Times New Roman Regular" w:cs="Times New Roman Regular"/>
                <w:lang w:val="en-US" w:eastAsia="zh-CN"/>
              </w:rPr>
              <w:t>电子标志牌</w:t>
            </w:r>
            <w:r>
              <w:rPr>
                <w:rFonts w:hint="eastAsia" w:ascii="Times New Roman Regular" w:hAnsi="Times New Roman Regular" w:cs="Times New Roman Regular"/>
                <w:kern w:val="0"/>
                <w:sz w:val="21"/>
                <w:szCs w:val="20"/>
                <w:lang w:val="en-US" w:eastAsia="zh-CN" w:bidi="ar-SA"/>
              </w:rPr>
              <w:t>客运信息</w:t>
            </w:r>
            <w:r>
              <w:rPr>
                <w:rFonts w:hint="eastAsia" w:ascii="Times New Roman Regular" w:hAnsi="Times New Roman Regular" w:cs="Times New Roman Regular"/>
                <w:lang w:val="en-US" w:eastAsia="zh-CN"/>
              </w:rPr>
              <w:t>的安全问题，防止被篡改、盗用和滥用，要求对其传输数据进行加密。相关加密机制要求直接引用</w:t>
            </w:r>
            <w:r>
              <w:rPr>
                <w:rFonts w:hint="default" w:ascii="Times New Roman Regular" w:hAnsi="Times New Roman Regular" w:cs="Times New Roman Regular"/>
                <w:lang w:val="en-US" w:eastAsia="zh-CN"/>
              </w:rPr>
              <w:t>GB/T 40684</w:t>
            </w:r>
            <w:r>
              <w:rPr>
                <w:rFonts w:hint="eastAsia" w:ascii="Times New Roman Regular" w:hAnsi="Times New Roman Regular" w:cs="Times New Roman Regular"/>
                <w:lang w:val="en-US" w:eastAsia="zh-CN"/>
              </w:rPr>
              <w:t>和</w:t>
            </w:r>
            <w:r>
              <w:rPr>
                <w:rFonts w:hint="default" w:ascii="Times New Roman Regular" w:hAnsi="Times New Roman Regular" w:cs="Times New Roman Regular"/>
                <w:lang w:val="en-US" w:eastAsia="zh-CN"/>
              </w:rPr>
              <w:t>GB/T 41239</w:t>
            </w:r>
            <w:r>
              <w:rPr>
                <w:rFonts w:hint="eastAsia" w:ascii="Times New Roman Regular" w:hAnsi="Times New Roman Regular" w:cs="Times New Roman Regular"/>
                <w:lang w:val="en-US" w:eastAsia="zh-CN"/>
              </w:rPr>
              <w:t>的规定。</w:t>
            </w:r>
          </w:p>
        </w:tc>
      </w:tr>
      <w:tr w14:paraId="0CC70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272EE4E8">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7.4.2</w:t>
            </w:r>
          </w:p>
        </w:tc>
        <w:tc>
          <w:tcPr>
            <w:tcW w:w="3766" w:type="dxa"/>
          </w:tcPr>
          <w:p w14:paraId="0FB59448">
            <w:pPr>
              <w:pStyle w:val="20"/>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Times New Roman Regular" w:hAnsi="Times New Roman Regular" w:cs="Times New Roman Regular"/>
                <w:lang w:val="en-US" w:eastAsia="zh-CN"/>
              </w:rPr>
            </w:pPr>
            <w:r>
              <w:rPr>
                <w:rFonts w:hint="eastAsia" w:ascii="Times New Roman Regular" w:hAnsi="Times New Roman Regular" w:cs="Times New Roman Regular"/>
                <w:lang w:val="en-US" w:eastAsia="zh-CN"/>
              </w:rPr>
              <w:t>7.4.2 电子标志牌管理系统应对下行发布消息的电子标志牌和移动通信终端IP进行限制，只允许系统服务器IP发送下行消息。</w:t>
            </w:r>
          </w:p>
        </w:tc>
        <w:tc>
          <w:tcPr>
            <w:tcW w:w="4026" w:type="dxa"/>
          </w:tcPr>
          <w:p w14:paraId="7C7B8DE5">
            <w:pPr>
              <w:pStyle w:val="20"/>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eastAsia" w:ascii="Times New Roman Regular" w:hAnsi="Times New Roman Regular" w:eastAsia="宋体" w:cs="Times New Roman Regular"/>
                <w:kern w:val="0"/>
                <w:sz w:val="21"/>
                <w:szCs w:val="20"/>
                <w:lang w:val="en-US" w:eastAsia="zh-CN" w:bidi="ar-SA"/>
              </w:rPr>
            </w:pPr>
            <w:r>
              <w:rPr>
                <w:rFonts w:hint="eastAsia" w:ascii="Times New Roman Regular" w:hAnsi="Times New Roman Regular" w:cs="Times New Roman Regular"/>
                <w:lang w:val="en-US" w:eastAsia="zh-CN"/>
              </w:rPr>
              <w:t>本条属于本文件创新</w:t>
            </w:r>
            <w:r>
              <w:rPr>
                <w:rFonts w:hint="eastAsia" w:ascii="Times New Roman Regular" w:hAnsi="Times New Roman Regular" w:cs="Times New Roman Regular"/>
                <w:kern w:val="0"/>
                <w:sz w:val="21"/>
                <w:szCs w:val="21"/>
                <w:lang w:val="en-US" w:eastAsia="zh-CN" w:bidi="ar-SA"/>
              </w:rPr>
              <w:t>起草</w:t>
            </w:r>
            <w:r>
              <w:rPr>
                <w:rFonts w:hint="eastAsia" w:ascii="Times New Roman Regular" w:hAnsi="Times New Roman Regular" w:cs="Times New Roman Regular"/>
                <w:lang w:val="en-US" w:eastAsia="zh-CN"/>
              </w:rPr>
              <w:t>。</w:t>
            </w:r>
            <w:r>
              <w:rPr>
                <w:rFonts w:hint="eastAsia" w:ascii="Times New Roman Regular" w:hAnsi="Times New Roman Regular" w:eastAsia="宋体" w:cs="Times New Roman Regular"/>
                <w:kern w:val="0"/>
                <w:sz w:val="21"/>
                <w:szCs w:val="20"/>
                <w:lang w:val="en-US" w:eastAsia="zh-CN" w:bidi="ar-SA"/>
              </w:rPr>
              <w:t>主要</w:t>
            </w:r>
            <w:r>
              <w:rPr>
                <w:rFonts w:hint="eastAsia" w:ascii="Times New Roman Regular" w:hAnsi="Times New Roman Regular" w:cs="Times New Roman Regular"/>
                <w:kern w:val="0"/>
                <w:sz w:val="21"/>
                <w:szCs w:val="20"/>
                <w:lang w:val="en-US" w:eastAsia="zh-CN" w:bidi="ar-SA"/>
              </w:rPr>
              <w:t>针对</w:t>
            </w:r>
            <w:r>
              <w:rPr>
                <w:rFonts w:hint="eastAsia" w:ascii="Times New Roman Regular" w:hAnsi="Times New Roman Regular" w:cs="Times New Roman Regular"/>
                <w:lang w:val="en-US" w:eastAsia="zh-CN"/>
              </w:rPr>
              <w:t>电子标志牌</w:t>
            </w:r>
            <w:r>
              <w:rPr>
                <w:rFonts w:hint="eastAsia" w:ascii="Times New Roman Regular" w:hAnsi="Times New Roman Regular" w:cs="Times New Roman Regular"/>
                <w:kern w:val="0"/>
                <w:sz w:val="21"/>
                <w:szCs w:val="20"/>
                <w:lang w:val="en-US" w:eastAsia="zh-CN" w:bidi="ar-SA"/>
              </w:rPr>
              <w:t>客运信息</w:t>
            </w:r>
            <w:r>
              <w:rPr>
                <w:rFonts w:hint="eastAsia" w:ascii="Times New Roman Regular" w:hAnsi="Times New Roman Regular" w:cs="Times New Roman Regular"/>
                <w:lang w:val="en-US" w:eastAsia="zh-CN"/>
              </w:rPr>
              <w:t>的安全问题，对下行发布消息的权限进行限制，只允许系统服务器IP发送下行消息。</w:t>
            </w:r>
          </w:p>
        </w:tc>
      </w:tr>
      <w:tr w14:paraId="48EDC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1AF7AED3">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7.4.3</w:t>
            </w:r>
          </w:p>
        </w:tc>
        <w:tc>
          <w:tcPr>
            <w:tcW w:w="3766" w:type="dxa"/>
          </w:tcPr>
          <w:p w14:paraId="7ED33AEC">
            <w:pPr>
              <w:pStyle w:val="20"/>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eastAsia" w:ascii="Times New Roman Regular" w:hAnsi="Times New Roman Regular" w:cs="Times New Roman Regular"/>
                <w:lang w:val="en-US" w:eastAsia="zh-CN"/>
              </w:rPr>
            </w:pPr>
            <w:bookmarkStart w:id="207" w:name="_Toc4937"/>
            <w:bookmarkStart w:id="208" w:name="_Toc10226"/>
            <w:bookmarkStart w:id="209" w:name="_Toc5049"/>
            <w:r>
              <w:rPr>
                <w:rFonts w:hint="eastAsia" w:ascii="Times New Roman Regular" w:hAnsi="Times New Roman Regular" w:cs="Times New Roman Regular"/>
                <w:lang w:val="en-US" w:eastAsia="zh-CN"/>
              </w:rPr>
              <w:t>7.4.3 电子标志牌管理系统应对电子标志牌的登录请求进行IMEI合法性校验，对于在系统用户数据库中有IMEI码备案记录的响应登录成功；对于登录失败对象的后续消息予以忽略处理。</w:t>
            </w:r>
            <w:bookmarkEnd w:id="207"/>
            <w:bookmarkEnd w:id="208"/>
            <w:bookmarkEnd w:id="209"/>
          </w:p>
        </w:tc>
        <w:tc>
          <w:tcPr>
            <w:tcW w:w="4026" w:type="dxa"/>
          </w:tcPr>
          <w:p w14:paraId="4B300267">
            <w:pPr>
              <w:pStyle w:val="20"/>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eastAsia" w:ascii="Times New Roman Regular" w:hAnsi="Times New Roman Regular" w:eastAsia="宋体" w:cs="Times New Roman Regular"/>
                <w:kern w:val="0"/>
                <w:sz w:val="21"/>
                <w:szCs w:val="20"/>
                <w:lang w:val="en-US" w:eastAsia="zh-CN" w:bidi="ar-SA"/>
              </w:rPr>
            </w:pPr>
            <w:r>
              <w:rPr>
                <w:rFonts w:hint="eastAsia" w:ascii="Times New Roman Regular" w:hAnsi="Times New Roman Regular" w:eastAsia="宋体" w:cs="Times New Roman Regular"/>
                <w:kern w:val="0"/>
                <w:sz w:val="21"/>
                <w:szCs w:val="20"/>
                <w:lang w:val="en-US" w:eastAsia="zh-CN" w:bidi="ar-SA"/>
              </w:rPr>
              <w:t>本条主要</w:t>
            </w:r>
            <w:r>
              <w:rPr>
                <w:rFonts w:hint="eastAsia" w:ascii="Times New Roman Regular" w:hAnsi="Times New Roman Regular" w:cs="Times New Roman Regular"/>
                <w:kern w:val="0"/>
                <w:sz w:val="21"/>
                <w:szCs w:val="20"/>
                <w:lang w:val="en-US" w:eastAsia="zh-CN" w:bidi="ar-SA"/>
              </w:rPr>
              <w:t>针对</w:t>
            </w:r>
            <w:r>
              <w:rPr>
                <w:rFonts w:hint="eastAsia" w:ascii="Times New Roman Regular" w:hAnsi="Times New Roman Regular" w:cs="Times New Roman Regular"/>
                <w:lang w:val="en-US" w:eastAsia="zh-CN"/>
              </w:rPr>
              <w:t>电子标志牌与电子标志牌管理系统之间建立通讯连接过程</w:t>
            </w:r>
            <w:r>
              <w:rPr>
                <w:rFonts w:hint="eastAsia" w:ascii="Times New Roman Regular" w:hAnsi="Times New Roman Regular" w:cs="Times New Roman Regular"/>
                <w:kern w:val="0"/>
                <w:sz w:val="21"/>
                <w:szCs w:val="20"/>
                <w:lang w:val="en-US" w:eastAsia="zh-CN" w:bidi="ar-SA"/>
              </w:rPr>
              <w:t>的登录请求合法性校验问题</w:t>
            </w:r>
            <w:r>
              <w:rPr>
                <w:rFonts w:hint="eastAsia" w:ascii="Times New Roman Regular" w:hAnsi="Times New Roman Regular" w:cs="Times New Roman Regular"/>
                <w:lang w:val="en-US" w:eastAsia="zh-CN"/>
              </w:rPr>
              <w:t>，以标志牌</w:t>
            </w:r>
            <w:r>
              <w:rPr>
                <w:rFonts w:hint="eastAsia" w:ascii="Times New Roman Regular" w:hAnsi="Times New Roman Regular" w:cs="Times New Roman Regular"/>
                <w:kern w:val="0"/>
                <w:sz w:val="21"/>
                <w:szCs w:val="20"/>
                <w:lang w:val="en-US" w:eastAsia="zh-CN" w:bidi="ar-SA"/>
              </w:rPr>
              <w:t>的</w:t>
            </w:r>
            <w:r>
              <w:rPr>
                <w:rFonts w:hint="eastAsia" w:ascii="Times New Roman Regular" w:hAnsi="Times New Roman Regular" w:cs="Times New Roman Regular"/>
                <w:lang w:val="en-US" w:eastAsia="zh-CN"/>
              </w:rPr>
              <w:t>IMEI码作为校验依据，只允许已进行用户备案登记的标志牌与管理系统建立通讯连接。</w:t>
            </w:r>
          </w:p>
        </w:tc>
      </w:tr>
      <w:tr w14:paraId="295D9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27513878">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仿宋" w:hAnsi="仿宋" w:eastAsia="仿宋" w:cs="仿宋"/>
                <w:kern w:val="2"/>
                <w:sz w:val="21"/>
                <w:szCs w:val="21"/>
                <w:vertAlign w:val="baseline"/>
                <w:lang w:val="en-US" w:eastAsia="zh-CN" w:bidi="ar-SA"/>
              </w:rPr>
            </w:pPr>
            <w:r>
              <w:rPr>
                <w:rFonts w:hint="eastAsia" w:ascii="仿宋" w:hAnsi="仿宋" w:eastAsia="仿宋" w:cs="仿宋"/>
                <w:kern w:val="2"/>
                <w:sz w:val="21"/>
                <w:szCs w:val="21"/>
                <w:vertAlign w:val="baseline"/>
                <w:lang w:val="en-US" w:eastAsia="zh-CN" w:bidi="ar-SA"/>
              </w:rPr>
              <w:t>7.4.4</w:t>
            </w:r>
          </w:p>
        </w:tc>
        <w:tc>
          <w:tcPr>
            <w:tcW w:w="3766" w:type="dxa"/>
          </w:tcPr>
          <w:p w14:paraId="4C8A1009">
            <w:pPr>
              <w:pStyle w:val="20"/>
              <w:keepNext w:val="0"/>
              <w:keepLines w:val="0"/>
              <w:pageBreakBefore w:val="0"/>
              <w:widowControl/>
              <w:kinsoku/>
              <w:wordWrap/>
              <w:overflowPunct/>
              <w:topLinePunct w:val="0"/>
              <w:autoSpaceDE w:val="0"/>
              <w:autoSpaceDN w:val="0"/>
              <w:bidi w:val="0"/>
              <w:adjustRightInd/>
              <w:snapToGrid/>
              <w:spacing w:line="240" w:lineRule="auto"/>
              <w:ind w:left="0" w:leftChars="0" w:firstLine="0" w:firstLineChars="0"/>
              <w:textAlignment w:val="auto"/>
              <w:rPr>
                <w:rFonts w:hint="eastAsia" w:ascii="Times New Roman Regular" w:hAnsi="Times New Roman Regular" w:cs="Times New Roman Regular"/>
                <w:lang w:val="en-US" w:eastAsia="zh-CN"/>
              </w:rPr>
            </w:pPr>
            <w:r>
              <w:rPr>
                <w:rFonts w:hint="eastAsia" w:ascii="Times New Roman Regular" w:hAnsi="Times New Roman Regular" w:cs="Times New Roman Regular"/>
                <w:lang w:val="en-US" w:eastAsia="zh-CN"/>
              </w:rPr>
              <w:t>7.4.4 电子标志牌本地保存的显示信息数据，不能通过电子标志牌自身和外部设备进行改写和删除操作。</w:t>
            </w:r>
          </w:p>
        </w:tc>
        <w:tc>
          <w:tcPr>
            <w:tcW w:w="4026" w:type="dxa"/>
          </w:tcPr>
          <w:p w14:paraId="55CBFCAF">
            <w:pPr>
              <w:pStyle w:val="20"/>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eastAsia" w:ascii="Times New Roman Regular" w:hAnsi="Times New Roman Regular" w:eastAsia="宋体" w:cs="Times New Roman Regular"/>
                <w:kern w:val="0"/>
                <w:sz w:val="21"/>
                <w:szCs w:val="20"/>
                <w:lang w:val="en-US" w:eastAsia="zh-CN" w:bidi="ar-SA"/>
              </w:rPr>
            </w:pPr>
            <w:r>
              <w:rPr>
                <w:rFonts w:hint="eastAsia" w:ascii="Times New Roman Regular" w:hAnsi="Times New Roman Regular" w:cs="Times New Roman Regular"/>
                <w:lang w:val="en-US" w:eastAsia="zh-CN"/>
              </w:rPr>
              <w:t>本条属于本文件创新</w:t>
            </w:r>
            <w:r>
              <w:rPr>
                <w:rFonts w:hint="eastAsia" w:ascii="Times New Roman Regular" w:hAnsi="Times New Roman Regular" w:cs="Times New Roman Regular"/>
                <w:kern w:val="0"/>
                <w:sz w:val="21"/>
                <w:szCs w:val="21"/>
                <w:lang w:val="en-US" w:eastAsia="zh-CN" w:bidi="ar-SA"/>
              </w:rPr>
              <w:t>起草</w:t>
            </w:r>
            <w:r>
              <w:rPr>
                <w:rFonts w:hint="eastAsia" w:ascii="Times New Roman Regular" w:hAnsi="Times New Roman Regular" w:cs="Times New Roman Regular"/>
                <w:lang w:val="en-US" w:eastAsia="zh-CN"/>
              </w:rPr>
              <w:t>。</w:t>
            </w:r>
            <w:r>
              <w:rPr>
                <w:rFonts w:hint="eastAsia" w:ascii="Times New Roman Regular" w:hAnsi="Times New Roman Regular" w:eastAsia="宋体" w:cs="Times New Roman Regular"/>
                <w:kern w:val="0"/>
                <w:sz w:val="21"/>
                <w:szCs w:val="20"/>
                <w:lang w:val="en-US" w:eastAsia="zh-CN" w:bidi="ar-SA"/>
              </w:rPr>
              <w:t>主要</w:t>
            </w:r>
            <w:r>
              <w:rPr>
                <w:rFonts w:hint="eastAsia" w:ascii="Times New Roman Regular" w:hAnsi="Times New Roman Regular" w:cs="Times New Roman Regular"/>
                <w:kern w:val="0"/>
                <w:sz w:val="21"/>
                <w:szCs w:val="20"/>
                <w:lang w:val="en-US" w:eastAsia="zh-CN" w:bidi="ar-SA"/>
              </w:rPr>
              <w:t>针对已传输至具体</w:t>
            </w:r>
            <w:r>
              <w:rPr>
                <w:rFonts w:hint="eastAsia" w:ascii="Times New Roman Regular" w:hAnsi="Times New Roman Regular" w:cs="Times New Roman Regular"/>
                <w:lang w:val="en-US" w:eastAsia="zh-CN"/>
              </w:rPr>
              <w:t>电子标志牌本地保存的数据安全问题，为防止</w:t>
            </w:r>
            <w:r>
              <w:rPr>
                <w:rFonts w:hint="eastAsia" w:ascii="Times New Roman Regular" w:hAnsi="Times New Roman Regular" w:cs="Times New Roman Regular"/>
                <w:kern w:val="0"/>
                <w:sz w:val="21"/>
                <w:szCs w:val="20"/>
                <w:lang w:val="en-US" w:eastAsia="zh-CN" w:bidi="ar-SA"/>
              </w:rPr>
              <w:t>信息</w:t>
            </w:r>
            <w:r>
              <w:rPr>
                <w:rFonts w:hint="eastAsia" w:ascii="Times New Roman Regular" w:hAnsi="Times New Roman Regular" w:cs="Times New Roman Regular"/>
                <w:lang w:val="en-US" w:eastAsia="zh-CN"/>
              </w:rPr>
              <w:t>被篡改和盗用，不允许通过电子标志牌自身和外部设备对本地保存的数据进行改写和删除操作。</w:t>
            </w:r>
          </w:p>
        </w:tc>
      </w:tr>
    </w:tbl>
    <w:p w14:paraId="6CC73135">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textAlignment w:val="auto"/>
        <w:rPr>
          <w:rFonts w:hint="default" w:ascii="仿宋" w:hAnsi="仿宋" w:eastAsia="仿宋" w:cs="仿宋"/>
          <w:kern w:val="2"/>
          <w:sz w:val="30"/>
          <w:szCs w:val="30"/>
          <w:lang w:val="en-US" w:eastAsia="zh-CN" w:bidi="ar-SA"/>
        </w:rPr>
      </w:pPr>
    </w:p>
    <w:p w14:paraId="2D20823B">
      <w:pPr>
        <w:rPr>
          <w:rFonts w:hint="default" w:ascii="仿宋" w:hAnsi="仿宋" w:eastAsia="仿宋" w:cs="仿宋"/>
          <w:kern w:val="2"/>
          <w:sz w:val="30"/>
          <w:szCs w:val="30"/>
          <w:lang w:val="en-US" w:eastAsia="zh-CN" w:bidi="ar-SA"/>
        </w:rPr>
      </w:pPr>
      <w:r>
        <w:rPr>
          <w:rFonts w:hint="default" w:ascii="仿宋" w:hAnsi="仿宋" w:eastAsia="仿宋" w:cs="仿宋"/>
          <w:kern w:val="2"/>
          <w:sz w:val="30"/>
          <w:szCs w:val="30"/>
          <w:lang w:val="en-US" w:eastAsia="zh-CN" w:bidi="ar-SA"/>
        </w:rPr>
        <w:br w:type="page"/>
      </w:r>
    </w:p>
    <w:p w14:paraId="78FCB419">
      <w:pPr>
        <w:bidi w:val="0"/>
        <w:jc w:val="left"/>
        <w:rPr>
          <w:rFonts w:hint="default"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附件2：</w:t>
      </w:r>
    </w:p>
    <w:p w14:paraId="3F837865">
      <w:pPr>
        <w:bidi w:val="0"/>
        <w:jc w:val="center"/>
        <w:rPr>
          <w:rFonts w:hint="default" w:ascii="仿宋" w:hAnsi="仿宋" w:eastAsia="仿宋" w:cs="仿宋"/>
          <w:b/>
          <w:bCs/>
          <w:kern w:val="2"/>
          <w:sz w:val="30"/>
          <w:szCs w:val="30"/>
          <w:lang w:val="en-US" w:eastAsia="zh-CN" w:bidi="ar-SA"/>
        </w:rPr>
      </w:pPr>
      <w:r>
        <w:rPr>
          <w:rFonts w:hint="eastAsia" w:ascii="仿宋" w:hAnsi="仿宋" w:eastAsia="仿宋" w:cs="仿宋"/>
          <w:b/>
          <w:bCs/>
          <w:kern w:val="2"/>
          <w:sz w:val="30"/>
          <w:szCs w:val="30"/>
          <w:lang w:val="en-US" w:eastAsia="zh-CN" w:bidi="ar-SA"/>
        </w:rPr>
        <w:t>《道路客运电子标志牌管理规范》前期征求意见采纳情况</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5"/>
        <w:gridCol w:w="1686"/>
        <w:gridCol w:w="3474"/>
        <w:gridCol w:w="1320"/>
        <w:gridCol w:w="1267"/>
      </w:tblGrid>
      <w:tr w14:paraId="361FA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775" w:type="dxa"/>
            <w:vAlign w:val="center"/>
          </w:tcPr>
          <w:p w14:paraId="2CE15BA5">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序号</w:t>
            </w:r>
          </w:p>
        </w:tc>
        <w:tc>
          <w:tcPr>
            <w:tcW w:w="1686" w:type="dxa"/>
            <w:vAlign w:val="center"/>
          </w:tcPr>
          <w:p w14:paraId="7A5629E0">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意见单位</w:t>
            </w:r>
          </w:p>
        </w:tc>
        <w:tc>
          <w:tcPr>
            <w:tcW w:w="3474" w:type="dxa"/>
            <w:vAlign w:val="center"/>
          </w:tcPr>
          <w:p w14:paraId="1C2B2E40">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意见内容</w:t>
            </w:r>
          </w:p>
        </w:tc>
        <w:tc>
          <w:tcPr>
            <w:tcW w:w="1320" w:type="dxa"/>
            <w:vAlign w:val="center"/>
          </w:tcPr>
          <w:p w14:paraId="1C5AFD5C">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采纳情况</w:t>
            </w:r>
          </w:p>
        </w:tc>
        <w:tc>
          <w:tcPr>
            <w:tcW w:w="1267" w:type="dxa"/>
            <w:vAlign w:val="center"/>
          </w:tcPr>
          <w:p w14:paraId="15913662">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理由</w:t>
            </w:r>
          </w:p>
        </w:tc>
      </w:tr>
      <w:tr w14:paraId="57444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Merge w:val="restart"/>
            <w:vAlign w:val="center"/>
          </w:tcPr>
          <w:p w14:paraId="7BD39491">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宋体" w:hAnsi="宋体" w:eastAsia="宋体" w:cs="宋体"/>
                <w:color w:val="000000"/>
                <w:kern w:val="0"/>
                <w:sz w:val="24"/>
                <w:szCs w:val="24"/>
                <w:lang w:val="en-US" w:eastAsia="zh-CN" w:bidi="ar"/>
              </w:rPr>
            </w:pPr>
            <w:r>
              <w:rPr>
                <w:rFonts w:hint="eastAsia" w:hAnsi="宋体" w:cs="宋体"/>
                <w:color w:val="000000"/>
                <w:kern w:val="0"/>
                <w:sz w:val="24"/>
                <w:szCs w:val="24"/>
                <w:lang w:val="en-US" w:eastAsia="zh-CN" w:bidi="ar"/>
              </w:rPr>
              <w:t>1</w:t>
            </w:r>
          </w:p>
        </w:tc>
        <w:tc>
          <w:tcPr>
            <w:tcW w:w="1686" w:type="dxa"/>
            <w:vMerge w:val="restart"/>
          </w:tcPr>
          <w:p w14:paraId="6C5831F0">
            <w:pPr>
              <w:keepNext w:val="0"/>
              <w:keepLines w:val="0"/>
              <w:widowControl/>
              <w:suppressLineNumbers w:val="0"/>
              <w:jc w:val="left"/>
              <w:rPr>
                <w:rFonts w:hint="default"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绵阳市交通运输局道路运输管理处</w:t>
            </w:r>
          </w:p>
        </w:tc>
        <w:tc>
          <w:tcPr>
            <w:tcW w:w="3474" w:type="dxa"/>
          </w:tcPr>
          <w:p w14:paraId="1D18233A">
            <w:pPr>
              <w:keepNext w:val="0"/>
              <w:keepLines w:val="0"/>
              <w:widowControl/>
              <w:suppressLineNumbers w:val="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将6.4 a)修改为：班车客运中的一类客运班线简称“省际班线”、二类客运班线简称“市际班线”、三类客运班线简称“县际班线”、四类客运班线简称“毗邻县班线”或“县内班线”，属于加班车的相应简称为“省际加班”“市际加班”“县际加班”“毗邻县加班”“县内加班”，属于定制客运的相应简称为“省际定制”“市际定制”“县际定制”“毗邻县定制”“县内定制”。</w:t>
            </w:r>
          </w:p>
          <w:p w14:paraId="798B3B26">
            <w:pPr>
              <w:keepNext w:val="0"/>
              <w:keepLines w:val="0"/>
              <w:widowControl/>
              <w:suppressLineNumbers w:val="0"/>
              <w:jc w:val="left"/>
              <w:rPr>
                <w:rFonts w:hint="default" w:ascii="仿宋" w:hAnsi="仿宋" w:eastAsia="仿宋" w:cs="仿宋"/>
                <w:kern w:val="2"/>
                <w:sz w:val="30"/>
                <w:szCs w:val="30"/>
                <w:vertAlign w:val="baseline"/>
                <w:lang w:val="en-US" w:eastAsia="zh-CN" w:bidi="ar-SA"/>
              </w:rPr>
            </w:pPr>
            <w:r>
              <w:rPr>
                <w:rFonts w:hint="eastAsia" w:ascii="宋体" w:hAnsi="宋体" w:eastAsia="宋体" w:cs="宋体"/>
                <w:color w:val="000000"/>
                <w:kern w:val="0"/>
                <w:sz w:val="21"/>
                <w:szCs w:val="21"/>
                <w:lang w:val="en-US" w:eastAsia="zh-CN" w:bidi="ar"/>
              </w:rPr>
              <w:t>修改理由：客规规定四类班线为“县级行政区域内的客运班线或者毗邻县之间的客运班线。”</w:t>
            </w:r>
          </w:p>
        </w:tc>
        <w:tc>
          <w:tcPr>
            <w:tcW w:w="1320" w:type="dxa"/>
          </w:tcPr>
          <w:p w14:paraId="7A885783">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textAlignment w:val="auto"/>
              <w:rPr>
                <w:rFonts w:hint="default" w:ascii="仿宋" w:hAnsi="仿宋" w:eastAsia="仿宋" w:cs="仿宋"/>
                <w:kern w:val="2"/>
                <w:sz w:val="30"/>
                <w:szCs w:val="30"/>
                <w:vertAlign w:val="baseline"/>
                <w:lang w:val="en-US" w:eastAsia="zh-CN" w:bidi="ar-SA"/>
              </w:rPr>
            </w:pPr>
            <w:r>
              <w:rPr>
                <w:rFonts w:hint="eastAsia" w:ascii="宋体" w:hAnsi="宋体" w:eastAsia="宋体" w:cs="宋体"/>
                <w:color w:val="000000"/>
                <w:kern w:val="0"/>
                <w:sz w:val="21"/>
                <w:szCs w:val="21"/>
                <w:lang w:val="en-US" w:eastAsia="zh-CN" w:bidi="ar"/>
              </w:rPr>
              <w:t>采纳</w:t>
            </w:r>
            <w:r>
              <w:rPr>
                <w:rFonts w:hint="eastAsia" w:hAnsi="宋体" w:cs="宋体"/>
                <w:color w:val="000000"/>
                <w:kern w:val="0"/>
                <w:sz w:val="21"/>
                <w:szCs w:val="21"/>
                <w:lang w:val="en-US" w:eastAsia="zh-CN" w:bidi="ar"/>
              </w:rPr>
              <w:t>。对</w:t>
            </w:r>
            <w:r>
              <w:rPr>
                <w:rFonts w:hint="eastAsia" w:ascii="宋体" w:hAnsi="宋体" w:eastAsia="宋体" w:cs="宋体"/>
                <w:color w:val="000000"/>
                <w:kern w:val="0"/>
                <w:sz w:val="21"/>
                <w:szCs w:val="21"/>
                <w:lang w:val="en-US" w:eastAsia="zh-CN" w:bidi="ar"/>
              </w:rPr>
              <w:t>四类客运班线简称</w:t>
            </w:r>
            <w:r>
              <w:rPr>
                <w:rFonts w:hint="eastAsia" w:hAnsi="宋体" w:cs="宋体"/>
                <w:color w:val="000000"/>
                <w:kern w:val="0"/>
                <w:sz w:val="21"/>
                <w:szCs w:val="21"/>
                <w:lang w:val="en-US" w:eastAsia="zh-CN" w:bidi="ar"/>
              </w:rPr>
              <w:t>分为：</w:t>
            </w:r>
            <w:r>
              <w:rPr>
                <w:rFonts w:hint="eastAsia" w:ascii="宋体" w:hAnsi="宋体" w:eastAsia="宋体" w:cs="宋体"/>
                <w:color w:val="000000"/>
                <w:kern w:val="0"/>
                <w:sz w:val="21"/>
                <w:szCs w:val="21"/>
                <w:lang w:val="en-US" w:eastAsia="zh-CN" w:bidi="ar"/>
              </w:rPr>
              <w:t>“毗邻县班线”或“县内班线”</w:t>
            </w:r>
            <w:r>
              <w:rPr>
                <w:rFonts w:hint="eastAsia" w:hAnsi="宋体" w:cs="宋体"/>
                <w:color w:val="000000"/>
                <w:kern w:val="0"/>
                <w:sz w:val="21"/>
                <w:szCs w:val="21"/>
                <w:lang w:val="en-US" w:eastAsia="zh-CN" w:bidi="ar"/>
              </w:rPr>
              <w:t>。</w:t>
            </w:r>
          </w:p>
        </w:tc>
        <w:tc>
          <w:tcPr>
            <w:tcW w:w="1267" w:type="dxa"/>
          </w:tcPr>
          <w:p w14:paraId="7B102157">
            <w:pPr>
              <w:pStyle w:val="20"/>
              <w:keepNext w:val="0"/>
              <w:keepLines w:val="0"/>
              <w:pageBreakBefore w:val="0"/>
              <w:widowControl w:val="0"/>
              <w:kinsoku/>
              <w:wordWrap/>
              <w:overflowPunct/>
              <w:topLinePunct w:val="0"/>
              <w:autoSpaceDE w:val="0"/>
              <w:autoSpaceDN w:val="0"/>
              <w:bidi w:val="0"/>
              <w:adjustRightInd/>
              <w:snapToGrid/>
              <w:spacing w:line="400" w:lineRule="atLeast"/>
              <w:textAlignment w:val="auto"/>
              <w:rPr>
                <w:rFonts w:hint="default" w:ascii="仿宋" w:hAnsi="仿宋" w:eastAsia="仿宋" w:cs="仿宋"/>
                <w:kern w:val="2"/>
                <w:sz w:val="30"/>
                <w:szCs w:val="30"/>
                <w:vertAlign w:val="baseline"/>
                <w:lang w:val="en-US" w:eastAsia="zh-CN" w:bidi="ar-SA"/>
              </w:rPr>
            </w:pPr>
          </w:p>
        </w:tc>
      </w:tr>
      <w:tr w14:paraId="06EBA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Merge w:val="continue"/>
            <w:vAlign w:val="center"/>
          </w:tcPr>
          <w:p w14:paraId="0D9FB33A">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宋体" w:hAnsi="宋体" w:eastAsia="宋体" w:cs="宋体"/>
                <w:color w:val="000000"/>
                <w:kern w:val="0"/>
                <w:sz w:val="24"/>
                <w:szCs w:val="24"/>
                <w:lang w:val="en-US" w:eastAsia="zh-CN" w:bidi="ar"/>
              </w:rPr>
            </w:pPr>
          </w:p>
        </w:tc>
        <w:tc>
          <w:tcPr>
            <w:tcW w:w="1686" w:type="dxa"/>
            <w:vMerge w:val="continue"/>
          </w:tcPr>
          <w:p w14:paraId="6E23A947">
            <w:pPr>
              <w:keepNext w:val="0"/>
              <w:keepLines w:val="0"/>
              <w:widowControl/>
              <w:suppressLineNumbers w:val="0"/>
              <w:jc w:val="left"/>
              <w:rPr>
                <w:rFonts w:hint="default" w:ascii="宋体" w:hAnsi="宋体" w:eastAsia="宋体" w:cs="宋体"/>
                <w:color w:val="000000"/>
                <w:kern w:val="0"/>
                <w:sz w:val="21"/>
                <w:szCs w:val="21"/>
                <w:lang w:val="en-US" w:eastAsia="zh-CN" w:bidi="ar"/>
              </w:rPr>
            </w:pPr>
          </w:p>
        </w:tc>
        <w:tc>
          <w:tcPr>
            <w:tcW w:w="3474" w:type="dxa"/>
          </w:tcPr>
          <w:p w14:paraId="60CD7D90">
            <w:pPr>
              <w:keepNext w:val="0"/>
              <w:keepLines w:val="0"/>
              <w:widowControl/>
              <w:suppressLineNumbers w:val="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将6.4 b)修改为：包车客运的省际包车客运简称“省际包车”或“省际包车（旅游）”、省内包车客运简称“省内包车”或“省内包车（旅游）”。</w:t>
            </w:r>
          </w:p>
          <w:p w14:paraId="52037E3A">
            <w:pPr>
              <w:keepNext w:val="0"/>
              <w:keepLines w:val="0"/>
              <w:widowControl/>
              <w:suppressLineNumbers w:val="0"/>
              <w:jc w:val="left"/>
              <w:rPr>
                <w:rFonts w:hint="default" w:ascii="仿宋" w:hAnsi="仿宋" w:eastAsia="仿宋" w:cs="仿宋"/>
                <w:kern w:val="2"/>
                <w:sz w:val="30"/>
                <w:szCs w:val="30"/>
                <w:vertAlign w:val="baseline"/>
                <w:lang w:val="en-US" w:eastAsia="zh-CN" w:bidi="ar-SA"/>
              </w:rPr>
            </w:pPr>
            <w:r>
              <w:rPr>
                <w:rFonts w:hint="eastAsia" w:ascii="宋体" w:hAnsi="宋体" w:eastAsia="宋体" w:cs="宋体"/>
                <w:color w:val="000000"/>
                <w:kern w:val="0"/>
                <w:sz w:val="21"/>
                <w:szCs w:val="21"/>
                <w:lang w:val="en-US" w:eastAsia="zh-CN" w:bidi="ar"/>
              </w:rPr>
              <w:t>修改理由：客规规定“非定线旅游客运按照包车客运管理”修改后更便于理解。</w:t>
            </w:r>
          </w:p>
        </w:tc>
        <w:tc>
          <w:tcPr>
            <w:tcW w:w="1320" w:type="dxa"/>
          </w:tcPr>
          <w:p w14:paraId="4E24BCB7">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textAlignment w:val="auto"/>
              <w:rPr>
                <w:rFonts w:hint="default" w:ascii="仿宋" w:hAnsi="仿宋" w:eastAsia="仿宋" w:cs="仿宋"/>
                <w:kern w:val="2"/>
                <w:sz w:val="30"/>
                <w:szCs w:val="30"/>
                <w:vertAlign w:val="baseline"/>
                <w:lang w:val="en-US" w:eastAsia="zh-CN" w:bidi="ar-SA"/>
              </w:rPr>
            </w:pPr>
            <w:r>
              <w:rPr>
                <w:rFonts w:hint="eastAsia" w:hAnsi="宋体" w:cs="宋体"/>
                <w:color w:val="000000"/>
                <w:kern w:val="0"/>
                <w:sz w:val="21"/>
                <w:szCs w:val="21"/>
                <w:lang w:val="en-US" w:eastAsia="zh-CN" w:bidi="ar"/>
              </w:rPr>
              <w:t>未</w:t>
            </w:r>
            <w:r>
              <w:rPr>
                <w:rFonts w:hint="eastAsia" w:ascii="宋体" w:hAnsi="宋体" w:eastAsia="宋体" w:cs="宋体"/>
                <w:color w:val="000000"/>
                <w:kern w:val="0"/>
                <w:sz w:val="21"/>
                <w:szCs w:val="21"/>
                <w:lang w:val="en-US" w:eastAsia="zh-CN" w:bidi="ar"/>
              </w:rPr>
              <w:t>采纳</w:t>
            </w:r>
            <w:r>
              <w:rPr>
                <w:rFonts w:hint="eastAsia" w:hAnsi="宋体" w:cs="宋体"/>
                <w:color w:val="000000"/>
                <w:kern w:val="0"/>
                <w:sz w:val="21"/>
                <w:szCs w:val="21"/>
                <w:lang w:val="en-US" w:eastAsia="zh-CN" w:bidi="ar"/>
              </w:rPr>
              <w:t>。</w:t>
            </w:r>
          </w:p>
        </w:tc>
        <w:tc>
          <w:tcPr>
            <w:tcW w:w="1267" w:type="dxa"/>
          </w:tcPr>
          <w:p w14:paraId="71CAA6DA">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textAlignment w:val="auto"/>
              <w:rPr>
                <w:rFonts w:hint="default" w:ascii="仿宋" w:hAnsi="仿宋" w:eastAsia="仿宋" w:cs="仿宋"/>
                <w:kern w:val="2"/>
                <w:sz w:val="30"/>
                <w:szCs w:val="30"/>
                <w:vertAlign w:val="baseline"/>
                <w:lang w:val="en-US" w:eastAsia="zh-CN" w:bidi="ar-SA"/>
              </w:rPr>
            </w:pPr>
            <w:r>
              <w:rPr>
                <w:rFonts w:hint="eastAsia" w:hAnsi="宋体" w:cs="宋体"/>
                <w:color w:val="000000"/>
                <w:kern w:val="0"/>
                <w:sz w:val="21"/>
                <w:szCs w:val="21"/>
                <w:lang w:val="en-US" w:eastAsia="zh-CN" w:bidi="ar"/>
              </w:rPr>
              <w:t>不利于旅客理解，并且文字过多，不利于显示。</w:t>
            </w:r>
          </w:p>
        </w:tc>
      </w:tr>
      <w:tr w14:paraId="254AC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Merge w:val="continue"/>
            <w:vAlign w:val="center"/>
          </w:tcPr>
          <w:p w14:paraId="0CE3EE48">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宋体" w:hAnsi="宋体" w:eastAsia="宋体" w:cs="宋体"/>
                <w:color w:val="000000"/>
                <w:kern w:val="0"/>
                <w:sz w:val="24"/>
                <w:szCs w:val="24"/>
                <w:lang w:val="en-US" w:eastAsia="zh-CN" w:bidi="ar"/>
              </w:rPr>
            </w:pPr>
          </w:p>
        </w:tc>
        <w:tc>
          <w:tcPr>
            <w:tcW w:w="1686" w:type="dxa"/>
            <w:vMerge w:val="continue"/>
          </w:tcPr>
          <w:p w14:paraId="118ABD78">
            <w:pPr>
              <w:keepNext w:val="0"/>
              <w:keepLines w:val="0"/>
              <w:widowControl/>
              <w:suppressLineNumbers w:val="0"/>
              <w:jc w:val="left"/>
              <w:rPr>
                <w:rFonts w:hint="default" w:ascii="宋体" w:hAnsi="宋体" w:eastAsia="宋体" w:cs="宋体"/>
                <w:color w:val="000000"/>
                <w:kern w:val="0"/>
                <w:sz w:val="21"/>
                <w:szCs w:val="21"/>
                <w:lang w:val="en-US" w:eastAsia="zh-CN" w:bidi="ar"/>
              </w:rPr>
            </w:pPr>
          </w:p>
        </w:tc>
        <w:tc>
          <w:tcPr>
            <w:tcW w:w="3474" w:type="dxa"/>
          </w:tcPr>
          <w:p w14:paraId="54A71AA7">
            <w:pPr>
              <w:keepNext w:val="0"/>
              <w:keepLines w:val="0"/>
              <w:widowControl/>
              <w:suppressLineNumbers w:val="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将6.4 c)修改为：定线旅游客运简称“旅游班线”。</w:t>
            </w:r>
          </w:p>
          <w:p w14:paraId="24957B6D">
            <w:pPr>
              <w:keepNext w:val="0"/>
              <w:keepLines w:val="0"/>
              <w:widowControl/>
              <w:suppressLineNumbers w:val="0"/>
              <w:jc w:val="left"/>
              <w:rPr>
                <w:rFonts w:hint="default" w:ascii="仿宋" w:hAnsi="仿宋" w:eastAsia="仿宋" w:cs="仿宋"/>
                <w:kern w:val="2"/>
                <w:sz w:val="30"/>
                <w:szCs w:val="30"/>
                <w:vertAlign w:val="baseline"/>
                <w:lang w:val="en-US" w:eastAsia="zh-CN" w:bidi="ar-SA"/>
              </w:rPr>
            </w:pPr>
            <w:r>
              <w:rPr>
                <w:rFonts w:hint="eastAsia" w:ascii="宋体" w:hAnsi="宋体" w:eastAsia="宋体" w:cs="宋体"/>
                <w:color w:val="000000"/>
                <w:kern w:val="0"/>
                <w:sz w:val="21"/>
                <w:szCs w:val="21"/>
                <w:lang w:val="en-US" w:eastAsia="zh-CN" w:bidi="ar"/>
              </w:rPr>
              <w:t>修改理由：客规规定“定线旅游客运按照班车客运管理”，修改后更便于理解，同时删除非定线旅游客运简称“非定线旅游”的描述，归入前一项。</w:t>
            </w:r>
          </w:p>
        </w:tc>
        <w:tc>
          <w:tcPr>
            <w:tcW w:w="1320" w:type="dxa"/>
          </w:tcPr>
          <w:p w14:paraId="72E8B2E6">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textAlignment w:val="auto"/>
              <w:rPr>
                <w:rFonts w:hint="default" w:ascii="仿宋" w:hAnsi="仿宋" w:eastAsia="仿宋" w:cs="仿宋"/>
                <w:kern w:val="2"/>
                <w:sz w:val="30"/>
                <w:szCs w:val="30"/>
                <w:vertAlign w:val="baseline"/>
                <w:lang w:val="en-US" w:eastAsia="zh-CN" w:bidi="ar-SA"/>
              </w:rPr>
            </w:pPr>
            <w:r>
              <w:rPr>
                <w:rFonts w:hint="eastAsia" w:hAnsi="宋体" w:cs="宋体"/>
                <w:color w:val="000000"/>
                <w:kern w:val="0"/>
                <w:sz w:val="21"/>
                <w:szCs w:val="21"/>
                <w:lang w:val="en-US" w:eastAsia="zh-CN" w:bidi="ar"/>
              </w:rPr>
              <w:t>未</w:t>
            </w:r>
            <w:r>
              <w:rPr>
                <w:rFonts w:hint="eastAsia" w:ascii="宋体" w:hAnsi="宋体" w:eastAsia="宋体" w:cs="宋体"/>
                <w:color w:val="000000"/>
                <w:kern w:val="0"/>
                <w:sz w:val="21"/>
                <w:szCs w:val="21"/>
                <w:lang w:val="en-US" w:eastAsia="zh-CN" w:bidi="ar"/>
              </w:rPr>
              <w:t>采纳</w:t>
            </w:r>
            <w:r>
              <w:rPr>
                <w:rFonts w:hint="eastAsia" w:hAnsi="宋体" w:cs="宋体"/>
                <w:color w:val="000000"/>
                <w:kern w:val="0"/>
                <w:sz w:val="21"/>
                <w:szCs w:val="21"/>
                <w:lang w:val="en-US" w:eastAsia="zh-CN" w:bidi="ar"/>
              </w:rPr>
              <w:t>。</w:t>
            </w:r>
          </w:p>
        </w:tc>
        <w:tc>
          <w:tcPr>
            <w:tcW w:w="1267" w:type="dxa"/>
          </w:tcPr>
          <w:p w14:paraId="340F3D20">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textAlignment w:val="auto"/>
              <w:rPr>
                <w:rFonts w:hint="default" w:ascii="仿宋" w:hAnsi="仿宋" w:eastAsia="仿宋" w:cs="仿宋"/>
                <w:kern w:val="2"/>
                <w:sz w:val="30"/>
                <w:szCs w:val="30"/>
                <w:vertAlign w:val="baseline"/>
                <w:lang w:val="en-US" w:eastAsia="zh-CN" w:bidi="ar-SA"/>
              </w:rPr>
            </w:pPr>
            <w:r>
              <w:rPr>
                <w:rFonts w:hint="eastAsia" w:hAnsi="宋体" w:cs="宋体"/>
                <w:color w:val="000000"/>
                <w:kern w:val="0"/>
                <w:sz w:val="21"/>
                <w:szCs w:val="21"/>
                <w:lang w:val="en-US" w:eastAsia="zh-CN" w:bidi="ar"/>
              </w:rPr>
              <w:t>不利于旅客理解。</w:t>
            </w:r>
          </w:p>
        </w:tc>
      </w:tr>
      <w:tr w14:paraId="2E3BA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14:paraId="2A9EAA8E">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ascii="宋体" w:hAnsi="宋体" w:eastAsia="宋体" w:cs="宋体"/>
                <w:color w:val="000000"/>
                <w:kern w:val="0"/>
                <w:sz w:val="24"/>
                <w:szCs w:val="24"/>
                <w:lang w:val="en-US" w:eastAsia="zh-CN" w:bidi="ar"/>
              </w:rPr>
            </w:pPr>
            <w:r>
              <w:rPr>
                <w:rFonts w:hint="eastAsia" w:hAnsi="宋体" w:cs="宋体"/>
                <w:color w:val="000000"/>
                <w:kern w:val="0"/>
                <w:sz w:val="24"/>
                <w:szCs w:val="24"/>
                <w:lang w:val="en-US" w:eastAsia="zh-CN" w:bidi="ar"/>
              </w:rPr>
              <w:t>2</w:t>
            </w:r>
          </w:p>
        </w:tc>
        <w:tc>
          <w:tcPr>
            <w:tcW w:w="1686" w:type="dxa"/>
          </w:tcPr>
          <w:p w14:paraId="7AC10468">
            <w:pPr>
              <w:keepNext w:val="0"/>
              <w:keepLines w:val="0"/>
              <w:widowControl/>
              <w:suppressLineNumbers w:val="0"/>
              <w:jc w:val="left"/>
              <w:rPr>
                <w:rFonts w:hint="default"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重庆市万州汽车运输（集团）有限责任公司</w:t>
            </w:r>
          </w:p>
        </w:tc>
        <w:tc>
          <w:tcPr>
            <w:tcW w:w="3474" w:type="dxa"/>
          </w:tcPr>
          <w:p w14:paraId="12BB6E98">
            <w:pPr>
              <w:keepNext w:val="0"/>
              <w:keepLines w:val="0"/>
              <w:widowControl/>
              <w:suppressLineNumbers w:val="0"/>
              <w:jc w:val="left"/>
              <w:rPr>
                <w:rFonts w:hint="default"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将5.2修改为：</w:t>
            </w:r>
            <w:r>
              <w:rPr>
                <w:rFonts w:hint="default" w:ascii="宋体" w:hAnsi="宋体" w:eastAsia="宋体" w:cs="宋体"/>
                <w:color w:val="000000"/>
                <w:kern w:val="0"/>
                <w:sz w:val="21"/>
                <w:szCs w:val="21"/>
                <w:lang w:val="en-US" w:eastAsia="zh-CN" w:bidi="ar"/>
              </w:rPr>
              <w:t>电子标志牌应固定装设于客车前风窗正中央上方位置，显示屏正面朝向车辆前方。</w:t>
            </w:r>
          </w:p>
          <w:p w14:paraId="4028A85A">
            <w:pPr>
              <w:keepNext w:val="0"/>
              <w:keepLines w:val="0"/>
              <w:widowControl/>
              <w:suppressLineNumbers w:val="0"/>
              <w:jc w:val="left"/>
              <w:rPr>
                <w:rFonts w:hint="default"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修改理由：</w:t>
            </w:r>
            <w:r>
              <w:rPr>
                <w:rFonts w:hint="default" w:ascii="宋体" w:hAnsi="宋体" w:eastAsia="宋体" w:cs="宋体"/>
                <w:color w:val="000000"/>
                <w:kern w:val="0"/>
                <w:sz w:val="21"/>
                <w:szCs w:val="21"/>
                <w:lang w:val="en-US" w:eastAsia="zh-CN" w:bidi="ar"/>
              </w:rPr>
              <w:t>1.正中央上方更加美观</w:t>
            </w:r>
            <w:r>
              <w:rPr>
                <w:rFonts w:hint="eastAsia" w:ascii="宋体" w:hAnsi="宋体" w:eastAsia="宋体" w:cs="宋体"/>
                <w:color w:val="000000"/>
                <w:kern w:val="0"/>
                <w:sz w:val="21"/>
                <w:szCs w:val="21"/>
                <w:lang w:val="en-US" w:eastAsia="zh-CN" w:bidi="ar"/>
              </w:rPr>
              <w:t>；</w:t>
            </w:r>
            <w:r>
              <w:rPr>
                <w:rFonts w:hint="default" w:ascii="宋体" w:hAnsi="宋体" w:eastAsia="宋体" w:cs="宋体"/>
                <w:color w:val="000000"/>
                <w:kern w:val="0"/>
                <w:sz w:val="21"/>
                <w:szCs w:val="21"/>
                <w:lang w:val="en-US" w:eastAsia="zh-CN" w:bidi="ar"/>
              </w:rPr>
              <w:t>2. 不影响驾驶员视野，避免安全问题</w:t>
            </w:r>
            <w:r>
              <w:rPr>
                <w:rFonts w:hint="eastAsia" w:ascii="宋体" w:hAnsi="宋体" w:eastAsia="宋体" w:cs="宋体"/>
                <w:color w:val="000000"/>
                <w:kern w:val="0"/>
                <w:sz w:val="21"/>
                <w:szCs w:val="21"/>
                <w:lang w:val="en-US" w:eastAsia="zh-CN" w:bidi="ar"/>
              </w:rPr>
              <w:t>。</w:t>
            </w:r>
          </w:p>
        </w:tc>
        <w:tc>
          <w:tcPr>
            <w:tcW w:w="1320" w:type="dxa"/>
          </w:tcPr>
          <w:p w14:paraId="52533BDB">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left"/>
              <w:textAlignment w:val="auto"/>
              <w:rPr>
                <w:rFonts w:hint="default" w:ascii="仿宋" w:hAnsi="仿宋" w:eastAsia="仿宋" w:cs="仿宋"/>
                <w:kern w:val="2"/>
                <w:sz w:val="30"/>
                <w:szCs w:val="30"/>
                <w:vertAlign w:val="baseline"/>
                <w:lang w:val="en-US" w:eastAsia="zh-CN" w:bidi="ar-SA"/>
              </w:rPr>
            </w:pPr>
            <w:r>
              <w:rPr>
                <w:rFonts w:hint="eastAsia" w:ascii="宋体" w:hAnsi="宋体" w:eastAsia="宋体" w:cs="宋体"/>
                <w:color w:val="000000"/>
                <w:kern w:val="0"/>
                <w:sz w:val="21"/>
                <w:szCs w:val="21"/>
                <w:lang w:val="en-US" w:eastAsia="zh-CN" w:bidi="ar"/>
              </w:rPr>
              <w:t>未采纳。</w:t>
            </w:r>
          </w:p>
        </w:tc>
        <w:tc>
          <w:tcPr>
            <w:tcW w:w="1267" w:type="dxa"/>
          </w:tcPr>
          <w:p w14:paraId="0081D7BA">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textAlignment w:val="auto"/>
              <w:rPr>
                <w:rFonts w:hint="default" w:ascii="仿宋" w:hAnsi="仿宋" w:eastAsia="仿宋" w:cs="仿宋"/>
                <w:kern w:val="2"/>
                <w:sz w:val="30"/>
                <w:szCs w:val="30"/>
                <w:vertAlign w:val="baseline"/>
                <w:lang w:val="en-US" w:eastAsia="zh-CN" w:bidi="ar-SA"/>
              </w:rPr>
            </w:pPr>
            <w:r>
              <w:rPr>
                <w:rFonts w:hint="eastAsia" w:hAnsi="宋体" w:cs="宋体"/>
                <w:color w:val="000000"/>
                <w:kern w:val="0"/>
                <w:sz w:val="21"/>
                <w:szCs w:val="21"/>
                <w:lang w:val="en-US" w:eastAsia="zh-CN" w:bidi="ar"/>
              </w:rPr>
              <w:t>与传统</w:t>
            </w:r>
            <w:r>
              <w:rPr>
                <w:rFonts w:hint="eastAsia" w:ascii="宋体" w:hAnsi="宋体" w:eastAsia="宋体" w:cs="宋体"/>
                <w:color w:val="000000"/>
                <w:kern w:val="0"/>
                <w:sz w:val="21"/>
                <w:szCs w:val="21"/>
                <w:lang w:val="en-US" w:eastAsia="zh-CN" w:bidi="ar"/>
              </w:rPr>
              <w:t>标志牌放置不符</w:t>
            </w:r>
            <w:r>
              <w:rPr>
                <w:rFonts w:hint="eastAsia" w:hAnsi="宋体" w:cs="宋体"/>
                <w:color w:val="000000"/>
                <w:kern w:val="0"/>
                <w:sz w:val="21"/>
                <w:szCs w:val="21"/>
                <w:lang w:val="en-US" w:eastAsia="zh-CN" w:bidi="ar"/>
              </w:rPr>
              <w:t>，并且不便于对追溯二维码的扫码识别。</w:t>
            </w:r>
          </w:p>
        </w:tc>
      </w:tr>
      <w:tr w14:paraId="68DF4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14:paraId="2251C8E2">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hAnsi="宋体" w:cs="宋体"/>
                <w:color w:val="000000"/>
                <w:kern w:val="0"/>
                <w:sz w:val="24"/>
                <w:szCs w:val="24"/>
                <w:lang w:val="en-US" w:eastAsia="zh-CN" w:bidi="ar"/>
              </w:rPr>
            </w:pPr>
            <w:r>
              <w:rPr>
                <w:rFonts w:hint="eastAsia" w:hAnsi="宋体" w:cs="宋体"/>
                <w:color w:val="000000"/>
                <w:kern w:val="0"/>
                <w:sz w:val="24"/>
                <w:szCs w:val="24"/>
                <w:lang w:val="en-US" w:eastAsia="zh-CN" w:bidi="ar"/>
              </w:rPr>
              <w:t>3</w:t>
            </w:r>
          </w:p>
        </w:tc>
        <w:tc>
          <w:tcPr>
            <w:tcW w:w="1686" w:type="dxa"/>
          </w:tcPr>
          <w:p w14:paraId="193A933D">
            <w:pPr>
              <w:keepNext w:val="0"/>
              <w:keepLines w:val="0"/>
              <w:widowControl/>
              <w:suppressLineNumbers w:val="0"/>
              <w:jc w:val="left"/>
              <w:rPr>
                <w:rFonts w:hint="default"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成都鹏程运业集团有限公司</w:t>
            </w:r>
          </w:p>
        </w:tc>
        <w:tc>
          <w:tcPr>
            <w:tcW w:w="3474" w:type="dxa"/>
            <w:vAlign w:val="top"/>
          </w:tcPr>
          <w:p w14:paraId="5BC451C7">
            <w:pPr>
              <w:keepNext w:val="0"/>
              <w:keepLines w:val="0"/>
              <w:widowControl/>
              <w:suppressLineNumbers w:val="0"/>
              <w:jc w:val="left"/>
              <w:rPr>
                <w:rFonts w:hint="default"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无意见。</w:t>
            </w:r>
          </w:p>
        </w:tc>
        <w:tc>
          <w:tcPr>
            <w:tcW w:w="1320" w:type="dxa"/>
          </w:tcPr>
          <w:p w14:paraId="2A3D6F44">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left"/>
              <w:textAlignment w:val="auto"/>
              <w:rPr>
                <w:rFonts w:hint="eastAsia" w:ascii="宋体" w:hAnsi="宋体" w:eastAsia="宋体" w:cs="宋体"/>
                <w:color w:val="000000"/>
                <w:kern w:val="0"/>
                <w:sz w:val="21"/>
                <w:szCs w:val="21"/>
                <w:lang w:val="en-US" w:eastAsia="zh-CN" w:bidi="ar"/>
              </w:rPr>
            </w:pPr>
          </w:p>
        </w:tc>
        <w:tc>
          <w:tcPr>
            <w:tcW w:w="1267" w:type="dxa"/>
          </w:tcPr>
          <w:p w14:paraId="0E3044D1">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textAlignment w:val="auto"/>
              <w:rPr>
                <w:rFonts w:hint="eastAsia" w:hAnsi="宋体" w:cs="宋体"/>
                <w:color w:val="000000"/>
                <w:kern w:val="0"/>
                <w:sz w:val="21"/>
                <w:szCs w:val="21"/>
                <w:lang w:val="en-US" w:eastAsia="zh-CN" w:bidi="ar"/>
              </w:rPr>
            </w:pPr>
          </w:p>
        </w:tc>
      </w:tr>
      <w:tr w14:paraId="409A3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14:paraId="165350D4">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hAnsi="宋体" w:cs="宋体"/>
                <w:color w:val="000000"/>
                <w:kern w:val="0"/>
                <w:sz w:val="24"/>
                <w:szCs w:val="24"/>
                <w:lang w:val="en-US" w:eastAsia="zh-CN" w:bidi="ar"/>
              </w:rPr>
            </w:pPr>
            <w:r>
              <w:rPr>
                <w:rFonts w:hint="eastAsia" w:hAnsi="宋体" w:cs="宋体"/>
                <w:color w:val="000000"/>
                <w:kern w:val="0"/>
                <w:sz w:val="24"/>
                <w:szCs w:val="24"/>
                <w:lang w:val="en-US" w:eastAsia="zh-CN" w:bidi="ar"/>
              </w:rPr>
              <w:t>4</w:t>
            </w:r>
          </w:p>
        </w:tc>
        <w:tc>
          <w:tcPr>
            <w:tcW w:w="1686" w:type="dxa"/>
          </w:tcPr>
          <w:p w14:paraId="141442E8">
            <w:pPr>
              <w:keepNext w:val="0"/>
              <w:keepLines w:val="0"/>
              <w:widowControl/>
              <w:suppressLineNumbers w:val="0"/>
              <w:jc w:val="left"/>
              <w:rPr>
                <w:rFonts w:hint="default"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四川甘孜雅克运业有限责任公司</w:t>
            </w:r>
          </w:p>
        </w:tc>
        <w:tc>
          <w:tcPr>
            <w:tcW w:w="3474" w:type="dxa"/>
            <w:vAlign w:val="top"/>
          </w:tcPr>
          <w:p w14:paraId="03D6DF3A">
            <w:pPr>
              <w:keepNext w:val="0"/>
              <w:keepLines w:val="0"/>
              <w:widowControl/>
              <w:suppressLineNumbers w:val="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无意见。</w:t>
            </w:r>
          </w:p>
        </w:tc>
        <w:tc>
          <w:tcPr>
            <w:tcW w:w="1320" w:type="dxa"/>
          </w:tcPr>
          <w:p w14:paraId="4A98FA84">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left"/>
              <w:textAlignment w:val="auto"/>
              <w:rPr>
                <w:rFonts w:hint="eastAsia" w:ascii="宋体" w:hAnsi="宋体" w:eastAsia="宋体" w:cs="宋体"/>
                <w:color w:val="000000"/>
                <w:kern w:val="0"/>
                <w:sz w:val="21"/>
                <w:szCs w:val="21"/>
                <w:lang w:val="en-US" w:eastAsia="zh-CN" w:bidi="ar"/>
              </w:rPr>
            </w:pPr>
          </w:p>
        </w:tc>
        <w:tc>
          <w:tcPr>
            <w:tcW w:w="1267" w:type="dxa"/>
          </w:tcPr>
          <w:p w14:paraId="4994B154">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textAlignment w:val="auto"/>
              <w:rPr>
                <w:rFonts w:hint="eastAsia" w:hAnsi="宋体" w:cs="宋体"/>
                <w:color w:val="000000"/>
                <w:kern w:val="0"/>
                <w:sz w:val="21"/>
                <w:szCs w:val="21"/>
                <w:lang w:val="en-US" w:eastAsia="zh-CN" w:bidi="ar"/>
              </w:rPr>
            </w:pPr>
          </w:p>
        </w:tc>
      </w:tr>
      <w:tr w14:paraId="695CF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14:paraId="0FC233F2">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hAnsi="宋体" w:cs="宋体"/>
                <w:color w:val="000000"/>
                <w:kern w:val="0"/>
                <w:sz w:val="24"/>
                <w:szCs w:val="24"/>
                <w:lang w:val="en-US" w:eastAsia="zh-CN" w:bidi="ar"/>
              </w:rPr>
            </w:pPr>
            <w:r>
              <w:rPr>
                <w:rFonts w:hint="eastAsia" w:hAnsi="宋体" w:cs="宋体"/>
                <w:color w:val="000000"/>
                <w:kern w:val="0"/>
                <w:sz w:val="24"/>
                <w:szCs w:val="24"/>
                <w:lang w:val="en-US" w:eastAsia="zh-CN" w:bidi="ar"/>
              </w:rPr>
              <w:t>5</w:t>
            </w:r>
          </w:p>
        </w:tc>
        <w:tc>
          <w:tcPr>
            <w:tcW w:w="1686" w:type="dxa"/>
          </w:tcPr>
          <w:p w14:paraId="495CA451">
            <w:pPr>
              <w:keepNext w:val="0"/>
              <w:keepLines w:val="0"/>
              <w:widowControl/>
              <w:suppressLineNumbers w:val="0"/>
              <w:jc w:val="left"/>
              <w:rPr>
                <w:rFonts w:hint="default"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南充市道路运输事务中心</w:t>
            </w:r>
          </w:p>
        </w:tc>
        <w:tc>
          <w:tcPr>
            <w:tcW w:w="3474" w:type="dxa"/>
            <w:vAlign w:val="top"/>
          </w:tcPr>
          <w:p w14:paraId="7A5D26D3">
            <w:pPr>
              <w:keepNext w:val="0"/>
              <w:keepLines w:val="0"/>
              <w:widowControl/>
              <w:suppressLineNumbers w:val="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无意见。</w:t>
            </w:r>
          </w:p>
        </w:tc>
        <w:tc>
          <w:tcPr>
            <w:tcW w:w="1320" w:type="dxa"/>
          </w:tcPr>
          <w:p w14:paraId="441F8F59">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left"/>
              <w:textAlignment w:val="auto"/>
              <w:rPr>
                <w:rFonts w:hint="eastAsia" w:ascii="宋体" w:hAnsi="宋体" w:eastAsia="宋体" w:cs="宋体"/>
                <w:color w:val="000000"/>
                <w:kern w:val="0"/>
                <w:sz w:val="21"/>
                <w:szCs w:val="21"/>
                <w:lang w:val="en-US" w:eastAsia="zh-CN" w:bidi="ar"/>
              </w:rPr>
            </w:pPr>
          </w:p>
        </w:tc>
        <w:tc>
          <w:tcPr>
            <w:tcW w:w="1267" w:type="dxa"/>
          </w:tcPr>
          <w:p w14:paraId="28D774C0">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textAlignment w:val="auto"/>
              <w:rPr>
                <w:rFonts w:hint="eastAsia" w:hAnsi="宋体" w:cs="宋体"/>
                <w:color w:val="000000"/>
                <w:kern w:val="0"/>
                <w:sz w:val="21"/>
                <w:szCs w:val="21"/>
                <w:lang w:val="en-US" w:eastAsia="zh-CN" w:bidi="ar"/>
              </w:rPr>
            </w:pPr>
          </w:p>
        </w:tc>
      </w:tr>
      <w:tr w14:paraId="5BF4C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14:paraId="027F5AA6">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hAnsi="宋体" w:cs="宋体"/>
                <w:color w:val="000000"/>
                <w:kern w:val="0"/>
                <w:sz w:val="24"/>
                <w:szCs w:val="24"/>
                <w:lang w:val="en-US" w:eastAsia="zh-CN" w:bidi="ar"/>
              </w:rPr>
            </w:pPr>
            <w:r>
              <w:rPr>
                <w:rFonts w:hint="eastAsia" w:hAnsi="宋体" w:cs="宋体"/>
                <w:color w:val="000000"/>
                <w:kern w:val="0"/>
                <w:sz w:val="24"/>
                <w:szCs w:val="24"/>
                <w:lang w:val="en-US" w:eastAsia="zh-CN" w:bidi="ar"/>
              </w:rPr>
              <w:t>6</w:t>
            </w:r>
          </w:p>
        </w:tc>
        <w:tc>
          <w:tcPr>
            <w:tcW w:w="1686" w:type="dxa"/>
          </w:tcPr>
          <w:p w14:paraId="46869B98">
            <w:pPr>
              <w:keepNext w:val="0"/>
              <w:keepLines w:val="0"/>
              <w:widowControl/>
              <w:suppressLineNumbers w:val="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重庆物流集团数字科技有限公司</w:t>
            </w:r>
          </w:p>
        </w:tc>
        <w:tc>
          <w:tcPr>
            <w:tcW w:w="3474" w:type="dxa"/>
            <w:vAlign w:val="top"/>
          </w:tcPr>
          <w:p w14:paraId="08963E89">
            <w:pPr>
              <w:keepNext w:val="0"/>
              <w:keepLines w:val="0"/>
              <w:widowControl/>
              <w:suppressLineNumbers w:val="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无意见。</w:t>
            </w:r>
          </w:p>
        </w:tc>
        <w:tc>
          <w:tcPr>
            <w:tcW w:w="1320" w:type="dxa"/>
          </w:tcPr>
          <w:p w14:paraId="55EDDC9E">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left"/>
              <w:textAlignment w:val="auto"/>
              <w:rPr>
                <w:rFonts w:hint="eastAsia" w:ascii="宋体" w:hAnsi="宋体" w:eastAsia="宋体" w:cs="宋体"/>
                <w:color w:val="000000"/>
                <w:kern w:val="0"/>
                <w:sz w:val="21"/>
                <w:szCs w:val="21"/>
                <w:lang w:val="en-US" w:eastAsia="zh-CN" w:bidi="ar"/>
              </w:rPr>
            </w:pPr>
          </w:p>
        </w:tc>
        <w:tc>
          <w:tcPr>
            <w:tcW w:w="1267" w:type="dxa"/>
          </w:tcPr>
          <w:p w14:paraId="76562795">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textAlignment w:val="auto"/>
              <w:rPr>
                <w:rFonts w:hint="eastAsia" w:hAnsi="宋体" w:cs="宋体"/>
                <w:color w:val="000000"/>
                <w:kern w:val="0"/>
                <w:sz w:val="21"/>
                <w:szCs w:val="21"/>
                <w:lang w:val="en-US" w:eastAsia="zh-CN" w:bidi="ar"/>
              </w:rPr>
            </w:pPr>
          </w:p>
        </w:tc>
      </w:tr>
      <w:tr w14:paraId="51CC0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14:paraId="718BE8E9">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hAnsi="宋体" w:cs="宋体"/>
                <w:color w:val="000000"/>
                <w:kern w:val="0"/>
                <w:sz w:val="24"/>
                <w:szCs w:val="24"/>
                <w:lang w:val="en-US" w:eastAsia="zh-CN" w:bidi="ar"/>
              </w:rPr>
            </w:pPr>
            <w:r>
              <w:rPr>
                <w:rFonts w:hint="eastAsia" w:hAnsi="宋体" w:cs="宋体"/>
                <w:color w:val="000000"/>
                <w:kern w:val="0"/>
                <w:sz w:val="24"/>
                <w:szCs w:val="24"/>
                <w:lang w:val="en-US" w:eastAsia="zh-CN" w:bidi="ar"/>
              </w:rPr>
              <w:t>7</w:t>
            </w:r>
          </w:p>
        </w:tc>
        <w:tc>
          <w:tcPr>
            <w:tcW w:w="1686" w:type="dxa"/>
          </w:tcPr>
          <w:p w14:paraId="7ABD82E5">
            <w:pPr>
              <w:keepNext w:val="0"/>
              <w:keepLines w:val="0"/>
              <w:widowControl/>
              <w:suppressLineNumbers w:val="0"/>
              <w:jc w:val="left"/>
              <w:rPr>
                <w:rFonts w:hint="default"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阿坝州岷江运业有限责任公司</w:t>
            </w:r>
          </w:p>
        </w:tc>
        <w:tc>
          <w:tcPr>
            <w:tcW w:w="3474" w:type="dxa"/>
            <w:vAlign w:val="top"/>
          </w:tcPr>
          <w:p w14:paraId="3E04BDB5">
            <w:pPr>
              <w:keepNext w:val="0"/>
              <w:keepLines w:val="0"/>
              <w:widowControl/>
              <w:suppressLineNumbers w:val="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无意见。</w:t>
            </w:r>
          </w:p>
        </w:tc>
        <w:tc>
          <w:tcPr>
            <w:tcW w:w="1320" w:type="dxa"/>
          </w:tcPr>
          <w:p w14:paraId="4B93B76A">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left"/>
              <w:textAlignment w:val="auto"/>
              <w:rPr>
                <w:rFonts w:hint="eastAsia" w:ascii="宋体" w:hAnsi="宋体" w:eastAsia="宋体" w:cs="宋体"/>
                <w:color w:val="000000"/>
                <w:kern w:val="0"/>
                <w:sz w:val="21"/>
                <w:szCs w:val="21"/>
                <w:lang w:val="en-US" w:eastAsia="zh-CN" w:bidi="ar"/>
              </w:rPr>
            </w:pPr>
          </w:p>
        </w:tc>
        <w:tc>
          <w:tcPr>
            <w:tcW w:w="1267" w:type="dxa"/>
          </w:tcPr>
          <w:p w14:paraId="6AC96C26">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textAlignment w:val="auto"/>
              <w:rPr>
                <w:rFonts w:hint="eastAsia" w:hAnsi="宋体" w:cs="宋体"/>
                <w:color w:val="000000"/>
                <w:kern w:val="0"/>
                <w:sz w:val="21"/>
                <w:szCs w:val="21"/>
                <w:lang w:val="en-US" w:eastAsia="zh-CN" w:bidi="ar"/>
              </w:rPr>
            </w:pPr>
          </w:p>
        </w:tc>
      </w:tr>
      <w:tr w14:paraId="2E699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14:paraId="52709682">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hAnsi="宋体" w:cs="宋体"/>
                <w:color w:val="000000"/>
                <w:kern w:val="0"/>
                <w:sz w:val="24"/>
                <w:szCs w:val="24"/>
                <w:lang w:val="en-US" w:eastAsia="zh-CN" w:bidi="ar"/>
              </w:rPr>
            </w:pPr>
            <w:r>
              <w:rPr>
                <w:rFonts w:hint="eastAsia" w:hAnsi="宋体" w:cs="宋体"/>
                <w:color w:val="000000"/>
                <w:kern w:val="0"/>
                <w:sz w:val="24"/>
                <w:szCs w:val="24"/>
                <w:lang w:val="en-US" w:eastAsia="zh-CN" w:bidi="ar"/>
              </w:rPr>
              <w:t>8</w:t>
            </w:r>
          </w:p>
        </w:tc>
        <w:tc>
          <w:tcPr>
            <w:tcW w:w="1686" w:type="dxa"/>
          </w:tcPr>
          <w:p w14:paraId="433E0041">
            <w:pPr>
              <w:keepNext w:val="0"/>
              <w:keepLines w:val="0"/>
              <w:widowControl/>
              <w:suppressLineNumbers w:val="0"/>
              <w:jc w:val="left"/>
              <w:rPr>
                <w:rFonts w:hint="default"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重庆市富吉公路运输（集团）有限公司重庆分公司</w:t>
            </w:r>
          </w:p>
        </w:tc>
        <w:tc>
          <w:tcPr>
            <w:tcW w:w="3474" w:type="dxa"/>
            <w:vAlign w:val="top"/>
          </w:tcPr>
          <w:p w14:paraId="19FFA3B8">
            <w:pPr>
              <w:keepNext w:val="0"/>
              <w:keepLines w:val="0"/>
              <w:widowControl/>
              <w:suppressLineNumbers w:val="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无意见。</w:t>
            </w:r>
          </w:p>
        </w:tc>
        <w:tc>
          <w:tcPr>
            <w:tcW w:w="1320" w:type="dxa"/>
          </w:tcPr>
          <w:p w14:paraId="5AD8F54D">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left"/>
              <w:textAlignment w:val="auto"/>
              <w:rPr>
                <w:rFonts w:hint="eastAsia" w:ascii="宋体" w:hAnsi="宋体" w:eastAsia="宋体" w:cs="宋体"/>
                <w:color w:val="000000"/>
                <w:kern w:val="0"/>
                <w:sz w:val="21"/>
                <w:szCs w:val="21"/>
                <w:lang w:val="en-US" w:eastAsia="zh-CN" w:bidi="ar"/>
              </w:rPr>
            </w:pPr>
          </w:p>
        </w:tc>
        <w:tc>
          <w:tcPr>
            <w:tcW w:w="1267" w:type="dxa"/>
          </w:tcPr>
          <w:p w14:paraId="7D91F67F">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textAlignment w:val="auto"/>
              <w:rPr>
                <w:rFonts w:hint="eastAsia" w:hAnsi="宋体" w:cs="宋体"/>
                <w:color w:val="000000"/>
                <w:kern w:val="0"/>
                <w:sz w:val="21"/>
                <w:szCs w:val="21"/>
                <w:lang w:val="en-US" w:eastAsia="zh-CN" w:bidi="ar"/>
              </w:rPr>
            </w:pPr>
          </w:p>
        </w:tc>
      </w:tr>
      <w:tr w14:paraId="1FEF2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14:paraId="105BF85D">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hAnsi="宋体" w:cs="宋体"/>
                <w:color w:val="000000"/>
                <w:kern w:val="0"/>
                <w:sz w:val="24"/>
                <w:szCs w:val="24"/>
                <w:lang w:val="en-US" w:eastAsia="zh-CN" w:bidi="ar"/>
              </w:rPr>
            </w:pPr>
            <w:r>
              <w:rPr>
                <w:rFonts w:hint="eastAsia" w:hAnsi="宋体" w:cs="宋体"/>
                <w:color w:val="000000"/>
                <w:kern w:val="0"/>
                <w:sz w:val="24"/>
                <w:szCs w:val="24"/>
                <w:lang w:val="en-US" w:eastAsia="zh-CN" w:bidi="ar"/>
              </w:rPr>
              <w:t>9</w:t>
            </w:r>
          </w:p>
        </w:tc>
        <w:tc>
          <w:tcPr>
            <w:tcW w:w="1686" w:type="dxa"/>
          </w:tcPr>
          <w:p w14:paraId="28936B87">
            <w:pPr>
              <w:keepNext w:val="0"/>
              <w:keepLines w:val="0"/>
              <w:widowControl/>
              <w:suppressLineNumbers w:val="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重庆市富吉公路运输（集团）有限公司</w:t>
            </w:r>
          </w:p>
        </w:tc>
        <w:tc>
          <w:tcPr>
            <w:tcW w:w="3474" w:type="dxa"/>
            <w:vAlign w:val="top"/>
          </w:tcPr>
          <w:p w14:paraId="1A141C7A">
            <w:pPr>
              <w:keepNext w:val="0"/>
              <w:keepLines w:val="0"/>
              <w:widowControl/>
              <w:suppressLineNumbers w:val="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无意见。</w:t>
            </w:r>
          </w:p>
        </w:tc>
        <w:tc>
          <w:tcPr>
            <w:tcW w:w="1320" w:type="dxa"/>
          </w:tcPr>
          <w:p w14:paraId="55004286">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left"/>
              <w:textAlignment w:val="auto"/>
              <w:rPr>
                <w:rFonts w:hint="eastAsia" w:ascii="宋体" w:hAnsi="宋体" w:eastAsia="宋体" w:cs="宋体"/>
                <w:color w:val="000000"/>
                <w:kern w:val="0"/>
                <w:sz w:val="21"/>
                <w:szCs w:val="21"/>
                <w:lang w:val="en-US" w:eastAsia="zh-CN" w:bidi="ar"/>
              </w:rPr>
            </w:pPr>
          </w:p>
        </w:tc>
        <w:tc>
          <w:tcPr>
            <w:tcW w:w="1267" w:type="dxa"/>
          </w:tcPr>
          <w:p w14:paraId="29E58FBF">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textAlignment w:val="auto"/>
              <w:rPr>
                <w:rFonts w:hint="eastAsia" w:hAnsi="宋体" w:cs="宋体"/>
                <w:color w:val="000000"/>
                <w:kern w:val="0"/>
                <w:sz w:val="21"/>
                <w:szCs w:val="21"/>
                <w:lang w:val="en-US" w:eastAsia="zh-CN" w:bidi="ar"/>
              </w:rPr>
            </w:pPr>
          </w:p>
        </w:tc>
      </w:tr>
      <w:tr w14:paraId="6A755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14:paraId="75E7A232">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hAnsi="宋体" w:cs="宋体"/>
                <w:color w:val="000000"/>
                <w:kern w:val="0"/>
                <w:sz w:val="24"/>
                <w:szCs w:val="24"/>
                <w:lang w:val="en-US" w:eastAsia="zh-CN" w:bidi="ar"/>
              </w:rPr>
            </w:pPr>
            <w:r>
              <w:rPr>
                <w:rFonts w:hint="eastAsia" w:hAnsi="宋体" w:cs="宋体"/>
                <w:color w:val="000000"/>
                <w:kern w:val="0"/>
                <w:sz w:val="24"/>
                <w:szCs w:val="24"/>
                <w:lang w:val="en-US" w:eastAsia="zh-CN" w:bidi="ar"/>
              </w:rPr>
              <w:t>10</w:t>
            </w:r>
          </w:p>
        </w:tc>
        <w:tc>
          <w:tcPr>
            <w:tcW w:w="1686" w:type="dxa"/>
          </w:tcPr>
          <w:p w14:paraId="67AE65C9">
            <w:pPr>
              <w:keepNext w:val="0"/>
              <w:keepLines w:val="0"/>
              <w:widowControl/>
              <w:suppressLineNumbers w:val="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重庆海外旅游客运有限公司</w:t>
            </w:r>
          </w:p>
        </w:tc>
        <w:tc>
          <w:tcPr>
            <w:tcW w:w="3474" w:type="dxa"/>
            <w:vAlign w:val="top"/>
          </w:tcPr>
          <w:p w14:paraId="13FE6B37">
            <w:pPr>
              <w:keepNext w:val="0"/>
              <w:keepLines w:val="0"/>
              <w:widowControl/>
              <w:suppressLineNumbers w:val="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无意见。</w:t>
            </w:r>
          </w:p>
        </w:tc>
        <w:tc>
          <w:tcPr>
            <w:tcW w:w="1320" w:type="dxa"/>
          </w:tcPr>
          <w:p w14:paraId="6EF7BF10">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left"/>
              <w:textAlignment w:val="auto"/>
              <w:rPr>
                <w:rFonts w:hint="eastAsia" w:ascii="宋体" w:hAnsi="宋体" w:eastAsia="宋体" w:cs="宋体"/>
                <w:color w:val="000000"/>
                <w:kern w:val="0"/>
                <w:sz w:val="21"/>
                <w:szCs w:val="21"/>
                <w:lang w:val="en-US" w:eastAsia="zh-CN" w:bidi="ar"/>
              </w:rPr>
            </w:pPr>
          </w:p>
        </w:tc>
        <w:tc>
          <w:tcPr>
            <w:tcW w:w="1267" w:type="dxa"/>
          </w:tcPr>
          <w:p w14:paraId="0332D94D">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textAlignment w:val="auto"/>
              <w:rPr>
                <w:rFonts w:hint="eastAsia" w:hAnsi="宋体" w:cs="宋体"/>
                <w:color w:val="000000"/>
                <w:kern w:val="0"/>
                <w:sz w:val="21"/>
                <w:szCs w:val="21"/>
                <w:lang w:val="en-US" w:eastAsia="zh-CN" w:bidi="ar"/>
              </w:rPr>
            </w:pPr>
          </w:p>
        </w:tc>
      </w:tr>
      <w:tr w14:paraId="774D3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14:paraId="74121182">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hAnsi="宋体" w:cs="宋体"/>
                <w:color w:val="000000"/>
                <w:kern w:val="0"/>
                <w:sz w:val="24"/>
                <w:szCs w:val="24"/>
                <w:lang w:val="en-US" w:eastAsia="zh-CN" w:bidi="ar"/>
              </w:rPr>
            </w:pPr>
            <w:r>
              <w:rPr>
                <w:rFonts w:hint="eastAsia" w:hAnsi="宋体" w:cs="宋体"/>
                <w:color w:val="000000"/>
                <w:kern w:val="0"/>
                <w:sz w:val="24"/>
                <w:szCs w:val="24"/>
                <w:lang w:val="en-US" w:eastAsia="zh-CN" w:bidi="ar"/>
              </w:rPr>
              <w:t>11</w:t>
            </w:r>
          </w:p>
        </w:tc>
        <w:tc>
          <w:tcPr>
            <w:tcW w:w="1686" w:type="dxa"/>
          </w:tcPr>
          <w:p w14:paraId="339DB4A8">
            <w:pPr>
              <w:keepNext w:val="0"/>
              <w:keepLines w:val="0"/>
              <w:widowControl/>
              <w:suppressLineNumbers w:val="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重庆民捷运输有限公司</w:t>
            </w:r>
          </w:p>
        </w:tc>
        <w:tc>
          <w:tcPr>
            <w:tcW w:w="3474" w:type="dxa"/>
            <w:vAlign w:val="top"/>
          </w:tcPr>
          <w:p w14:paraId="175AD2EF">
            <w:pPr>
              <w:keepNext w:val="0"/>
              <w:keepLines w:val="0"/>
              <w:widowControl/>
              <w:suppressLineNumbers w:val="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无意见。</w:t>
            </w:r>
          </w:p>
        </w:tc>
        <w:tc>
          <w:tcPr>
            <w:tcW w:w="1320" w:type="dxa"/>
          </w:tcPr>
          <w:p w14:paraId="68909C74">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left"/>
              <w:textAlignment w:val="auto"/>
              <w:rPr>
                <w:rFonts w:hint="eastAsia" w:ascii="宋体" w:hAnsi="宋体" w:eastAsia="宋体" w:cs="宋体"/>
                <w:color w:val="000000"/>
                <w:kern w:val="0"/>
                <w:sz w:val="21"/>
                <w:szCs w:val="21"/>
                <w:lang w:val="en-US" w:eastAsia="zh-CN" w:bidi="ar"/>
              </w:rPr>
            </w:pPr>
          </w:p>
        </w:tc>
        <w:tc>
          <w:tcPr>
            <w:tcW w:w="1267" w:type="dxa"/>
          </w:tcPr>
          <w:p w14:paraId="706EE13F">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textAlignment w:val="auto"/>
              <w:rPr>
                <w:rFonts w:hint="eastAsia" w:hAnsi="宋体" w:cs="宋体"/>
                <w:color w:val="000000"/>
                <w:kern w:val="0"/>
                <w:sz w:val="21"/>
                <w:szCs w:val="21"/>
                <w:lang w:val="en-US" w:eastAsia="zh-CN" w:bidi="ar"/>
              </w:rPr>
            </w:pPr>
          </w:p>
        </w:tc>
      </w:tr>
      <w:tr w14:paraId="6B38F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14:paraId="03DCF411">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hAnsi="宋体" w:cs="宋体"/>
                <w:color w:val="000000"/>
                <w:kern w:val="0"/>
                <w:sz w:val="24"/>
                <w:szCs w:val="24"/>
                <w:lang w:val="en-US" w:eastAsia="zh-CN" w:bidi="ar"/>
              </w:rPr>
            </w:pPr>
            <w:r>
              <w:rPr>
                <w:rFonts w:hint="eastAsia" w:hAnsi="宋体" w:cs="宋体"/>
                <w:color w:val="000000"/>
                <w:kern w:val="0"/>
                <w:sz w:val="24"/>
                <w:szCs w:val="24"/>
                <w:lang w:val="en-US" w:eastAsia="zh-CN" w:bidi="ar"/>
              </w:rPr>
              <w:t>12</w:t>
            </w:r>
          </w:p>
        </w:tc>
        <w:tc>
          <w:tcPr>
            <w:tcW w:w="1686" w:type="dxa"/>
          </w:tcPr>
          <w:p w14:paraId="142B6685">
            <w:pPr>
              <w:keepNext w:val="0"/>
              <w:keepLines w:val="0"/>
              <w:widowControl/>
              <w:suppressLineNumbers w:val="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重庆市汽车运输（集团）有限责任公司</w:t>
            </w:r>
          </w:p>
        </w:tc>
        <w:tc>
          <w:tcPr>
            <w:tcW w:w="3474" w:type="dxa"/>
            <w:vAlign w:val="top"/>
          </w:tcPr>
          <w:p w14:paraId="3F1C9172">
            <w:pPr>
              <w:keepNext w:val="0"/>
              <w:keepLines w:val="0"/>
              <w:widowControl/>
              <w:suppressLineNumbers w:val="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无意见。</w:t>
            </w:r>
          </w:p>
        </w:tc>
        <w:tc>
          <w:tcPr>
            <w:tcW w:w="1320" w:type="dxa"/>
          </w:tcPr>
          <w:p w14:paraId="74DC33F0">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left"/>
              <w:textAlignment w:val="auto"/>
              <w:rPr>
                <w:rFonts w:hint="eastAsia" w:ascii="宋体" w:hAnsi="宋体" w:eastAsia="宋体" w:cs="宋体"/>
                <w:color w:val="000000"/>
                <w:kern w:val="0"/>
                <w:sz w:val="21"/>
                <w:szCs w:val="21"/>
                <w:lang w:val="en-US" w:eastAsia="zh-CN" w:bidi="ar"/>
              </w:rPr>
            </w:pPr>
          </w:p>
        </w:tc>
        <w:tc>
          <w:tcPr>
            <w:tcW w:w="1267" w:type="dxa"/>
          </w:tcPr>
          <w:p w14:paraId="4915C326">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textAlignment w:val="auto"/>
              <w:rPr>
                <w:rFonts w:hint="eastAsia" w:hAnsi="宋体" w:cs="宋体"/>
                <w:color w:val="000000"/>
                <w:kern w:val="0"/>
                <w:sz w:val="21"/>
                <w:szCs w:val="21"/>
                <w:lang w:val="en-US" w:eastAsia="zh-CN" w:bidi="ar"/>
              </w:rPr>
            </w:pPr>
          </w:p>
        </w:tc>
      </w:tr>
      <w:tr w14:paraId="04DBB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14:paraId="5A4A7B1F">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hAnsi="宋体" w:cs="宋体"/>
                <w:color w:val="000000"/>
                <w:kern w:val="0"/>
                <w:sz w:val="24"/>
                <w:szCs w:val="24"/>
                <w:lang w:val="en-US" w:eastAsia="zh-CN" w:bidi="ar"/>
              </w:rPr>
            </w:pPr>
            <w:r>
              <w:rPr>
                <w:rFonts w:hint="eastAsia" w:hAnsi="宋体" w:cs="宋体"/>
                <w:color w:val="000000"/>
                <w:kern w:val="0"/>
                <w:sz w:val="24"/>
                <w:szCs w:val="24"/>
                <w:lang w:val="en-US" w:eastAsia="zh-CN" w:bidi="ar"/>
              </w:rPr>
              <w:t>13</w:t>
            </w:r>
          </w:p>
        </w:tc>
        <w:tc>
          <w:tcPr>
            <w:tcW w:w="1686" w:type="dxa"/>
          </w:tcPr>
          <w:p w14:paraId="23FAC972">
            <w:pPr>
              <w:keepNext w:val="0"/>
              <w:keepLines w:val="0"/>
              <w:widowControl/>
              <w:suppressLineNumbers w:val="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秀山万方市汽车运输（集团）有限公司</w:t>
            </w:r>
          </w:p>
        </w:tc>
        <w:tc>
          <w:tcPr>
            <w:tcW w:w="3474" w:type="dxa"/>
            <w:vAlign w:val="top"/>
          </w:tcPr>
          <w:p w14:paraId="1D55D9A7">
            <w:pPr>
              <w:keepNext w:val="0"/>
              <w:keepLines w:val="0"/>
              <w:widowControl/>
              <w:suppressLineNumbers w:val="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无意见。</w:t>
            </w:r>
          </w:p>
        </w:tc>
        <w:tc>
          <w:tcPr>
            <w:tcW w:w="1320" w:type="dxa"/>
          </w:tcPr>
          <w:p w14:paraId="0BD74675">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left"/>
              <w:textAlignment w:val="auto"/>
              <w:rPr>
                <w:rFonts w:hint="eastAsia" w:ascii="宋体" w:hAnsi="宋体" w:eastAsia="宋体" w:cs="宋体"/>
                <w:color w:val="000000"/>
                <w:kern w:val="0"/>
                <w:sz w:val="21"/>
                <w:szCs w:val="21"/>
                <w:lang w:val="en-US" w:eastAsia="zh-CN" w:bidi="ar"/>
              </w:rPr>
            </w:pPr>
          </w:p>
        </w:tc>
        <w:tc>
          <w:tcPr>
            <w:tcW w:w="1267" w:type="dxa"/>
          </w:tcPr>
          <w:p w14:paraId="3C4E29D7">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textAlignment w:val="auto"/>
              <w:rPr>
                <w:rFonts w:hint="eastAsia" w:hAnsi="宋体" w:cs="宋体"/>
                <w:color w:val="000000"/>
                <w:kern w:val="0"/>
                <w:sz w:val="21"/>
                <w:szCs w:val="21"/>
                <w:lang w:val="en-US" w:eastAsia="zh-CN" w:bidi="ar"/>
              </w:rPr>
            </w:pPr>
          </w:p>
        </w:tc>
      </w:tr>
      <w:tr w14:paraId="14842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14:paraId="7446EC6D">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hAnsi="宋体" w:cs="宋体"/>
                <w:color w:val="000000"/>
                <w:kern w:val="0"/>
                <w:sz w:val="24"/>
                <w:szCs w:val="24"/>
                <w:lang w:val="en-US" w:eastAsia="zh-CN" w:bidi="ar"/>
              </w:rPr>
            </w:pPr>
            <w:r>
              <w:rPr>
                <w:rFonts w:hint="eastAsia" w:hAnsi="宋体" w:cs="宋体"/>
                <w:color w:val="000000"/>
                <w:kern w:val="0"/>
                <w:sz w:val="24"/>
                <w:szCs w:val="24"/>
                <w:lang w:val="en-US" w:eastAsia="zh-CN" w:bidi="ar"/>
              </w:rPr>
              <w:t>14</w:t>
            </w:r>
          </w:p>
        </w:tc>
        <w:tc>
          <w:tcPr>
            <w:tcW w:w="1686" w:type="dxa"/>
          </w:tcPr>
          <w:p w14:paraId="3E16605F">
            <w:pPr>
              <w:keepNext w:val="0"/>
              <w:keepLines w:val="0"/>
              <w:widowControl/>
              <w:suppressLineNumbers w:val="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重庆永安三峡库区运输有限公司</w:t>
            </w:r>
          </w:p>
        </w:tc>
        <w:tc>
          <w:tcPr>
            <w:tcW w:w="3474" w:type="dxa"/>
            <w:vAlign w:val="top"/>
          </w:tcPr>
          <w:p w14:paraId="3A9AD5E1">
            <w:pPr>
              <w:keepNext w:val="0"/>
              <w:keepLines w:val="0"/>
              <w:widowControl/>
              <w:suppressLineNumbers w:val="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无意见。</w:t>
            </w:r>
          </w:p>
        </w:tc>
        <w:tc>
          <w:tcPr>
            <w:tcW w:w="1320" w:type="dxa"/>
          </w:tcPr>
          <w:p w14:paraId="361328E6">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left"/>
              <w:textAlignment w:val="auto"/>
              <w:rPr>
                <w:rFonts w:hint="eastAsia" w:ascii="宋体" w:hAnsi="宋体" w:eastAsia="宋体" w:cs="宋体"/>
                <w:color w:val="000000"/>
                <w:kern w:val="0"/>
                <w:sz w:val="21"/>
                <w:szCs w:val="21"/>
                <w:lang w:val="en-US" w:eastAsia="zh-CN" w:bidi="ar"/>
              </w:rPr>
            </w:pPr>
          </w:p>
        </w:tc>
        <w:tc>
          <w:tcPr>
            <w:tcW w:w="1267" w:type="dxa"/>
          </w:tcPr>
          <w:p w14:paraId="37566912">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textAlignment w:val="auto"/>
              <w:rPr>
                <w:rFonts w:hint="eastAsia" w:hAnsi="宋体" w:cs="宋体"/>
                <w:color w:val="000000"/>
                <w:kern w:val="0"/>
                <w:sz w:val="21"/>
                <w:szCs w:val="21"/>
                <w:lang w:val="en-US" w:eastAsia="zh-CN" w:bidi="ar"/>
              </w:rPr>
            </w:pPr>
          </w:p>
        </w:tc>
      </w:tr>
      <w:tr w14:paraId="54264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14:paraId="398E934F">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hAnsi="宋体" w:cs="宋体"/>
                <w:color w:val="000000"/>
                <w:kern w:val="0"/>
                <w:sz w:val="24"/>
                <w:szCs w:val="24"/>
                <w:lang w:val="en-US" w:eastAsia="zh-CN" w:bidi="ar"/>
              </w:rPr>
            </w:pPr>
            <w:r>
              <w:rPr>
                <w:rFonts w:hint="eastAsia" w:hAnsi="宋体" w:cs="宋体"/>
                <w:color w:val="000000"/>
                <w:kern w:val="0"/>
                <w:sz w:val="24"/>
                <w:szCs w:val="24"/>
                <w:lang w:val="en-US" w:eastAsia="zh-CN" w:bidi="ar"/>
              </w:rPr>
              <w:t>15</w:t>
            </w:r>
          </w:p>
        </w:tc>
        <w:tc>
          <w:tcPr>
            <w:tcW w:w="1686" w:type="dxa"/>
          </w:tcPr>
          <w:p w14:paraId="2C00D22E">
            <w:pPr>
              <w:keepNext w:val="0"/>
              <w:keepLines w:val="0"/>
              <w:widowControl/>
              <w:suppressLineNumbers w:val="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重庆悦达汽车运输有限公司</w:t>
            </w:r>
          </w:p>
        </w:tc>
        <w:tc>
          <w:tcPr>
            <w:tcW w:w="3474" w:type="dxa"/>
            <w:vAlign w:val="top"/>
          </w:tcPr>
          <w:p w14:paraId="043A4D61">
            <w:pPr>
              <w:keepNext w:val="0"/>
              <w:keepLines w:val="0"/>
              <w:widowControl/>
              <w:suppressLineNumbers w:val="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无意见。</w:t>
            </w:r>
          </w:p>
        </w:tc>
        <w:tc>
          <w:tcPr>
            <w:tcW w:w="1320" w:type="dxa"/>
          </w:tcPr>
          <w:p w14:paraId="108251B9">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left"/>
              <w:textAlignment w:val="auto"/>
              <w:rPr>
                <w:rFonts w:hint="eastAsia" w:ascii="宋体" w:hAnsi="宋体" w:eastAsia="宋体" w:cs="宋体"/>
                <w:color w:val="000000"/>
                <w:kern w:val="0"/>
                <w:sz w:val="21"/>
                <w:szCs w:val="21"/>
                <w:lang w:val="en-US" w:eastAsia="zh-CN" w:bidi="ar"/>
              </w:rPr>
            </w:pPr>
          </w:p>
        </w:tc>
        <w:tc>
          <w:tcPr>
            <w:tcW w:w="1267" w:type="dxa"/>
          </w:tcPr>
          <w:p w14:paraId="5D36B94F">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textAlignment w:val="auto"/>
              <w:rPr>
                <w:rFonts w:hint="eastAsia" w:hAnsi="宋体" w:cs="宋体"/>
                <w:color w:val="000000"/>
                <w:kern w:val="0"/>
                <w:sz w:val="21"/>
                <w:szCs w:val="21"/>
                <w:lang w:val="en-US" w:eastAsia="zh-CN" w:bidi="ar"/>
              </w:rPr>
            </w:pPr>
          </w:p>
        </w:tc>
      </w:tr>
      <w:tr w14:paraId="3ACC7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14:paraId="7AC97FA5">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hAnsi="宋体" w:cs="宋体"/>
                <w:color w:val="000000"/>
                <w:kern w:val="0"/>
                <w:sz w:val="24"/>
                <w:szCs w:val="24"/>
                <w:lang w:val="en-US" w:eastAsia="zh-CN" w:bidi="ar"/>
              </w:rPr>
            </w:pPr>
            <w:r>
              <w:rPr>
                <w:rFonts w:hint="eastAsia" w:hAnsi="宋体" w:cs="宋体"/>
                <w:color w:val="000000"/>
                <w:kern w:val="0"/>
                <w:sz w:val="24"/>
                <w:szCs w:val="24"/>
                <w:lang w:val="en-US" w:eastAsia="zh-CN" w:bidi="ar"/>
              </w:rPr>
              <w:t>16</w:t>
            </w:r>
          </w:p>
        </w:tc>
        <w:tc>
          <w:tcPr>
            <w:tcW w:w="1686" w:type="dxa"/>
          </w:tcPr>
          <w:p w14:paraId="1111B7B2">
            <w:pPr>
              <w:keepNext w:val="0"/>
              <w:keepLines w:val="0"/>
              <w:widowControl/>
              <w:suppressLineNumbers w:val="0"/>
              <w:jc w:val="left"/>
              <w:rPr>
                <w:rFonts w:hint="default"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重庆长途汽车运输（集团）有限公司-周霖</w:t>
            </w:r>
          </w:p>
        </w:tc>
        <w:tc>
          <w:tcPr>
            <w:tcW w:w="3474" w:type="dxa"/>
            <w:vAlign w:val="top"/>
          </w:tcPr>
          <w:p w14:paraId="64620FFD">
            <w:pPr>
              <w:keepNext w:val="0"/>
              <w:keepLines w:val="0"/>
              <w:widowControl/>
              <w:suppressLineNumbers w:val="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无意见。</w:t>
            </w:r>
          </w:p>
        </w:tc>
        <w:tc>
          <w:tcPr>
            <w:tcW w:w="1320" w:type="dxa"/>
          </w:tcPr>
          <w:p w14:paraId="609599CE">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left"/>
              <w:textAlignment w:val="auto"/>
              <w:rPr>
                <w:rFonts w:hint="eastAsia" w:ascii="宋体" w:hAnsi="宋体" w:eastAsia="宋体" w:cs="宋体"/>
                <w:color w:val="000000"/>
                <w:kern w:val="0"/>
                <w:sz w:val="21"/>
                <w:szCs w:val="21"/>
                <w:lang w:val="en-US" w:eastAsia="zh-CN" w:bidi="ar"/>
              </w:rPr>
            </w:pPr>
          </w:p>
        </w:tc>
        <w:tc>
          <w:tcPr>
            <w:tcW w:w="1267" w:type="dxa"/>
          </w:tcPr>
          <w:p w14:paraId="343E54E3">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textAlignment w:val="auto"/>
              <w:rPr>
                <w:rFonts w:hint="eastAsia" w:hAnsi="宋体" w:cs="宋体"/>
                <w:color w:val="000000"/>
                <w:kern w:val="0"/>
                <w:sz w:val="21"/>
                <w:szCs w:val="21"/>
                <w:lang w:val="en-US" w:eastAsia="zh-CN" w:bidi="ar"/>
              </w:rPr>
            </w:pPr>
          </w:p>
        </w:tc>
      </w:tr>
      <w:tr w14:paraId="17F46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14:paraId="1853D0AC">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center"/>
              <w:textAlignment w:val="auto"/>
              <w:rPr>
                <w:rFonts w:hint="default" w:hAnsi="宋体" w:cs="宋体"/>
                <w:color w:val="000000"/>
                <w:kern w:val="0"/>
                <w:sz w:val="24"/>
                <w:szCs w:val="24"/>
                <w:lang w:val="en-US" w:eastAsia="zh-CN" w:bidi="ar"/>
              </w:rPr>
            </w:pPr>
            <w:r>
              <w:rPr>
                <w:rFonts w:hint="eastAsia" w:hAnsi="宋体" w:cs="宋体"/>
                <w:color w:val="000000"/>
                <w:kern w:val="0"/>
                <w:sz w:val="24"/>
                <w:szCs w:val="24"/>
                <w:lang w:val="en-US" w:eastAsia="zh-CN" w:bidi="ar"/>
              </w:rPr>
              <w:t>17</w:t>
            </w:r>
          </w:p>
        </w:tc>
        <w:tc>
          <w:tcPr>
            <w:tcW w:w="1686" w:type="dxa"/>
          </w:tcPr>
          <w:p w14:paraId="429058C4">
            <w:pPr>
              <w:keepNext w:val="0"/>
              <w:keepLines w:val="0"/>
              <w:widowControl/>
              <w:suppressLineNumbers w:val="0"/>
              <w:jc w:val="left"/>
              <w:rPr>
                <w:rFonts w:hint="default"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重庆长途汽车运输（集团）有限公司-郑珊珊</w:t>
            </w:r>
          </w:p>
        </w:tc>
        <w:tc>
          <w:tcPr>
            <w:tcW w:w="3474" w:type="dxa"/>
            <w:vAlign w:val="top"/>
          </w:tcPr>
          <w:p w14:paraId="385CEF43">
            <w:pPr>
              <w:keepNext w:val="0"/>
              <w:keepLines w:val="0"/>
              <w:widowControl/>
              <w:suppressLineNumbers w:val="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无意见。</w:t>
            </w:r>
          </w:p>
        </w:tc>
        <w:tc>
          <w:tcPr>
            <w:tcW w:w="1320" w:type="dxa"/>
          </w:tcPr>
          <w:p w14:paraId="49DDBEEE">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jc w:val="left"/>
              <w:textAlignment w:val="auto"/>
              <w:rPr>
                <w:rFonts w:hint="eastAsia" w:ascii="宋体" w:hAnsi="宋体" w:eastAsia="宋体" w:cs="宋体"/>
                <w:color w:val="000000"/>
                <w:kern w:val="0"/>
                <w:sz w:val="21"/>
                <w:szCs w:val="21"/>
                <w:lang w:val="en-US" w:eastAsia="zh-CN" w:bidi="ar"/>
              </w:rPr>
            </w:pPr>
          </w:p>
        </w:tc>
        <w:tc>
          <w:tcPr>
            <w:tcW w:w="1267" w:type="dxa"/>
          </w:tcPr>
          <w:p w14:paraId="79EECA3D">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textAlignment w:val="auto"/>
              <w:rPr>
                <w:rFonts w:hint="eastAsia" w:hAnsi="宋体" w:cs="宋体"/>
                <w:color w:val="000000"/>
                <w:kern w:val="0"/>
                <w:sz w:val="21"/>
                <w:szCs w:val="21"/>
                <w:lang w:val="en-US" w:eastAsia="zh-CN" w:bidi="ar"/>
              </w:rPr>
            </w:pPr>
          </w:p>
        </w:tc>
      </w:tr>
    </w:tbl>
    <w:p w14:paraId="3220EA80">
      <w:pPr>
        <w:pStyle w:val="20"/>
        <w:keepNext w:val="0"/>
        <w:keepLines w:val="0"/>
        <w:pageBreakBefore w:val="0"/>
        <w:widowControl w:val="0"/>
        <w:kinsoku/>
        <w:wordWrap/>
        <w:overflowPunct/>
        <w:topLinePunct w:val="0"/>
        <w:autoSpaceDE w:val="0"/>
        <w:autoSpaceDN w:val="0"/>
        <w:bidi w:val="0"/>
        <w:adjustRightInd/>
        <w:snapToGrid/>
        <w:spacing w:line="400" w:lineRule="atLeast"/>
        <w:ind w:left="0" w:leftChars="0" w:firstLine="0" w:firstLineChars="0"/>
        <w:textAlignment w:val="auto"/>
        <w:rPr>
          <w:rFonts w:hint="default" w:ascii="仿宋" w:hAnsi="仿宋" w:eastAsia="仿宋" w:cs="仿宋"/>
          <w:kern w:val="2"/>
          <w:sz w:val="30"/>
          <w:szCs w:val="30"/>
          <w:lang w:val="en-US" w:eastAsia="zh-CN" w:bidi="ar-SA"/>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 w:name="Times New Roman Regular">
    <w:altName w:val="Times New Roman"/>
    <w:panose1 w:val="02020503050405090304"/>
    <w:charset w:val="00"/>
    <w:family w:val="auto"/>
    <w:pitch w:val="default"/>
    <w:sig w:usb0="00000000" w:usb1="00000000" w:usb2="00000001" w:usb3="00000000" w:csb0="400001BF" w:csb1="DFF7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6441A3">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1707C7">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621707C7">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CC6EA6"/>
    <w:multiLevelType w:val="singleLevel"/>
    <w:tmpl w:val="99CC6EA6"/>
    <w:lvl w:ilvl="0" w:tentative="0">
      <w:start w:val="2"/>
      <w:numFmt w:val="chineseCounting"/>
      <w:suff w:val="nothing"/>
      <w:lvlText w:val="%1、"/>
      <w:lvlJc w:val="left"/>
      <w:rPr>
        <w:rFonts w:hint="eastAsia"/>
      </w:rPr>
    </w:lvl>
  </w:abstractNum>
  <w:abstractNum w:abstractNumId="1">
    <w:nsid w:val="FDB61D97"/>
    <w:multiLevelType w:val="singleLevel"/>
    <w:tmpl w:val="FDB61D97"/>
    <w:lvl w:ilvl="0" w:tentative="0">
      <w:start w:val="1"/>
      <w:numFmt w:val="decimal"/>
      <w:suff w:val="space"/>
      <w:lvlText w:val="[%1]"/>
      <w:lvlJc w:val="left"/>
      <w:pPr>
        <w:tabs>
          <w:tab w:val="left" w:pos="0"/>
        </w:tabs>
      </w:pPr>
      <w:rPr>
        <w:rFonts w:hint="default"/>
      </w:rPr>
    </w:lvl>
  </w:abstractNum>
  <w:abstractNum w:abstractNumId="2">
    <w:nsid w:val="081E301B"/>
    <w:multiLevelType w:val="multilevel"/>
    <w:tmpl w:val="081E301B"/>
    <w:lvl w:ilvl="0" w:tentative="0">
      <w:start w:val="1"/>
      <w:numFmt w:val="chineseCounting"/>
      <w:suff w:val="nothing"/>
      <w:lvlText w:val="第%1章  "/>
      <w:lvlJc w:val="left"/>
      <w:pPr>
        <w:tabs>
          <w:tab w:val="left" w:pos="0"/>
        </w:tabs>
        <w:ind w:left="0" w:firstLine="0"/>
      </w:pPr>
      <w:rPr>
        <w:rFonts w:hint="eastAsia" w:ascii="宋体" w:hAnsi="宋体" w:eastAsia="仿宋" w:cs="宋体"/>
        <w:b/>
        <w:sz w:val="36"/>
      </w:rPr>
    </w:lvl>
    <w:lvl w:ilvl="1" w:tentative="0">
      <w:start w:val="1"/>
      <w:numFmt w:val="chineseCounting"/>
      <w:pStyle w:val="3"/>
      <w:suff w:val="nothing"/>
      <w:lvlText w:val="第%2节  "/>
      <w:lvlJc w:val="left"/>
      <w:pPr>
        <w:tabs>
          <w:tab w:val="left" w:pos="0"/>
        </w:tabs>
        <w:ind w:left="0" w:firstLine="0"/>
      </w:pPr>
      <w:rPr>
        <w:rFonts w:hint="eastAsia" w:ascii="宋体" w:hAnsi="宋体" w:eastAsia="楷体" w:cs="宋体"/>
        <w:b/>
        <w:sz w:val="30"/>
      </w:rPr>
    </w:lvl>
    <w:lvl w:ilvl="2" w:tentative="0">
      <w:start w:val="1"/>
      <w:numFmt w:val="chineseCounting"/>
      <w:pStyle w:val="4"/>
      <w:suff w:val="nothing"/>
      <w:lvlText w:val="%3、"/>
      <w:lvlJc w:val="left"/>
      <w:pPr>
        <w:tabs>
          <w:tab w:val="left" w:pos="0"/>
        </w:tabs>
        <w:ind w:left="420" w:leftChars="0" w:hanging="17" w:firstLineChars="0"/>
      </w:pPr>
      <w:rPr>
        <w:rFonts w:hint="eastAsia" w:ascii="宋体" w:hAnsi="宋体" w:eastAsia="黑体" w:cs="宋体"/>
        <w:sz w:val="28"/>
      </w:rPr>
    </w:lvl>
    <w:lvl w:ilvl="3" w:tentative="0">
      <w:start w:val="1"/>
      <w:numFmt w:val="chineseCounting"/>
      <w:pStyle w:val="5"/>
      <w:suff w:val="nothing"/>
      <w:lvlText w:val="（%4）"/>
      <w:lvlJc w:val="left"/>
      <w:pPr>
        <w:tabs>
          <w:tab w:val="left" w:pos="0"/>
        </w:tabs>
        <w:ind w:left="0" w:firstLine="402"/>
      </w:pPr>
      <w:rPr>
        <w:rFonts w:hint="eastAsia" w:ascii="宋体" w:hAnsi="宋体" w:eastAsia="仿宋" w:cs="宋体"/>
        <w:b/>
      </w:rPr>
    </w:lvl>
    <w:lvl w:ilvl="4" w:tentative="0">
      <w:start w:val="1"/>
      <w:numFmt w:val="decimal"/>
      <w:pStyle w:val="6"/>
      <w:suff w:val="nothing"/>
      <w:lvlText w:val="%5."/>
      <w:lvlJc w:val="left"/>
      <w:pPr>
        <w:tabs>
          <w:tab w:val="left" w:pos="0"/>
        </w:tabs>
        <w:ind w:left="420" w:leftChars="0" w:hanging="17" w:firstLineChars="0"/>
      </w:pPr>
      <w:rPr>
        <w:rFonts w:hint="eastAsia" w:ascii="宋体" w:hAnsi="宋体" w:eastAsia="宋体" w:cs="宋体"/>
      </w:rPr>
    </w:lvl>
    <w:lvl w:ilvl="5" w:tentative="0">
      <w:start w:val="1"/>
      <w:numFmt w:val="decimal"/>
      <w:pStyle w:val="7"/>
      <w:suff w:val="nothing"/>
      <w:lvlText w:val="%6）"/>
      <w:lvlJc w:val="left"/>
      <w:pPr>
        <w:ind w:left="0" w:firstLine="402"/>
      </w:pPr>
      <w:rPr>
        <w:rFonts w:hint="eastAsia"/>
      </w:rPr>
    </w:lvl>
    <w:lvl w:ilvl="6" w:tentative="0">
      <w:start w:val="1"/>
      <w:numFmt w:val="lowerLetter"/>
      <w:pStyle w:val="8"/>
      <w:suff w:val="nothing"/>
      <w:lvlText w:val="%7．"/>
      <w:lvlJc w:val="left"/>
      <w:pPr>
        <w:ind w:left="0" w:firstLine="402"/>
      </w:pPr>
      <w:rPr>
        <w:rFonts w:hint="eastAsia"/>
      </w:rPr>
    </w:lvl>
    <w:lvl w:ilvl="7" w:tentative="0">
      <w:start w:val="1"/>
      <w:numFmt w:val="lowerLetter"/>
      <w:pStyle w:val="9"/>
      <w:suff w:val="nothing"/>
      <w:lvlText w:val="%8）"/>
      <w:lvlJc w:val="left"/>
      <w:pPr>
        <w:ind w:left="0" w:firstLine="402"/>
      </w:pPr>
      <w:rPr>
        <w:rFonts w:hint="eastAsia"/>
      </w:rPr>
    </w:lvl>
    <w:lvl w:ilvl="8" w:tentative="0">
      <w:start w:val="1"/>
      <w:numFmt w:val="lowerRoman"/>
      <w:pStyle w:val="10"/>
      <w:suff w:val="nothing"/>
      <w:lvlText w:val="%9 "/>
      <w:lvlJc w:val="left"/>
      <w:pPr>
        <w:ind w:left="0" w:firstLine="402"/>
      </w:pPr>
      <w:rPr>
        <w:rFonts w:hint="eastAsia"/>
      </w:rPr>
    </w:lvl>
  </w:abstractNum>
  <w:abstractNum w:abstractNumId="3">
    <w:nsid w:val="1A958EA0"/>
    <w:multiLevelType w:val="multilevel"/>
    <w:tmpl w:val="1A958EA0"/>
    <w:lvl w:ilvl="0" w:tentative="0">
      <w:start w:val="1"/>
      <w:numFmt w:val="none"/>
      <w:suff w:val="nothing"/>
      <w:lvlText w:val="%1"/>
      <w:lvlJc w:val="left"/>
      <w:pPr>
        <w:ind w:left="0" w:firstLine="0"/>
      </w:pPr>
      <w:rPr>
        <w:rFonts w:hint="eastAsia"/>
      </w:rPr>
    </w:lvl>
    <w:lvl w:ilvl="1" w:tentative="0">
      <w:start w:val="1"/>
      <w:numFmt w:val="decimal"/>
      <w:pStyle w:val="21"/>
      <w:suff w:val="nothing"/>
      <w:lvlText w:val="%1%2　"/>
      <w:lvlJc w:val="left"/>
      <w:pPr>
        <w:ind w:left="0" w:firstLine="0"/>
      </w:pPr>
      <w:rPr>
        <w:rFonts w:hint="default" w:ascii="Times New Roman Regular" w:hAnsi="Times New Roman Regular" w:eastAsia="黑体" w:cs="Times New Roman Regular"/>
        <w:b w:val="0"/>
        <w:i w:val="0"/>
        <w:sz w:val="21"/>
      </w:rPr>
    </w:lvl>
    <w:lvl w:ilvl="2" w:tentative="0">
      <w:start w:val="1"/>
      <w:numFmt w:val="decimal"/>
      <w:pStyle w:val="22"/>
      <w:suff w:val="nothing"/>
      <w:lvlText w:val="%1%2.%3　"/>
      <w:lvlJc w:val="left"/>
      <w:pPr>
        <w:ind w:left="0" w:firstLine="0"/>
      </w:pPr>
      <w:rPr>
        <w:rFonts w:hint="default" w:ascii="Times New Roman Regular" w:hAnsi="Times New Roman Regular" w:eastAsia="黑体" w:cs="Times New Roman Regular"/>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9F7BF9"/>
    <w:rsid w:val="0A654C53"/>
    <w:rsid w:val="110F4949"/>
    <w:rsid w:val="189F7BF9"/>
    <w:rsid w:val="1A866320"/>
    <w:rsid w:val="1C793BE4"/>
    <w:rsid w:val="23775E39"/>
    <w:rsid w:val="2D8623BF"/>
    <w:rsid w:val="32F37BAD"/>
    <w:rsid w:val="35E85982"/>
    <w:rsid w:val="378346ED"/>
    <w:rsid w:val="3B3320BF"/>
    <w:rsid w:val="3EDF2B08"/>
    <w:rsid w:val="44CD11E4"/>
    <w:rsid w:val="4588175D"/>
    <w:rsid w:val="4EA8160B"/>
    <w:rsid w:val="500E7D50"/>
    <w:rsid w:val="565C1A4E"/>
    <w:rsid w:val="57170D48"/>
    <w:rsid w:val="5B104666"/>
    <w:rsid w:val="6CF03F54"/>
    <w:rsid w:val="6D7C293B"/>
    <w:rsid w:val="73E3635D"/>
    <w:rsid w:val="78A26CAF"/>
    <w:rsid w:val="7A642E48"/>
    <w:rsid w:val="7CBE7689"/>
    <w:rsid w:val="7FE954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qFormat="1"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9"/>
    <w:qFormat/>
    <w:uiPriority w:val="9"/>
    <w:pPr>
      <w:keepNext/>
      <w:keepLines/>
      <w:spacing w:before="50" w:beforeLines="50" w:after="50" w:afterLines="50" w:line="240" w:lineRule="auto"/>
      <w:outlineLvl w:val="0"/>
    </w:pPr>
    <w:rPr>
      <w:rFonts w:eastAsia="黑体" w:asciiTheme="minorAscii" w:hAnsiTheme="minorAscii"/>
      <w:b/>
      <w:kern w:val="44"/>
      <w:sz w:val="32"/>
    </w:rPr>
  </w:style>
  <w:style w:type="paragraph" w:styleId="3">
    <w:name w:val="heading 2"/>
    <w:basedOn w:val="1"/>
    <w:next w:val="1"/>
    <w:autoRedefine/>
    <w:semiHidden/>
    <w:unhideWhenUsed/>
    <w:qFormat/>
    <w:uiPriority w:val="9"/>
    <w:pPr>
      <w:keepNext/>
      <w:keepLines/>
      <w:numPr>
        <w:ilvl w:val="1"/>
        <w:numId w:val="1"/>
      </w:numPr>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autoRedefine/>
    <w:semiHidden/>
    <w:unhideWhenUsed/>
    <w:qFormat/>
    <w:uiPriority w:val="9"/>
    <w:pPr>
      <w:keepNext/>
      <w:keepLines/>
      <w:numPr>
        <w:ilvl w:val="2"/>
        <w:numId w:val="1"/>
      </w:numPr>
      <w:tabs>
        <w:tab w:val="left" w:pos="420"/>
        <w:tab w:val="clear" w:pos="0"/>
      </w:tabs>
      <w:spacing w:before="120" w:beforeLines="0" w:beforeAutospacing="0" w:after="120" w:afterLines="0" w:afterAutospacing="0" w:line="360" w:lineRule="auto"/>
      <w:ind w:left="420" w:leftChars="0" w:hanging="17" w:firstLineChars="0"/>
      <w:outlineLvl w:val="2"/>
    </w:pPr>
    <w:rPr>
      <w:rFonts w:ascii="Times New Roman" w:hAnsi="Times New Roman" w:eastAsia="黑体" w:cs="Times New Roman"/>
      <w:sz w:val="28"/>
    </w:rPr>
  </w:style>
  <w:style w:type="paragraph" w:styleId="5">
    <w:name w:val="heading 4"/>
    <w:basedOn w:val="1"/>
    <w:next w:val="1"/>
    <w:autoRedefine/>
    <w:semiHidden/>
    <w:unhideWhenUsed/>
    <w:qFormat/>
    <w:uiPriority w:val="9"/>
    <w:pPr>
      <w:keepNext/>
      <w:keepLines/>
      <w:numPr>
        <w:ilvl w:val="3"/>
        <w:numId w:val="1"/>
      </w:numPr>
      <w:spacing w:before="120" w:beforeLines="0" w:beforeAutospacing="0" w:after="120" w:afterLines="0" w:afterAutospacing="0" w:line="372" w:lineRule="auto"/>
      <w:ind w:left="0" w:firstLine="402" w:firstLineChars="0"/>
      <w:outlineLvl w:val="3"/>
    </w:pPr>
    <w:rPr>
      <w:rFonts w:ascii="Arial" w:hAnsi="Arial" w:eastAsia="楷体" w:cs="Times New Roman"/>
      <w:b/>
      <w:sz w:val="24"/>
    </w:rPr>
  </w:style>
  <w:style w:type="paragraph" w:styleId="6">
    <w:name w:val="heading 5"/>
    <w:basedOn w:val="1"/>
    <w:next w:val="1"/>
    <w:semiHidden/>
    <w:unhideWhenUsed/>
    <w:qFormat/>
    <w:uiPriority w:val="9"/>
    <w:pPr>
      <w:numPr>
        <w:ilvl w:val="4"/>
        <w:numId w:val="1"/>
      </w:numPr>
      <w:spacing w:before="960" w:beforeAutospacing="1" w:after="960" w:afterAutospacing="1" w:line="240" w:lineRule="auto"/>
      <w:jc w:val="left"/>
      <w:outlineLvl w:val="4"/>
    </w:pPr>
    <w:rPr>
      <w:rFonts w:hint="eastAsia" w:ascii="宋体" w:hAnsi="宋体" w:eastAsia="宋体" w:cs="宋体"/>
      <w:b/>
      <w:bCs/>
      <w:kern w:val="0"/>
      <w:sz w:val="24"/>
      <w:szCs w:val="20"/>
      <w:lang w:bidi="ar"/>
    </w:rPr>
  </w:style>
  <w:style w:type="paragraph" w:styleId="7">
    <w:name w:val="heading 6"/>
    <w:basedOn w:val="1"/>
    <w:next w:val="1"/>
    <w:autoRedefine/>
    <w:semiHidden/>
    <w:unhideWhenUsed/>
    <w:qFormat/>
    <w:uiPriority w:val="9"/>
    <w:pPr>
      <w:keepNext/>
      <w:keepLines/>
      <w:numPr>
        <w:ilvl w:val="5"/>
        <w:numId w:val="1"/>
      </w:numPr>
      <w:spacing w:before="240" w:beforeLines="0" w:beforeAutospacing="0" w:after="64" w:afterLines="0" w:afterAutospacing="0" w:line="317" w:lineRule="auto"/>
      <w:ind w:firstLine="402"/>
      <w:outlineLvl w:val="5"/>
    </w:pPr>
    <w:rPr>
      <w:rFonts w:ascii="Arial" w:hAnsi="Arial" w:eastAsia="黑体"/>
      <w:b/>
      <w:sz w:val="24"/>
    </w:rPr>
  </w:style>
  <w:style w:type="paragraph" w:styleId="8">
    <w:name w:val="heading 7"/>
    <w:basedOn w:val="1"/>
    <w:next w:val="1"/>
    <w:semiHidden/>
    <w:unhideWhenUsed/>
    <w:qFormat/>
    <w:uiPriority w:val="9"/>
    <w:pPr>
      <w:keepNext/>
      <w:keepLines/>
      <w:numPr>
        <w:ilvl w:val="6"/>
        <w:numId w:val="1"/>
      </w:numPr>
      <w:spacing w:before="240" w:beforeLines="0" w:beforeAutospacing="0" w:after="64" w:afterLines="0" w:afterAutospacing="0" w:line="317" w:lineRule="auto"/>
      <w:ind w:firstLine="402"/>
      <w:outlineLvl w:val="6"/>
    </w:pPr>
    <w:rPr>
      <w:b/>
      <w:sz w:val="24"/>
    </w:rPr>
  </w:style>
  <w:style w:type="paragraph" w:styleId="9">
    <w:name w:val="heading 8"/>
    <w:basedOn w:val="1"/>
    <w:next w:val="1"/>
    <w:semiHidden/>
    <w:unhideWhenUsed/>
    <w:qFormat/>
    <w:uiPriority w:val="9"/>
    <w:pPr>
      <w:keepNext/>
      <w:keepLines/>
      <w:numPr>
        <w:ilvl w:val="7"/>
        <w:numId w:val="1"/>
      </w:numPr>
      <w:spacing w:before="240" w:beforeLines="0" w:beforeAutospacing="0" w:after="64" w:afterLines="0" w:afterAutospacing="0" w:line="317" w:lineRule="auto"/>
      <w:ind w:firstLine="402"/>
      <w:outlineLvl w:val="7"/>
    </w:pPr>
    <w:rPr>
      <w:rFonts w:ascii="Arial" w:hAnsi="Arial" w:eastAsia="黑体"/>
      <w:sz w:val="24"/>
    </w:rPr>
  </w:style>
  <w:style w:type="paragraph" w:styleId="10">
    <w:name w:val="heading 9"/>
    <w:basedOn w:val="1"/>
    <w:next w:val="1"/>
    <w:autoRedefine/>
    <w:semiHidden/>
    <w:unhideWhenUsed/>
    <w:qFormat/>
    <w:uiPriority w:val="9"/>
    <w:pPr>
      <w:keepNext/>
      <w:keepLines/>
      <w:numPr>
        <w:ilvl w:val="8"/>
        <w:numId w:val="1"/>
      </w:numPr>
      <w:spacing w:before="240" w:beforeLines="0" w:beforeAutospacing="0" w:after="64" w:afterLines="0" w:afterAutospacing="0" w:line="317" w:lineRule="auto"/>
      <w:ind w:firstLine="402"/>
      <w:outlineLvl w:val="8"/>
    </w:pPr>
    <w:rPr>
      <w:rFonts w:ascii="Arial" w:hAnsi="Arial" w:eastAsia="黑体"/>
      <w:sz w:val="21"/>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11">
    <w:name w:val="footer"/>
    <w:basedOn w:val="1"/>
    <w:semiHidden/>
    <w:unhideWhenUsed/>
    <w:qFormat/>
    <w:uiPriority w:val="99"/>
    <w:pPr>
      <w:tabs>
        <w:tab w:val="center" w:pos="4153"/>
        <w:tab w:val="right" w:pos="8306"/>
      </w:tabs>
      <w:snapToGrid w:val="0"/>
      <w:jc w:val="left"/>
    </w:pPr>
    <w:rPr>
      <w:sz w:val="18"/>
    </w:rPr>
  </w:style>
  <w:style w:type="paragraph" w:styleId="12">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toc 1"/>
    <w:basedOn w:val="1"/>
    <w:next w:val="1"/>
    <w:semiHidden/>
    <w:unhideWhenUsed/>
    <w:qFormat/>
    <w:uiPriority w:val="39"/>
    <w:rPr>
      <w:rFonts w:ascii="宋体"/>
    </w:rPr>
  </w:style>
  <w:style w:type="table" w:styleId="15">
    <w:name w:val="Table Grid"/>
    <w:basedOn w:val="1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22"/>
    <w:rPr>
      <w:b/>
    </w:rPr>
  </w:style>
  <w:style w:type="character" w:styleId="18">
    <w:name w:val="Hyperlink"/>
    <w:basedOn w:val="16"/>
    <w:semiHidden/>
    <w:unhideWhenUsed/>
    <w:qFormat/>
    <w:uiPriority w:val="99"/>
    <w:rPr>
      <w:color w:val="0000FF"/>
      <w:u w:val="single"/>
    </w:rPr>
  </w:style>
  <w:style w:type="character" w:customStyle="1" w:styleId="19">
    <w:name w:val="标题 1 Char"/>
    <w:link w:val="2"/>
    <w:qFormat/>
    <w:uiPriority w:val="0"/>
    <w:rPr>
      <w:rFonts w:ascii="Times New Roman" w:hAnsi="Times New Roman" w:eastAsia="新宋体" w:cs="Times New Roman"/>
      <w:b/>
      <w:kern w:val="44"/>
      <w:sz w:val="36"/>
    </w:rPr>
  </w:style>
  <w:style w:type="paragraph" w:customStyle="1" w:styleId="20">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1">
    <w:name w:val="标准文件_章标题"/>
    <w:next w:val="20"/>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22">
    <w:name w:val="标准文件_一级条标题"/>
    <w:basedOn w:val="21"/>
    <w:next w:val="20"/>
    <w:qFormat/>
    <w:uiPriority w:val="0"/>
    <w:pPr>
      <w:numPr>
        <w:ilvl w:val="2"/>
      </w:numPr>
      <w:spacing w:before="50" w:beforeLines="50" w:after="50" w:afterLines="50"/>
      <w:outlineLvl w:val="1"/>
    </w:pPr>
  </w:style>
  <w:style w:type="paragraph" w:customStyle="1" w:styleId="23">
    <w:name w:val="分类号"/>
    <w:basedOn w:val="1"/>
    <w:qFormat/>
    <w:uiPriority w:val="0"/>
    <w:rPr>
      <w:rFonts w:ascii="仿宋_GB2312" w:hAnsi="Times New Roman" w:eastAsia="仿宋_GB2312" w:cs="Times New Roman"/>
      <w:sz w:val="28"/>
      <w:szCs w:val="28"/>
    </w:rPr>
  </w:style>
  <w:style w:type="paragraph" w:customStyle="1" w:styleId="24">
    <w:name w:val="封面日期"/>
    <w:basedOn w:val="1"/>
    <w:qFormat/>
    <w:uiPriority w:val="0"/>
    <w:pPr>
      <w:jc w:val="center"/>
    </w:pPr>
    <w:rPr>
      <w:rFonts w:ascii="黑体" w:hAnsi="Times New Roman" w:eastAsia="黑体" w:cs="Times New Roman"/>
      <w:sz w:val="32"/>
      <w:szCs w:val="32"/>
    </w:rPr>
  </w:style>
  <w:style w:type="paragraph" w:customStyle="1" w:styleId="25">
    <w:name w:val="论文标题"/>
    <w:basedOn w:val="1"/>
    <w:qFormat/>
    <w:uiPriority w:val="0"/>
    <w:pPr>
      <w:jc w:val="center"/>
    </w:pPr>
    <w:rPr>
      <w:rFonts w:ascii="Times New Roman" w:hAnsi="Times New Roman" w:eastAsia="楷体_GB2312" w:cs="Times New Roman"/>
      <w:b/>
      <w:kern w:val="36"/>
      <w:sz w:val="52"/>
      <w:szCs w:val="52"/>
    </w:rPr>
  </w:style>
  <w:style w:type="paragraph" w:customStyle="1" w:styleId="26">
    <w:name w:val="硕士学位论文"/>
    <w:basedOn w:val="1"/>
    <w:qFormat/>
    <w:uiPriority w:val="0"/>
    <w:pPr>
      <w:spacing w:before="240"/>
      <w:jc w:val="center"/>
    </w:pPr>
    <w:rPr>
      <w:rFonts w:ascii="Times New Roman" w:hAnsi="Times New Roman" w:eastAsia="宋体" w:cs="Times New Roman"/>
      <w:sz w:val="44"/>
      <w:szCs w:val="44"/>
    </w:rPr>
  </w:style>
  <w:style w:type="paragraph" w:customStyle="1" w:styleId="27">
    <w:name w:val="研究生姓名"/>
    <w:basedOn w:val="1"/>
    <w:qFormat/>
    <w:uiPriority w:val="0"/>
    <w:pPr>
      <w:ind w:firstLine="700" w:firstLineChars="700"/>
    </w:pPr>
    <w:rPr>
      <w:rFonts w:ascii="Times New Roman" w:hAnsi="Times New Roman" w:eastAsia="宋体" w:cs="Times New Roman"/>
      <w:sz w:val="28"/>
      <w:szCs w:val="28"/>
    </w:rPr>
  </w:style>
  <w:style w:type="paragraph" w:customStyle="1" w:styleId="28">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29">
    <w:name w:val="标准文件_文件名称"/>
    <w:basedOn w:val="20"/>
    <w:next w:val="20"/>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12574</Words>
  <Characters>13845</Characters>
  <Lines>0</Lines>
  <Paragraphs>0</Paragraphs>
  <TotalTime>8</TotalTime>
  <ScaleCrop>false</ScaleCrop>
  <LinksUpToDate>false</LinksUpToDate>
  <CharactersWithSpaces>14048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2025-06-30T02:36:00Z</dcterms:created>
  <dc:creator>JTAQ</dc:creator>
  <cp:lastModifiedBy>JTAQ</cp:lastModifiedBy>
  <dcterms:modified xsi:type="dcterms:W3CDTF">2025-09-08T03:24:35Z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7940F95D1110460583B33E32BE346649_13</vt:lpwstr>
  </property>
  <property fmtid="{D5CDD505-2E9C-101B-9397-08002B2CF9AE}" pid="4" name="KSOTemplateDocerSaveRecord">
    <vt:lpwstr>eyJoZGlkIjoiMGI0ZTEwOTlhNjA1Y2ZiNTA2NjZhZGZmNGFmZGE2NWEiLCJ1c2VySWQiOiI2OTg2NzY3NjUifQ==</vt:lpwstr>
  </property>
</Properties>
</file>