
<file path=[Content_Types].xml><?xml version="1.0" encoding="utf-8"?>
<Types xmlns="http://schemas.openxmlformats.org/package/2006/content-types">
  <Default Extension="xml" ContentType="application/xml"/>
  <Default Extension="xlsx" ContentType="application/vnd.openxmlformats-officedocument.spreadsheetml.sheet"/>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harts/chart1.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olors1.xml" ContentType="application/vnd.ms-office.chartcolorstyle+xml"/>
  <Override PartName="/word/charts/colors10.xml" ContentType="application/vnd.ms-office.chartcolorstyle+xml"/>
  <Override PartName="/word/charts/colors11.xml" ContentType="application/vnd.ms-office.chartcolorstyle+xml"/>
  <Override PartName="/word/charts/colors12.xml" ContentType="application/vnd.ms-office.chartcolorstyle+xml"/>
  <Override PartName="/word/charts/colors2.xml" ContentType="application/vnd.ms-office.chartcolorstyle+xml"/>
  <Override PartName="/word/charts/colors3.xml" ContentType="application/vnd.ms-office.chartcolorstyle+xml"/>
  <Override PartName="/word/charts/colors4.xml" ContentType="application/vnd.ms-office.chartcolorstyle+xml"/>
  <Override PartName="/word/charts/colors5.xml" ContentType="application/vnd.ms-office.chartcolorstyle+xml"/>
  <Override PartName="/word/charts/colors6.xml" ContentType="application/vnd.ms-office.chartcolorstyle+xml"/>
  <Override PartName="/word/charts/colors7.xml" ContentType="application/vnd.ms-office.chartcolorstyle+xml"/>
  <Override PartName="/word/charts/colors8.xml" ContentType="application/vnd.ms-office.chartcolorstyle+xml"/>
  <Override PartName="/word/charts/colors9.xml" ContentType="application/vnd.ms-office.chartcolorstyle+xml"/>
  <Override PartName="/word/charts/style1.xml" ContentType="application/vnd.ms-office.chartstyle+xml"/>
  <Override PartName="/word/charts/style10.xml" ContentType="application/vnd.ms-office.chartstyle+xml"/>
  <Override PartName="/word/charts/style11.xml" ContentType="application/vnd.ms-office.chartstyle+xml"/>
  <Override PartName="/word/charts/style12.xml" ContentType="application/vnd.ms-office.chartstyle+xml"/>
  <Override PartName="/word/charts/style2.xml" ContentType="application/vnd.ms-office.chartstyle+xml"/>
  <Override PartName="/word/charts/style3.xml" ContentType="application/vnd.ms-office.chartstyle+xml"/>
  <Override PartName="/word/charts/style4.xml" ContentType="application/vnd.ms-office.chartstyle+xml"/>
  <Override PartName="/word/charts/style5.xml" ContentType="application/vnd.ms-office.chartstyle+xml"/>
  <Override PartName="/word/charts/style6.xml" ContentType="application/vnd.ms-office.chartstyle+xml"/>
  <Override PartName="/word/charts/style7.xml" ContentType="application/vnd.ms-office.chartstyle+xml"/>
  <Override PartName="/word/charts/style8.xml" ContentType="application/vnd.ms-office.chartstyle+xml"/>
  <Override PartName="/word/charts/style9.xml" ContentType="application/vnd.ms-office.chartstyle+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8C37B7B">
      <w:pPr>
        <w:keepNext w:val="0"/>
        <w:keepLines w:val="0"/>
        <w:pageBreakBefore w:val="0"/>
        <w:widowControl/>
        <w:kinsoku/>
        <w:wordWrap/>
        <w:autoSpaceDE/>
        <w:autoSpaceDN/>
        <w:bidi w:val="0"/>
        <w:jc w:val="center"/>
        <w:rPr>
          <w:rFonts w:hint="default" w:ascii="Times New Roman" w:hAnsi="Times New Roman" w:eastAsia="宋体" w:cs="Times New Roman"/>
          <w:sz w:val="36"/>
          <w:szCs w:val="44"/>
          <w:highlight w:val="none"/>
          <w:lang w:eastAsia="zh-CN"/>
        </w:rPr>
      </w:pPr>
    </w:p>
    <w:p w14:paraId="73483EA0">
      <w:pPr>
        <w:keepNext w:val="0"/>
        <w:keepLines w:val="0"/>
        <w:pageBreakBefore w:val="0"/>
        <w:widowControl/>
        <w:kinsoku/>
        <w:wordWrap/>
        <w:autoSpaceDE/>
        <w:autoSpaceDN/>
        <w:bidi w:val="0"/>
        <w:jc w:val="center"/>
        <w:rPr>
          <w:rFonts w:hint="default" w:ascii="Times New Roman" w:hAnsi="Times New Roman" w:cs="Times New Roman"/>
          <w:sz w:val="36"/>
          <w:szCs w:val="44"/>
          <w:highlight w:val="none"/>
        </w:rPr>
      </w:pPr>
    </w:p>
    <w:p w14:paraId="000E4AC3">
      <w:pPr>
        <w:keepNext w:val="0"/>
        <w:keepLines w:val="0"/>
        <w:pageBreakBefore w:val="0"/>
        <w:widowControl/>
        <w:kinsoku/>
        <w:wordWrap/>
        <w:autoSpaceDE/>
        <w:autoSpaceDN/>
        <w:bidi w:val="0"/>
        <w:jc w:val="center"/>
        <w:rPr>
          <w:rFonts w:hint="default" w:ascii="Times New Roman" w:hAnsi="Times New Roman" w:cs="Times New Roman"/>
          <w:sz w:val="36"/>
          <w:szCs w:val="44"/>
          <w:highlight w:val="none"/>
        </w:rPr>
      </w:pPr>
    </w:p>
    <w:p w14:paraId="5C196C73">
      <w:pPr>
        <w:keepNext w:val="0"/>
        <w:keepLines w:val="0"/>
        <w:pageBreakBefore w:val="0"/>
        <w:widowControl/>
        <w:kinsoku/>
        <w:wordWrap/>
        <w:autoSpaceDE/>
        <w:autoSpaceDN/>
        <w:bidi w:val="0"/>
        <w:jc w:val="center"/>
        <w:rPr>
          <w:rFonts w:hint="default" w:ascii="Times New Roman" w:hAnsi="Times New Roman" w:cs="Times New Roman"/>
          <w:sz w:val="48"/>
          <w:szCs w:val="56"/>
          <w:highlight w:val="none"/>
        </w:rPr>
      </w:pPr>
    </w:p>
    <w:p w14:paraId="41029EA0">
      <w:pPr>
        <w:keepNext w:val="0"/>
        <w:keepLines w:val="0"/>
        <w:pageBreakBefore w:val="0"/>
        <w:widowControl/>
        <w:kinsoku/>
        <w:wordWrap/>
        <w:autoSpaceDE/>
        <w:autoSpaceDN/>
        <w:bidi w:val="0"/>
        <w:adjustRightInd/>
        <w:snapToGrid/>
        <w:spacing w:line="360" w:lineRule="auto"/>
        <w:ind w:firstLine="0" w:firstLineChars="0"/>
        <w:jc w:val="center"/>
        <w:textAlignment w:val="auto"/>
        <w:rPr>
          <w:rFonts w:hint="default" w:ascii="Times New Roman" w:hAnsi="Times New Roman" w:eastAsia="黑体" w:cs="Times New Roman"/>
          <w:b/>
          <w:bCs/>
          <w:sz w:val="52"/>
          <w:szCs w:val="72"/>
          <w:highlight w:val="none"/>
        </w:rPr>
      </w:pPr>
    </w:p>
    <w:p w14:paraId="1B9B3AD3">
      <w:pPr>
        <w:keepNext w:val="0"/>
        <w:keepLines w:val="0"/>
        <w:pageBreakBefore w:val="0"/>
        <w:widowControl/>
        <w:kinsoku/>
        <w:wordWrap/>
        <w:overflowPunct w:val="0"/>
        <w:topLinePunct/>
        <w:autoSpaceDE/>
        <w:autoSpaceDN/>
        <w:bidi w:val="0"/>
        <w:adjustRightInd/>
        <w:snapToGrid/>
        <w:spacing w:line="360" w:lineRule="auto"/>
        <w:ind w:firstLine="0" w:firstLineChars="0"/>
        <w:jc w:val="center"/>
        <w:textAlignment w:val="auto"/>
        <w:rPr>
          <w:rFonts w:hint="default" w:ascii="Times New Roman" w:hAnsi="Times New Roman" w:cs="Times New Roman" w:eastAsiaTheme="minorEastAsia"/>
          <w:b/>
          <w:sz w:val="43"/>
          <w:szCs w:val="43"/>
          <w:highlight w:val="none"/>
        </w:rPr>
      </w:pPr>
      <w:r>
        <w:rPr>
          <w:rFonts w:hint="default" w:ascii="Times New Roman" w:hAnsi="Times New Roman" w:cs="Times New Roman" w:eastAsiaTheme="minorEastAsia"/>
          <w:b/>
          <w:sz w:val="43"/>
          <w:szCs w:val="43"/>
          <w:highlight w:val="none"/>
        </w:rPr>
        <w:t>四川省汽车维修行业大气污染物排放标准</w:t>
      </w:r>
    </w:p>
    <w:p w14:paraId="27A55CA5">
      <w:pPr>
        <w:keepNext w:val="0"/>
        <w:keepLines w:val="0"/>
        <w:pageBreakBefore w:val="0"/>
        <w:widowControl/>
        <w:kinsoku/>
        <w:wordWrap/>
        <w:overflowPunct w:val="0"/>
        <w:topLinePunct/>
        <w:autoSpaceDE/>
        <w:autoSpaceDN/>
        <w:bidi w:val="0"/>
        <w:adjustRightInd/>
        <w:snapToGrid/>
        <w:spacing w:line="360" w:lineRule="auto"/>
        <w:ind w:firstLine="0" w:firstLineChars="0"/>
        <w:jc w:val="center"/>
        <w:textAlignment w:val="auto"/>
        <w:rPr>
          <w:rFonts w:hint="default" w:ascii="Times New Roman" w:hAnsi="Times New Roman" w:cs="Times New Roman" w:eastAsiaTheme="minorEastAsia"/>
          <w:b/>
          <w:sz w:val="43"/>
          <w:szCs w:val="43"/>
          <w:highlight w:val="none"/>
        </w:rPr>
      </w:pPr>
      <w:r>
        <w:rPr>
          <w:rFonts w:hint="default" w:ascii="Times New Roman" w:hAnsi="Times New Roman" w:cs="Times New Roman" w:eastAsiaTheme="minorEastAsia"/>
          <w:b/>
          <w:sz w:val="43"/>
          <w:szCs w:val="43"/>
          <w:highlight w:val="none"/>
        </w:rPr>
        <w:t>编制说明</w:t>
      </w:r>
    </w:p>
    <w:p w14:paraId="5D827CFE">
      <w:pPr>
        <w:keepNext w:val="0"/>
        <w:keepLines w:val="0"/>
        <w:pageBreakBefore w:val="0"/>
        <w:widowControl/>
        <w:kinsoku/>
        <w:wordWrap/>
        <w:autoSpaceDE/>
        <w:autoSpaceDN/>
        <w:bidi w:val="0"/>
        <w:adjustRightInd/>
        <w:snapToGrid/>
        <w:ind w:firstLine="0" w:firstLineChars="0"/>
        <w:jc w:val="center"/>
        <w:textAlignment w:val="auto"/>
        <w:rPr>
          <w:rFonts w:hint="default" w:ascii="Times New Roman" w:hAnsi="Times New Roman" w:cs="Times New Roman" w:eastAsiaTheme="minorEastAsia"/>
          <w:b/>
          <w:bCs/>
          <w:sz w:val="43"/>
          <w:szCs w:val="43"/>
          <w:highlight w:val="none"/>
        </w:rPr>
      </w:pPr>
      <w:r>
        <w:rPr>
          <w:rFonts w:hint="default" w:ascii="Times New Roman" w:hAnsi="Times New Roman" w:cs="Times New Roman" w:eastAsiaTheme="minorEastAsia"/>
          <w:b/>
          <w:bCs/>
          <w:sz w:val="43"/>
          <w:szCs w:val="43"/>
          <w:highlight w:val="none"/>
        </w:rPr>
        <w:t>（征求意见稿）</w:t>
      </w:r>
    </w:p>
    <w:p w14:paraId="4E218497">
      <w:pPr>
        <w:keepNext w:val="0"/>
        <w:keepLines w:val="0"/>
        <w:pageBreakBefore w:val="0"/>
        <w:widowControl/>
        <w:kinsoku/>
        <w:wordWrap/>
        <w:autoSpaceDE/>
        <w:autoSpaceDN/>
        <w:bidi w:val="0"/>
        <w:adjustRightInd/>
        <w:snapToGrid/>
        <w:ind w:firstLine="0" w:firstLineChars="0"/>
        <w:textAlignment w:val="auto"/>
        <w:rPr>
          <w:rFonts w:hint="default" w:ascii="Times New Roman" w:hAnsi="Times New Roman" w:cs="Times New Roman" w:eastAsiaTheme="minorEastAsia"/>
          <w:sz w:val="28"/>
          <w:szCs w:val="36"/>
          <w:highlight w:val="none"/>
        </w:rPr>
      </w:pPr>
    </w:p>
    <w:p w14:paraId="2BBB75EF">
      <w:pPr>
        <w:keepNext w:val="0"/>
        <w:keepLines w:val="0"/>
        <w:pageBreakBefore w:val="0"/>
        <w:widowControl/>
        <w:kinsoku/>
        <w:wordWrap/>
        <w:autoSpaceDE/>
        <w:autoSpaceDN/>
        <w:bidi w:val="0"/>
        <w:adjustRightInd/>
        <w:snapToGrid/>
        <w:ind w:firstLine="0" w:firstLineChars="0"/>
        <w:textAlignment w:val="auto"/>
        <w:rPr>
          <w:rFonts w:hint="default" w:ascii="Times New Roman" w:hAnsi="Times New Roman" w:cs="Times New Roman" w:eastAsiaTheme="minorEastAsia"/>
          <w:sz w:val="28"/>
          <w:szCs w:val="36"/>
          <w:highlight w:val="none"/>
        </w:rPr>
      </w:pPr>
    </w:p>
    <w:p w14:paraId="4B96E2F4">
      <w:pPr>
        <w:keepNext w:val="0"/>
        <w:keepLines w:val="0"/>
        <w:pageBreakBefore w:val="0"/>
        <w:widowControl/>
        <w:kinsoku/>
        <w:wordWrap/>
        <w:autoSpaceDE/>
        <w:autoSpaceDN/>
        <w:bidi w:val="0"/>
        <w:adjustRightInd/>
        <w:snapToGrid/>
        <w:ind w:firstLine="0" w:firstLineChars="0"/>
        <w:textAlignment w:val="auto"/>
        <w:rPr>
          <w:rFonts w:hint="default" w:ascii="Times New Roman" w:hAnsi="Times New Roman" w:cs="Times New Roman" w:eastAsiaTheme="minorEastAsia"/>
          <w:sz w:val="28"/>
          <w:szCs w:val="36"/>
          <w:highlight w:val="none"/>
        </w:rPr>
      </w:pPr>
    </w:p>
    <w:p w14:paraId="51391A5E">
      <w:pPr>
        <w:keepNext w:val="0"/>
        <w:keepLines w:val="0"/>
        <w:pageBreakBefore w:val="0"/>
        <w:widowControl/>
        <w:kinsoku/>
        <w:wordWrap/>
        <w:autoSpaceDE/>
        <w:autoSpaceDN/>
        <w:bidi w:val="0"/>
        <w:adjustRightInd/>
        <w:snapToGrid/>
        <w:ind w:firstLine="0" w:firstLineChars="0"/>
        <w:textAlignment w:val="auto"/>
        <w:rPr>
          <w:rFonts w:hint="default" w:ascii="Times New Roman" w:hAnsi="Times New Roman" w:cs="Times New Roman" w:eastAsiaTheme="minorEastAsia"/>
          <w:sz w:val="28"/>
          <w:szCs w:val="36"/>
          <w:highlight w:val="none"/>
        </w:rPr>
      </w:pPr>
    </w:p>
    <w:p w14:paraId="2F197E46">
      <w:pPr>
        <w:keepNext w:val="0"/>
        <w:keepLines w:val="0"/>
        <w:pageBreakBefore w:val="0"/>
        <w:widowControl/>
        <w:kinsoku/>
        <w:wordWrap/>
        <w:autoSpaceDE/>
        <w:autoSpaceDN/>
        <w:bidi w:val="0"/>
        <w:adjustRightInd/>
        <w:snapToGrid/>
        <w:ind w:firstLine="0" w:firstLineChars="0"/>
        <w:textAlignment w:val="auto"/>
        <w:rPr>
          <w:rFonts w:hint="default" w:ascii="Times New Roman" w:hAnsi="Times New Roman" w:cs="Times New Roman" w:eastAsiaTheme="minorEastAsia"/>
          <w:sz w:val="28"/>
          <w:szCs w:val="36"/>
          <w:highlight w:val="none"/>
        </w:rPr>
      </w:pPr>
    </w:p>
    <w:p w14:paraId="770D2170">
      <w:pPr>
        <w:keepNext w:val="0"/>
        <w:keepLines w:val="0"/>
        <w:pageBreakBefore w:val="0"/>
        <w:widowControl/>
        <w:kinsoku/>
        <w:wordWrap/>
        <w:autoSpaceDE/>
        <w:autoSpaceDN/>
        <w:bidi w:val="0"/>
        <w:adjustRightInd/>
        <w:snapToGrid/>
        <w:ind w:firstLine="0" w:firstLineChars="0"/>
        <w:textAlignment w:val="auto"/>
        <w:rPr>
          <w:rFonts w:hint="default" w:ascii="Times New Roman" w:hAnsi="Times New Roman" w:cs="Times New Roman" w:eastAsiaTheme="minorEastAsia"/>
          <w:sz w:val="28"/>
          <w:szCs w:val="36"/>
          <w:highlight w:val="none"/>
        </w:rPr>
      </w:pPr>
    </w:p>
    <w:p w14:paraId="76EEF718">
      <w:pPr>
        <w:keepNext w:val="0"/>
        <w:keepLines w:val="0"/>
        <w:pageBreakBefore w:val="0"/>
        <w:widowControl/>
        <w:kinsoku/>
        <w:wordWrap/>
        <w:autoSpaceDE/>
        <w:autoSpaceDN/>
        <w:bidi w:val="0"/>
        <w:adjustRightInd/>
        <w:snapToGrid/>
        <w:ind w:firstLine="0" w:firstLineChars="0"/>
        <w:textAlignment w:val="auto"/>
        <w:rPr>
          <w:rFonts w:hint="default" w:ascii="Times New Roman" w:hAnsi="Times New Roman" w:cs="Times New Roman" w:eastAsiaTheme="minorEastAsia"/>
          <w:sz w:val="28"/>
          <w:szCs w:val="36"/>
          <w:highlight w:val="none"/>
        </w:rPr>
      </w:pPr>
    </w:p>
    <w:p w14:paraId="515DB4E5">
      <w:pPr>
        <w:keepNext w:val="0"/>
        <w:keepLines w:val="0"/>
        <w:pageBreakBefore w:val="0"/>
        <w:widowControl/>
        <w:kinsoku/>
        <w:wordWrap/>
        <w:autoSpaceDE/>
        <w:autoSpaceDN/>
        <w:bidi w:val="0"/>
        <w:adjustRightInd/>
        <w:snapToGrid/>
        <w:ind w:firstLine="0" w:firstLineChars="0"/>
        <w:textAlignment w:val="auto"/>
        <w:rPr>
          <w:rFonts w:hint="default" w:ascii="Times New Roman" w:hAnsi="Times New Roman" w:cs="Times New Roman" w:eastAsiaTheme="minorEastAsia"/>
          <w:sz w:val="28"/>
          <w:szCs w:val="36"/>
          <w:highlight w:val="none"/>
        </w:rPr>
      </w:pPr>
    </w:p>
    <w:p w14:paraId="3CB710F7">
      <w:pPr>
        <w:keepNext w:val="0"/>
        <w:keepLines w:val="0"/>
        <w:pageBreakBefore w:val="0"/>
        <w:widowControl/>
        <w:kinsoku/>
        <w:wordWrap/>
        <w:autoSpaceDE/>
        <w:autoSpaceDN/>
        <w:bidi w:val="0"/>
        <w:adjustRightInd/>
        <w:snapToGrid/>
        <w:ind w:firstLine="0" w:firstLineChars="0"/>
        <w:textAlignment w:val="auto"/>
        <w:rPr>
          <w:rFonts w:hint="default" w:ascii="Times New Roman" w:hAnsi="Times New Roman" w:cs="Times New Roman" w:eastAsiaTheme="minorEastAsia"/>
          <w:sz w:val="28"/>
          <w:szCs w:val="36"/>
          <w:highlight w:val="none"/>
        </w:rPr>
      </w:pPr>
    </w:p>
    <w:p w14:paraId="104A21D1">
      <w:pPr>
        <w:keepNext w:val="0"/>
        <w:keepLines w:val="0"/>
        <w:pageBreakBefore w:val="0"/>
        <w:widowControl/>
        <w:kinsoku/>
        <w:wordWrap/>
        <w:autoSpaceDE/>
        <w:autoSpaceDN/>
        <w:bidi w:val="0"/>
        <w:adjustRightInd/>
        <w:snapToGrid/>
        <w:ind w:firstLine="0" w:firstLineChars="0"/>
        <w:jc w:val="center"/>
        <w:textAlignment w:val="auto"/>
        <w:rPr>
          <w:rFonts w:hint="default" w:ascii="Times New Roman" w:hAnsi="Times New Roman" w:cs="Times New Roman" w:eastAsiaTheme="minorEastAsia"/>
          <w:bCs/>
          <w:sz w:val="31"/>
          <w:szCs w:val="31"/>
          <w:highlight w:val="none"/>
        </w:rPr>
      </w:pPr>
      <w:r>
        <w:rPr>
          <w:rFonts w:hint="default" w:ascii="Times New Roman" w:hAnsi="Times New Roman" w:cs="Times New Roman" w:eastAsiaTheme="minorEastAsia"/>
          <w:bCs/>
          <w:sz w:val="31"/>
          <w:szCs w:val="31"/>
          <w:highlight w:val="none"/>
        </w:rPr>
        <w:t>四川省生态环境科学研究院</w:t>
      </w:r>
    </w:p>
    <w:p w14:paraId="4167777B">
      <w:pPr>
        <w:keepNext w:val="0"/>
        <w:keepLines w:val="0"/>
        <w:pageBreakBefore w:val="0"/>
        <w:widowControl/>
        <w:kinsoku/>
        <w:wordWrap/>
        <w:autoSpaceDE/>
        <w:autoSpaceDN/>
        <w:bidi w:val="0"/>
        <w:adjustRightInd/>
        <w:snapToGrid/>
        <w:ind w:firstLine="0" w:firstLineChars="0"/>
        <w:jc w:val="center"/>
        <w:textAlignment w:val="auto"/>
        <w:rPr>
          <w:rFonts w:hint="default" w:ascii="Times New Roman" w:hAnsi="Times New Roman" w:cs="Times New Roman" w:eastAsiaTheme="minorEastAsia"/>
          <w:bCs/>
          <w:sz w:val="31"/>
          <w:szCs w:val="31"/>
          <w:highlight w:val="none"/>
        </w:rPr>
        <w:sectPr>
          <w:pgSz w:w="11906" w:h="16838"/>
          <w:pgMar w:top="1191"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r>
        <w:rPr>
          <w:rFonts w:hint="default" w:ascii="Times New Roman" w:hAnsi="Times New Roman" w:cs="Times New Roman" w:eastAsiaTheme="minorEastAsia"/>
          <w:bCs/>
          <w:sz w:val="31"/>
          <w:szCs w:val="31"/>
          <w:highlight w:val="none"/>
        </w:rPr>
        <w:t>202</w:t>
      </w:r>
      <w:r>
        <w:rPr>
          <w:rFonts w:hint="default" w:ascii="Times New Roman" w:hAnsi="Times New Roman" w:cs="Times New Roman" w:eastAsiaTheme="minorEastAsia"/>
          <w:bCs/>
          <w:sz w:val="31"/>
          <w:szCs w:val="31"/>
          <w:highlight w:val="none"/>
          <w:lang w:val="en-US" w:eastAsia="zh-CN"/>
        </w:rPr>
        <w:t>5</w:t>
      </w:r>
      <w:r>
        <w:rPr>
          <w:rFonts w:hint="default" w:ascii="Times New Roman" w:hAnsi="Times New Roman" w:cs="Times New Roman" w:eastAsiaTheme="minorEastAsia"/>
          <w:bCs/>
          <w:sz w:val="31"/>
          <w:szCs w:val="31"/>
          <w:highlight w:val="none"/>
        </w:rPr>
        <w:t>年</w:t>
      </w:r>
      <w:r>
        <w:rPr>
          <w:rFonts w:hint="eastAsia" w:cs="Times New Roman" w:eastAsiaTheme="minorEastAsia"/>
          <w:bCs/>
          <w:sz w:val="31"/>
          <w:szCs w:val="31"/>
          <w:highlight w:val="none"/>
          <w:lang w:val="en-US" w:eastAsia="zh-CN"/>
        </w:rPr>
        <w:t>7</w:t>
      </w:r>
      <w:r>
        <w:rPr>
          <w:rFonts w:hint="default" w:ascii="Times New Roman" w:hAnsi="Times New Roman" w:cs="Times New Roman" w:eastAsiaTheme="minorEastAsia"/>
          <w:bCs/>
          <w:sz w:val="31"/>
          <w:szCs w:val="31"/>
          <w:highlight w:val="none"/>
        </w:rPr>
        <w:t>月</w:t>
      </w:r>
    </w:p>
    <w:sdt>
      <w:sdtPr>
        <w:rPr>
          <w:rFonts w:hint="default" w:ascii="Times New Roman" w:hAnsi="Times New Roman" w:cs="Times New Roman"/>
          <w:highlight w:val="none"/>
        </w:rPr>
        <w:id w:val="147451672"/>
        <w15:color w:val="DBDBDB"/>
        <w:docPartObj>
          <w:docPartGallery w:val="Table of Contents"/>
          <w:docPartUnique/>
        </w:docPartObj>
      </w:sdtPr>
      <w:sdtEndPr>
        <w:rPr>
          <w:rFonts w:hint="default" w:ascii="Times New Roman" w:hAnsi="Times New Roman" w:cs="Times New Roman"/>
          <w:highlight w:val="none"/>
        </w:rPr>
      </w:sdtEndPr>
      <w:sdtContent>
        <w:p w14:paraId="49911379">
          <w:pPr>
            <w:keepNext w:val="0"/>
            <w:keepLines w:val="0"/>
            <w:pageBreakBefore w:val="0"/>
            <w:widowControl/>
            <w:kinsoku/>
            <w:wordWrap/>
            <w:autoSpaceDE/>
            <w:autoSpaceDN/>
            <w:bidi w:val="0"/>
            <w:jc w:val="center"/>
            <w:rPr>
              <w:rFonts w:hint="default" w:ascii="Times New Roman" w:hAnsi="Times New Roman" w:cs="Times New Roman"/>
              <w:b/>
              <w:sz w:val="28"/>
              <w:szCs w:val="28"/>
              <w:highlight w:val="none"/>
            </w:rPr>
          </w:pPr>
          <w:r>
            <w:rPr>
              <w:rFonts w:hint="default" w:ascii="Times New Roman" w:hAnsi="Times New Roman" w:cs="Times New Roman"/>
              <w:b/>
              <w:sz w:val="28"/>
              <w:szCs w:val="28"/>
              <w:highlight w:val="none"/>
            </w:rPr>
            <w:t>目录</w:t>
          </w:r>
        </w:p>
        <w:p w14:paraId="6EC69B31">
          <w:pPr>
            <w:pStyle w:val="16"/>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TOC \o "1-3" \h \u </w:instrText>
          </w:r>
          <w:r>
            <w:rPr>
              <w:rFonts w:hint="default" w:ascii="Times New Roman" w:hAnsi="Times New Roman" w:cs="Times New Roman"/>
              <w:highlight w:val="none"/>
            </w:rPr>
            <w:fldChar w:fldCharType="separate"/>
          </w: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_Toc17203 </w:instrText>
          </w:r>
          <w:r>
            <w:rPr>
              <w:rFonts w:hint="default" w:ascii="Times New Roman" w:hAnsi="Times New Roman" w:cs="Times New Roman"/>
              <w:highlight w:val="none"/>
            </w:rPr>
            <w:fldChar w:fldCharType="separate"/>
          </w:r>
          <w:r>
            <w:rPr>
              <w:rFonts w:hint="eastAsia" w:ascii="Times New Roman" w:hAnsi="Times New Roman" w:cs="Times New Roman"/>
              <w:lang w:val="en-US"/>
            </w:rPr>
            <w:t xml:space="preserve">一、 </w:t>
          </w:r>
          <w:r>
            <w:rPr>
              <w:rFonts w:hint="default" w:ascii="Times New Roman" w:hAnsi="Times New Roman" w:cs="Times New Roman"/>
              <w:highlight w:val="none"/>
            </w:rPr>
            <w:t>任务来源和工作过程</w:t>
          </w:r>
          <w:r>
            <w:tab/>
          </w:r>
          <w:r>
            <w:fldChar w:fldCharType="begin"/>
          </w:r>
          <w:r>
            <w:instrText xml:space="preserve"> PAGEREF _Toc17203 \h </w:instrText>
          </w:r>
          <w:r>
            <w:fldChar w:fldCharType="separate"/>
          </w:r>
          <w:r>
            <w:t>1</w:t>
          </w:r>
          <w:r>
            <w:fldChar w:fldCharType="end"/>
          </w:r>
          <w:r>
            <w:rPr>
              <w:rFonts w:hint="default" w:ascii="Times New Roman" w:hAnsi="Times New Roman" w:cs="Times New Roman"/>
              <w:highlight w:val="none"/>
            </w:rPr>
            <w:fldChar w:fldCharType="end"/>
          </w:r>
        </w:p>
        <w:p w14:paraId="24EA350D">
          <w:pPr>
            <w:pStyle w:val="18"/>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_Toc6107 </w:instrText>
          </w:r>
          <w:r>
            <w:rPr>
              <w:rFonts w:hint="default" w:ascii="Times New Roman" w:hAnsi="Times New Roman" w:cs="Times New Roman"/>
              <w:highlight w:val="none"/>
            </w:rPr>
            <w:fldChar w:fldCharType="separate"/>
          </w:r>
          <w:r>
            <w:rPr>
              <w:rFonts w:hint="eastAsia" w:ascii="Times New Roman" w:hAnsi="Times New Roman" w:cs="Times New Roman"/>
            </w:rPr>
            <w:t xml:space="preserve">1.1. </w:t>
          </w:r>
          <w:r>
            <w:rPr>
              <w:rFonts w:hint="default" w:ascii="Times New Roman" w:hAnsi="Times New Roman" w:cs="Times New Roman"/>
              <w:highlight w:val="none"/>
            </w:rPr>
            <w:t>任务来源</w:t>
          </w:r>
          <w:r>
            <w:tab/>
          </w:r>
          <w:r>
            <w:fldChar w:fldCharType="begin"/>
          </w:r>
          <w:r>
            <w:instrText xml:space="preserve"> PAGEREF _Toc6107 \h </w:instrText>
          </w:r>
          <w:r>
            <w:fldChar w:fldCharType="separate"/>
          </w:r>
          <w:r>
            <w:t>1</w:t>
          </w:r>
          <w:r>
            <w:fldChar w:fldCharType="end"/>
          </w:r>
          <w:r>
            <w:rPr>
              <w:rFonts w:hint="default" w:ascii="Times New Roman" w:hAnsi="Times New Roman" w:cs="Times New Roman"/>
              <w:highlight w:val="none"/>
            </w:rPr>
            <w:fldChar w:fldCharType="end"/>
          </w:r>
        </w:p>
        <w:p w14:paraId="3355DD67">
          <w:pPr>
            <w:pStyle w:val="18"/>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_Toc25435 </w:instrText>
          </w:r>
          <w:r>
            <w:rPr>
              <w:rFonts w:hint="default" w:ascii="Times New Roman" w:hAnsi="Times New Roman" w:cs="Times New Roman"/>
              <w:highlight w:val="none"/>
            </w:rPr>
            <w:fldChar w:fldCharType="separate"/>
          </w:r>
          <w:r>
            <w:rPr>
              <w:rFonts w:hint="eastAsia" w:ascii="Times New Roman" w:hAnsi="Times New Roman" w:cs="Times New Roman"/>
            </w:rPr>
            <w:t xml:space="preserve">1.2. </w:t>
          </w:r>
          <w:r>
            <w:rPr>
              <w:rFonts w:hint="default" w:ascii="Times New Roman" w:hAnsi="Times New Roman" w:cs="Times New Roman"/>
              <w:highlight w:val="none"/>
            </w:rPr>
            <w:t>工作过程</w:t>
          </w:r>
          <w:r>
            <w:tab/>
          </w:r>
          <w:r>
            <w:fldChar w:fldCharType="begin"/>
          </w:r>
          <w:r>
            <w:instrText xml:space="preserve"> PAGEREF _Toc25435 \h </w:instrText>
          </w:r>
          <w:r>
            <w:fldChar w:fldCharType="separate"/>
          </w:r>
          <w:r>
            <w:t>1</w:t>
          </w:r>
          <w:r>
            <w:fldChar w:fldCharType="end"/>
          </w:r>
          <w:r>
            <w:rPr>
              <w:rFonts w:hint="default" w:ascii="Times New Roman" w:hAnsi="Times New Roman" w:cs="Times New Roman"/>
              <w:highlight w:val="none"/>
            </w:rPr>
            <w:fldChar w:fldCharType="end"/>
          </w:r>
        </w:p>
        <w:p w14:paraId="7E24F42E">
          <w:pPr>
            <w:pStyle w:val="16"/>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_Toc19873 </w:instrText>
          </w:r>
          <w:r>
            <w:rPr>
              <w:rFonts w:hint="default" w:ascii="Times New Roman" w:hAnsi="Times New Roman" w:cs="Times New Roman"/>
              <w:highlight w:val="none"/>
            </w:rPr>
            <w:fldChar w:fldCharType="separate"/>
          </w:r>
          <w:r>
            <w:rPr>
              <w:rFonts w:hint="eastAsia" w:ascii="Times New Roman" w:hAnsi="Times New Roman" w:cs="Times New Roman"/>
            </w:rPr>
            <w:t xml:space="preserve">二、 </w:t>
          </w:r>
          <w:r>
            <w:rPr>
              <w:rFonts w:hint="default" w:ascii="Times New Roman" w:hAnsi="Times New Roman" w:cs="Times New Roman"/>
              <w:highlight w:val="none"/>
            </w:rPr>
            <w:t>标准制定的必要性和意义</w:t>
          </w:r>
          <w:r>
            <w:tab/>
          </w:r>
          <w:r>
            <w:fldChar w:fldCharType="begin"/>
          </w:r>
          <w:r>
            <w:instrText xml:space="preserve"> PAGEREF _Toc19873 \h </w:instrText>
          </w:r>
          <w:r>
            <w:fldChar w:fldCharType="separate"/>
          </w:r>
          <w:r>
            <w:t>2</w:t>
          </w:r>
          <w:r>
            <w:fldChar w:fldCharType="end"/>
          </w:r>
          <w:r>
            <w:rPr>
              <w:rFonts w:hint="default" w:ascii="Times New Roman" w:hAnsi="Times New Roman" w:cs="Times New Roman"/>
              <w:highlight w:val="none"/>
            </w:rPr>
            <w:fldChar w:fldCharType="end"/>
          </w:r>
        </w:p>
        <w:p w14:paraId="40DBF94B">
          <w:pPr>
            <w:pStyle w:val="18"/>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_Toc27886 </w:instrText>
          </w:r>
          <w:r>
            <w:rPr>
              <w:rFonts w:hint="default" w:ascii="Times New Roman" w:hAnsi="Times New Roman" w:cs="Times New Roman"/>
              <w:highlight w:val="none"/>
            </w:rPr>
            <w:fldChar w:fldCharType="separate"/>
          </w:r>
          <w:r>
            <w:rPr>
              <w:rFonts w:hint="eastAsia" w:ascii="Times New Roman" w:hAnsi="Times New Roman" w:cs="Times New Roman"/>
            </w:rPr>
            <w:t xml:space="preserve">2.1. </w:t>
          </w:r>
          <w:r>
            <w:rPr>
              <w:rFonts w:hint="default" w:ascii="Times New Roman" w:hAnsi="Times New Roman" w:cs="Times New Roman"/>
              <w:highlight w:val="none"/>
            </w:rPr>
            <w:t>污染物持续减排的需求</w:t>
          </w:r>
          <w:r>
            <w:tab/>
          </w:r>
          <w:r>
            <w:fldChar w:fldCharType="begin"/>
          </w:r>
          <w:r>
            <w:instrText xml:space="preserve"> PAGEREF _Toc27886 \h </w:instrText>
          </w:r>
          <w:r>
            <w:fldChar w:fldCharType="separate"/>
          </w:r>
          <w:r>
            <w:t>2</w:t>
          </w:r>
          <w:r>
            <w:fldChar w:fldCharType="end"/>
          </w:r>
          <w:r>
            <w:rPr>
              <w:rFonts w:hint="default" w:ascii="Times New Roman" w:hAnsi="Times New Roman" w:cs="Times New Roman"/>
              <w:highlight w:val="none"/>
            </w:rPr>
            <w:fldChar w:fldCharType="end"/>
          </w:r>
        </w:p>
        <w:p w14:paraId="063345AB">
          <w:pPr>
            <w:pStyle w:val="18"/>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_Toc26463 </w:instrText>
          </w:r>
          <w:r>
            <w:rPr>
              <w:rFonts w:hint="default" w:ascii="Times New Roman" w:hAnsi="Times New Roman" w:cs="Times New Roman"/>
              <w:highlight w:val="none"/>
            </w:rPr>
            <w:fldChar w:fldCharType="separate"/>
          </w:r>
          <w:r>
            <w:rPr>
              <w:rFonts w:hint="eastAsia" w:ascii="Times New Roman" w:hAnsi="Times New Roman" w:cs="Times New Roman"/>
            </w:rPr>
            <w:t xml:space="preserve">2.2. </w:t>
          </w:r>
          <w:r>
            <w:rPr>
              <w:rFonts w:hint="default" w:ascii="Times New Roman" w:hAnsi="Times New Roman" w:cs="Times New Roman"/>
              <w:highlight w:val="none"/>
            </w:rPr>
            <w:t>行业高质量绿色发展的需求</w:t>
          </w:r>
          <w:r>
            <w:tab/>
          </w:r>
          <w:r>
            <w:fldChar w:fldCharType="begin"/>
          </w:r>
          <w:r>
            <w:instrText xml:space="preserve"> PAGEREF _Toc26463 \h </w:instrText>
          </w:r>
          <w:r>
            <w:fldChar w:fldCharType="separate"/>
          </w:r>
          <w:r>
            <w:t>3</w:t>
          </w:r>
          <w:r>
            <w:fldChar w:fldCharType="end"/>
          </w:r>
          <w:r>
            <w:rPr>
              <w:rFonts w:hint="default" w:ascii="Times New Roman" w:hAnsi="Times New Roman" w:cs="Times New Roman"/>
              <w:highlight w:val="none"/>
            </w:rPr>
            <w:fldChar w:fldCharType="end"/>
          </w:r>
        </w:p>
        <w:p w14:paraId="156D9631">
          <w:pPr>
            <w:pStyle w:val="18"/>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_Toc22256 </w:instrText>
          </w:r>
          <w:r>
            <w:rPr>
              <w:rFonts w:hint="default" w:ascii="Times New Roman" w:hAnsi="Times New Roman" w:cs="Times New Roman"/>
              <w:highlight w:val="none"/>
            </w:rPr>
            <w:fldChar w:fldCharType="separate"/>
          </w:r>
          <w:r>
            <w:rPr>
              <w:rFonts w:hint="eastAsia" w:ascii="Times New Roman" w:hAnsi="Times New Roman" w:cs="Times New Roman"/>
            </w:rPr>
            <w:t xml:space="preserve">2.3. </w:t>
          </w:r>
          <w:r>
            <w:rPr>
              <w:rFonts w:hint="default" w:ascii="Times New Roman" w:hAnsi="Times New Roman" w:cs="Times New Roman"/>
              <w:highlight w:val="none"/>
              <w:lang w:val="en-US" w:eastAsia="zh-CN"/>
            </w:rPr>
            <w:t>政策法规的要求</w:t>
          </w:r>
          <w:r>
            <w:tab/>
          </w:r>
          <w:r>
            <w:fldChar w:fldCharType="begin"/>
          </w:r>
          <w:r>
            <w:instrText xml:space="preserve"> PAGEREF _Toc22256 \h </w:instrText>
          </w:r>
          <w:r>
            <w:fldChar w:fldCharType="separate"/>
          </w:r>
          <w:r>
            <w:t>3</w:t>
          </w:r>
          <w:r>
            <w:fldChar w:fldCharType="end"/>
          </w:r>
          <w:r>
            <w:rPr>
              <w:rFonts w:hint="default" w:ascii="Times New Roman" w:hAnsi="Times New Roman" w:cs="Times New Roman"/>
              <w:highlight w:val="none"/>
            </w:rPr>
            <w:fldChar w:fldCharType="end"/>
          </w:r>
        </w:p>
        <w:p w14:paraId="02B9A6B8">
          <w:pPr>
            <w:pStyle w:val="16"/>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_Toc29631 </w:instrText>
          </w:r>
          <w:r>
            <w:rPr>
              <w:rFonts w:hint="default" w:ascii="Times New Roman" w:hAnsi="Times New Roman" w:cs="Times New Roman"/>
              <w:highlight w:val="none"/>
            </w:rPr>
            <w:fldChar w:fldCharType="separate"/>
          </w:r>
          <w:r>
            <w:rPr>
              <w:rFonts w:hint="eastAsia" w:ascii="Times New Roman" w:hAnsi="Times New Roman" w:cs="Times New Roman"/>
            </w:rPr>
            <w:t xml:space="preserve">三、 </w:t>
          </w:r>
          <w:r>
            <w:rPr>
              <w:rFonts w:hint="default" w:ascii="Times New Roman" w:hAnsi="Times New Roman" w:cs="Times New Roman"/>
              <w:highlight w:val="none"/>
            </w:rPr>
            <w:t>国内外汽修行业大气污染物标准调研</w:t>
          </w:r>
          <w:r>
            <w:tab/>
          </w:r>
          <w:r>
            <w:fldChar w:fldCharType="begin"/>
          </w:r>
          <w:r>
            <w:instrText xml:space="preserve"> PAGEREF _Toc29631 \h </w:instrText>
          </w:r>
          <w:r>
            <w:fldChar w:fldCharType="separate"/>
          </w:r>
          <w:r>
            <w:t>3</w:t>
          </w:r>
          <w:r>
            <w:fldChar w:fldCharType="end"/>
          </w:r>
          <w:r>
            <w:rPr>
              <w:rFonts w:hint="default" w:ascii="Times New Roman" w:hAnsi="Times New Roman" w:cs="Times New Roman"/>
              <w:highlight w:val="none"/>
            </w:rPr>
            <w:fldChar w:fldCharType="end"/>
          </w:r>
        </w:p>
        <w:p w14:paraId="3B57185F">
          <w:pPr>
            <w:pStyle w:val="18"/>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_Toc569 </w:instrText>
          </w:r>
          <w:r>
            <w:rPr>
              <w:rFonts w:hint="default" w:ascii="Times New Roman" w:hAnsi="Times New Roman" w:cs="Times New Roman"/>
              <w:highlight w:val="none"/>
            </w:rPr>
            <w:fldChar w:fldCharType="separate"/>
          </w:r>
          <w:r>
            <w:rPr>
              <w:rFonts w:hint="eastAsia" w:ascii="Times New Roman" w:hAnsi="Times New Roman" w:cs="Times New Roman"/>
            </w:rPr>
            <w:t xml:space="preserve">3.1. </w:t>
          </w:r>
          <w:r>
            <w:rPr>
              <w:rFonts w:hint="default" w:ascii="Times New Roman" w:hAnsi="Times New Roman" w:cs="Times New Roman"/>
              <w:highlight w:val="none"/>
            </w:rPr>
            <w:t>国外排放标准</w:t>
          </w:r>
          <w:r>
            <w:tab/>
          </w:r>
          <w:r>
            <w:fldChar w:fldCharType="begin"/>
          </w:r>
          <w:r>
            <w:instrText xml:space="preserve"> PAGEREF _Toc569 \h </w:instrText>
          </w:r>
          <w:r>
            <w:fldChar w:fldCharType="separate"/>
          </w:r>
          <w:r>
            <w:t>3</w:t>
          </w:r>
          <w:r>
            <w:fldChar w:fldCharType="end"/>
          </w:r>
          <w:r>
            <w:rPr>
              <w:rFonts w:hint="default" w:ascii="Times New Roman" w:hAnsi="Times New Roman" w:cs="Times New Roman"/>
              <w:highlight w:val="none"/>
            </w:rPr>
            <w:fldChar w:fldCharType="end"/>
          </w:r>
        </w:p>
        <w:p w14:paraId="70333169">
          <w:pPr>
            <w:pStyle w:val="13"/>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_Toc29127 </w:instrText>
          </w:r>
          <w:r>
            <w:rPr>
              <w:rFonts w:hint="default" w:ascii="Times New Roman" w:hAnsi="Times New Roman" w:cs="Times New Roman"/>
              <w:highlight w:val="none"/>
            </w:rPr>
            <w:fldChar w:fldCharType="separate"/>
          </w:r>
          <w:r>
            <w:rPr>
              <w:rFonts w:hint="eastAsia" w:ascii="Times New Roman" w:hAnsi="Times New Roman" w:cs="Times New Roman"/>
            </w:rPr>
            <w:t xml:space="preserve">3.1.1. </w:t>
          </w:r>
          <w:r>
            <w:rPr>
              <w:rFonts w:hint="default" w:ascii="Times New Roman" w:hAnsi="Times New Roman" w:cs="Times New Roman"/>
              <w:highlight w:val="none"/>
            </w:rPr>
            <w:t>美国</w:t>
          </w:r>
          <w:r>
            <w:tab/>
          </w:r>
          <w:r>
            <w:fldChar w:fldCharType="begin"/>
          </w:r>
          <w:r>
            <w:instrText xml:space="preserve"> PAGEREF _Toc29127 \h </w:instrText>
          </w:r>
          <w:r>
            <w:fldChar w:fldCharType="separate"/>
          </w:r>
          <w:r>
            <w:t>3</w:t>
          </w:r>
          <w:r>
            <w:fldChar w:fldCharType="end"/>
          </w:r>
          <w:r>
            <w:rPr>
              <w:rFonts w:hint="default" w:ascii="Times New Roman" w:hAnsi="Times New Roman" w:cs="Times New Roman"/>
              <w:highlight w:val="none"/>
            </w:rPr>
            <w:fldChar w:fldCharType="end"/>
          </w:r>
        </w:p>
        <w:p w14:paraId="24E53127">
          <w:pPr>
            <w:pStyle w:val="13"/>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_Toc13595 </w:instrText>
          </w:r>
          <w:r>
            <w:rPr>
              <w:rFonts w:hint="default" w:ascii="Times New Roman" w:hAnsi="Times New Roman" w:cs="Times New Roman"/>
              <w:highlight w:val="none"/>
            </w:rPr>
            <w:fldChar w:fldCharType="separate"/>
          </w:r>
          <w:r>
            <w:rPr>
              <w:rFonts w:hint="eastAsia" w:ascii="Times New Roman" w:hAnsi="Times New Roman" w:cs="Times New Roman"/>
              <w:lang w:val="en-US" w:eastAsia="zh-CN"/>
            </w:rPr>
            <w:t xml:space="preserve">3.1.2. </w:t>
          </w:r>
          <w:r>
            <w:rPr>
              <w:rFonts w:hint="default" w:ascii="Times New Roman" w:hAnsi="Times New Roman" w:cs="Times New Roman"/>
              <w:highlight w:val="none"/>
              <w:lang w:val="en-US" w:eastAsia="zh-CN"/>
            </w:rPr>
            <w:t>欧盟</w:t>
          </w:r>
          <w:r>
            <w:tab/>
          </w:r>
          <w:r>
            <w:fldChar w:fldCharType="begin"/>
          </w:r>
          <w:r>
            <w:instrText xml:space="preserve"> PAGEREF _Toc13595 \h </w:instrText>
          </w:r>
          <w:r>
            <w:fldChar w:fldCharType="separate"/>
          </w:r>
          <w:r>
            <w:t>5</w:t>
          </w:r>
          <w:r>
            <w:fldChar w:fldCharType="end"/>
          </w:r>
          <w:r>
            <w:rPr>
              <w:rFonts w:hint="default" w:ascii="Times New Roman" w:hAnsi="Times New Roman" w:cs="Times New Roman"/>
              <w:highlight w:val="none"/>
            </w:rPr>
            <w:fldChar w:fldCharType="end"/>
          </w:r>
        </w:p>
        <w:p w14:paraId="1BFA94BF">
          <w:pPr>
            <w:pStyle w:val="13"/>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_Toc19547 </w:instrText>
          </w:r>
          <w:r>
            <w:rPr>
              <w:rFonts w:hint="default" w:ascii="Times New Roman" w:hAnsi="Times New Roman" w:cs="Times New Roman"/>
              <w:highlight w:val="none"/>
            </w:rPr>
            <w:fldChar w:fldCharType="separate"/>
          </w:r>
          <w:r>
            <w:rPr>
              <w:rFonts w:hint="eastAsia" w:ascii="Times New Roman" w:hAnsi="Times New Roman" w:cs="Times New Roman"/>
              <w:lang w:val="en-US" w:eastAsia="zh-CN"/>
            </w:rPr>
            <w:t xml:space="preserve">3.1.3. </w:t>
          </w:r>
          <w:r>
            <w:rPr>
              <w:rFonts w:hint="default" w:ascii="Times New Roman" w:hAnsi="Times New Roman" w:cs="Times New Roman"/>
              <w:highlight w:val="none"/>
              <w:lang w:val="en-US" w:eastAsia="zh-CN"/>
            </w:rPr>
            <w:t>英国</w:t>
          </w:r>
          <w:r>
            <w:tab/>
          </w:r>
          <w:r>
            <w:fldChar w:fldCharType="begin"/>
          </w:r>
          <w:r>
            <w:instrText xml:space="preserve"> PAGEREF _Toc19547 \h </w:instrText>
          </w:r>
          <w:r>
            <w:fldChar w:fldCharType="separate"/>
          </w:r>
          <w:r>
            <w:t>6</w:t>
          </w:r>
          <w:r>
            <w:fldChar w:fldCharType="end"/>
          </w:r>
          <w:r>
            <w:rPr>
              <w:rFonts w:hint="default" w:ascii="Times New Roman" w:hAnsi="Times New Roman" w:cs="Times New Roman"/>
              <w:highlight w:val="none"/>
            </w:rPr>
            <w:fldChar w:fldCharType="end"/>
          </w:r>
        </w:p>
        <w:p w14:paraId="19E0EEFF">
          <w:pPr>
            <w:pStyle w:val="18"/>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_Toc23896 </w:instrText>
          </w:r>
          <w:r>
            <w:rPr>
              <w:rFonts w:hint="default" w:ascii="Times New Roman" w:hAnsi="Times New Roman" w:cs="Times New Roman"/>
              <w:highlight w:val="none"/>
            </w:rPr>
            <w:fldChar w:fldCharType="separate"/>
          </w:r>
          <w:r>
            <w:rPr>
              <w:rFonts w:hint="eastAsia" w:ascii="Times New Roman" w:hAnsi="Times New Roman" w:cs="Times New Roman"/>
            </w:rPr>
            <w:t xml:space="preserve">3.2. </w:t>
          </w:r>
          <w:r>
            <w:rPr>
              <w:rFonts w:hint="default" w:ascii="Times New Roman" w:hAnsi="Times New Roman" w:cs="Times New Roman"/>
              <w:highlight w:val="none"/>
            </w:rPr>
            <w:t>国内排放标准</w:t>
          </w:r>
          <w:r>
            <w:tab/>
          </w:r>
          <w:r>
            <w:fldChar w:fldCharType="begin"/>
          </w:r>
          <w:r>
            <w:instrText xml:space="preserve"> PAGEREF _Toc23896 \h </w:instrText>
          </w:r>
          <w:r>
            <w:fldChar w:fldCharType="separate"/>
          </w:r>
          <w:r>
            <w:t>7</w:t>
          </w:r>
          <w:r>
            <w:fldChar w:fldCharType="end"/>
          </w:r>
          <w:r>
            <w:rPr>
              <w:rFonts w:hint="default" w:ascii="Times New Roman" w:hAnsi="Times New Roman" w:cs="Times New Roman"/>
              <w:highlight w:val="none"/>
            </w:rPr>
            <w:fldChar w:fldCharType="end"/>
          </w:r>
        </w:p>
        <w:p w14:paraId="7F1CFBB5">
          <w:pPr>
            <w:pStyle w:val="13"/>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_Toc30427 </w:instrText>
          </w:r>
          <w:r>
            <w:rPr>
              <w:rFonts w:hint="default" w:ascii="Times New Roman" w:hAnsi="Times New Roman" w:cs="Times New Roman"/>
              <w:highlight w:val="none"/>
            </w:rPr>
            <w:fldChar w:fldCharType="separate"/>
          </w:r>
          <w:r>
            <w:rPr>
              <w:rFonts w:hint="eastAsia" w:ascii="Times New Roman" w:hAnsi="Times New Roman" w:cs="Times New Roman"/>
              <w:lang w:val="en-US" w:eastAsia="zh-CN"/>
            </w:rPr>
            <w:t xml:space="preserve">3.2.1. </w:t>
          </w:r>
          <w:r>
            <w:rPr>
              <w:rFonts w:hint="default" w:ascii="Times New Roman" w:hAnsi="Times New Roman" w:cs="Times New Roman"/>
              <w:highlight w:val="none"/>
              <w:lang w:val="en-US" w:eastAsia="zh-CN"/>
            </w:rPr>
            <w:t>国家</w:t>
          </w:r>
          <w:r>
            <w:tab/>
          </w:r>
          <w:r>
            <w:fldChar w:fldCharType="begin"/>
          </w:r>
          <w:r>
            <w:instrText xml:space="preserve"> PAGEREF _Toc30427 \h </w:instrText>
          </w:r>
          <w:r>
            <w:fldChar w:fldCharType="separate"/>
          </w:r>
          <w:r>
            <w:t>7</w:t>
          </w:r>
          <w:r>
            <w:fldChar w:fldCharType="end"/>
          </w:r>
          <w:r>
            <w:rPr>
              <w:rFonts w:hint="default" w:ascii="Times New Roman" w:hAnsi="Times New Roman" w:cs="Times New Roman"/>
              <w:highlight w:val="none"/>
            </w:rPr>
            <w:fldChar w:fldCharType="end"/>
          </w:r>
        </w:p>
        <w:p w14:paraId="2C6FAA78">
          <w:pPr>
            <w:pStyle w:val="13"/>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_Toc4816 </w:instrText>
          </w:r>
          <w:r>
            <w:rPr>
              <w:rFonts w:hint="default" w:ascii="Times New Roman" w:hAnsi="Times New Roman" w:cs="Times New Roman"/>
              <w:highlight w:val="none"/>
            </w:rPr>
            <w:fldChar w:fldCharType="separate"/>
          </w:r>
          <w:r>
            <w:rPr>
              <w:rFonts w:hint="eastAsia" w:ascii="Times New Roman" w:hAnsi="Times New Roman" w:cs="Times New Roman"/>
              <w:lang w:val="en-US" w:eastAsia="zh-CN"/>
            </w:rPr>
            <w:t xml:space="preserve">3.2.2. </w:t>
          </w:r>
          <w:r>
            <w:rPr>
              <w:rFonts w:hint="default" w:ascii="Times New Roman" w:hAnsi="Times New Roman" w:cs="Times New Roman"/>
              <w:highlight w:val="none"/>
              <w:lang w:val="en-US" w:eastAsia="zh-CN"/>
            </w:rPr>
            <w:t>香港特别行政区</w:t>
          </w:r>
          <w:r>
            <w:tab/>
          </w:r>
          <w:r>
            <w:fldChar w:fldCharType="begin"/>
          </w:r>
          <w:r>
            <w:instrText xml:space="preserve"> PAGEREF _Toc4816 \h </w:instrText>
          </w:r>
          <w:r>
            <w:fldChar w:fldCharType="separate"/>
          </w:r>
          <w:r>
            <w:t>7</w:t>
          </w:r>
          <w:r>
            <w:fldChar w:fldCharType="end"/>
          </w:r>
          <w:r>
            <w:rPr>
              <w:rFonts w:hint="default" w:ascii="Times New Roman" w:hAnsi="Times New Roman" w:cs="Times New Roman"/>
              <w:highlight w:val="none"/>
            </w:rPr>
            <w:fldChar w:fldCharType="end"/>
          </w:r>
        </w:p>
        <w:p w14:paraId="51C2515C">
          <w:pPr>
            <w:pStyle w:val="13"/>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_Toc23458 </w:instrText>
          </w:r>
          <w:r>
            <w:rPr>
              <w:rFonts w:hint="default" w:ascii="Times New Roman" w:hAnsi="Times New Roman" w:cs="Times New Roman"/>
              <w:highlight w:val="none"/>
            </w:rPr>
            <w:fldChar w:fldCharType="separate"/>
          </w:r>
          <w:r>
            <w:rPr>
              <w:rFonts w:hint="eastAsia" w:ascii="Times New Roman" w:hAnsi="Times New Roman" w:cs="Times New Roman"/>
              <w:lang w:val="en-US" w:eastAsia="zh-CN"/>
            </w:rPr>
            <w:t xml:space="preserve">3.2.3. </w:t>
          </w:r>
          <w:r>
            <w:rPr>
              <w:rFonts w:hint="default" w:ascii="Times New Roman" w:hAnsi="Times New Roman" w:cs="Times New Roman"/>
              <w:highlight w:val="none"/>
              <w:lang w:val="en-US" w:eastAsia="zh-CN"/>
            </w:rPr>
            <w:t>其他内陆各省市</w:t>
          </w:r>
          <w:r>
            <w:tab/>
          </w:r>
          <w:r>
            <w:fldChar w:fldCharType="begin"/>
          </w:r>
          <w:r>
            <w:instrText xml:space="preserve"> PAGEREF _Toc23458 \h </w:instrText>
          </w:r>
          <w:r>
            <w:fldChar w:fldCharType="separate"/>
          </w:r>
          <w:r>
            <w:t>8</w:t>
          </w:r>
          <w:r>
            <w:fldChar w:fldCharType="end"/>
          </w:r>
          <w:r>
            <w:rPr>
              <w:rFonts w:hint="default" w:ascii="Times New Roman" w:hAnsi="Times New Roman" w:cs="Times New Roman"/>
              <w:highlight w:val="none"/>
            </w:rPr>
            <w:fldChar w:fldCharType="end"/>
          </w:r>
        </w:p>
        <w:p w14:paraId="590A54FA">
          <w:pPr>
            <w:pStyle w:val="18"/>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_Toc26762 </w:instrText>
          </w:r>
          <w:r>
            <w:rPr>
              <w:rFonts w:hint="default" w:ascii="Times New Roman" w:hAnsi="Times New Roman" w:cs="Times New Roman"/>
              <w:highlight w:val="none"/>
            </w:rPr>
            <w:fldChar w:fldCharType="separate"/>
          </w:r>
          <w:r>
            <w:rPr>
              <w:rFonts w:hint="eastAsia"/>
            </w:rPr>
            <w:t xml:space="preserve">3.3. </w:t>
          </w:r>
          <w:r>
            <w:rPr>
              <w:rFonts w:hint="default"/>
              <w:highlight w:val="none"/>
            </w:rPr>
            <w:t>标准对比</w:t>
          </w:r>
          <w:r>
            <w:tab/>
          </w:r>
          <w:r>
            <w:fldChar w:fldCharType="begin"/>
          </w:r>
          <w:r>
            <w:instrText xml:space="preserve"> PAGEREF _Toc26762 \h </w:instrText>
          </w:r>
          <w:r>
            <w:fldChar w:fldCharType="separate"/>
          </w:r>
          <w:r>
            <w:t>8</w:t>
          </w:r>
          <w:r>
            <w:fldChar w:fldCharType="end"/>
          </w:r>
          <w:r>
            <w:rPr>
              <w:rFonts w:hint="default" w:ascii="Times New Roman" w:hAnsi="Times New Roman" w:cs="Times New Roman"/>
              <w:highlight w:val="none"/>
            </w:rPr>
            <w:fldChar w:fldCharType="end"/>
          </w:r>
        </w:p>
        <w:p w14:paraId="07566108">
          <w:pPr>
            <w:pStyle w:val="13"/>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_Toc4967 </w:instrText>
          </w:r>
          <w:r>
            <w:rPr>
              <w:rFonts w:hint="default" w:ascii="Times New Roman" w:hAnsi="Times New Roman" w:cs="Times New Roman"/>
              <w:highlight w:val="none"/>
            </w:rPr>
            <w:fldChar w:fldCharType="separate"/>
          </w:r>
          <w:r>
            <w:rPr>
              <w:rFonts w:hint="eastAsia" w:ascii="Times New Roman" w:hAnsi="Times New Roman" w:cs="Times New Roman"/>
            </w:rPr>
            <w:t xml:space="preserve">3.3.1. </w:t>
          </w:r>
          <w:r>
            <w:rPr>
              <w:rFonts w:hint="default" w:ascii="Times New Roman" w:hAnsi="Times New Roman" w:cs="Times New Roman"/>
              <w:highlight w:val="none"/>
              <w:lang w:eastAsia="zh-CN"/>
            </w:rPr>
            <w:t>原辅料</w:t>
          </w:r>
          <w:r>
            <w:rPr>
              <w:rFonts w:hint="default" w:ascii="Times New Roman" w:hAnsi="Times New Roman" w:cs="Times New Roman"/>
              <w:highlight w:val="none"/>
            </w:rPr>
            <w:t>VOCs含量限值</w:t>
          </w:r>
          <w:r>
            <w:tab/>
          </w:r>
          <w:r>
            <w:fldChar w:fldCharType="begin"/>
          </w:r>
          <w:r>
            <w:instrText xml:space="preserve"> PAGEREF _Toc4967 \h </w:instrText>
          </w:r>
          <w:r>
            <w:fldChar w:fldCharType="separate"/>
          </w:r>
          <w:r>
            <w:t>8</w:t>
          </w:r>
          <w:r>
            <w:fldChar w:fldCharType="end"/>
          </w:r>
          <w:r>
            <w:rPr>
              <w:rFonts w:hint="default" w:ascii="Times New Roman" w:hAnsi="Times New Roman" w:cs="Times New Roman"/>
              <w:highlight w:val="none"/>
            </w:rPr>
            <w:fldChar w:fldCharType="end"/>
          </w:r>
        </w:p>
        <w:p w14:paraId="3C9011A1">
          <w:pPr>
            <w:pStyle w:val="13"/>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_Toc18175 </w:instrText>
          </w:r>
          <w:r>
            <w:rPr>
              <w:rFonts w:hint="default" w:ascii="Times New Roman" w:hAnsi="Times New Roman" w:cs="Times New Roman"/>
              <w:highlight w:val="none"/>
            </w:rPr>
            <w:fldChar w:fldCharType="separate"/>
          </w:r>
          <w:r>
            <w:rPr>
              <w:rFonts w:hint="eastAsia" w:ascii="Times New Roman" w:hAnsi="Times New Roman" w:cs="Times New Roman"/>
            </w:rPr>
            <w:t xml:space="preserve">3.3.2. </w:t>
          </w:r>
          <w:r>
            <w:rPr>
              <w:rFonts w:hint="default" w:ascii="Times New Roman" w:hAnsi="Times New Roman" w:cs="Times New Roman"/>
              <w:highlight w:val="none"/>
            </w:rPr>
            <w:t>有组织</w:t>
          </w:r>
          <w:r>
            <w:tab/>
          </w:r>
          <w:r>
            <w:fldChar w:fldCharType="begin"/>
          </w:r>
          <w:r>
            <w:instrText xml:space="preserve"> PAGEREF _Toc18175 \h </w:instrText>
          </w:r>
          <w:r>
            <w:fldChar w:fldCharType="separate"/>
          </w:r>
          <w:r>
            <w:t>12</w:t>
          </w:r>
          <w:r>
            <w:fldChar w:fldCharType="end"/>
          </w:r>
          <w:r>
            <w:rPr>
              <w:rFonts w:hint="default" w:ascii="Times New Roman" w:hAnsi="Times New Roman" w:cs="Times New Roman"/>
              <w:highlight w:val="none"/>
            </w:rPr>
            <w:fldChar w:fldCharType="end"/>
          </w:r>
        </w:p>
        <w:p w14:paraId="31D40C1C">
          <w:pPr>
            <w:pStyle w:val="13"/>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_Toc21722 </w:instrText>
          </w:r>
          <w:r>
            <w:rPr>
              <w:rFonts w:hint="default" w:ascii="Times New Roman" w:hAnsi="Times New Roman" w:cs="Times New Roman"/>
              <w:highlight w:val="none"/>
            </w:rPr>
            <w:fldChar w:fldCharType="separate"/>
          </w:r>
          <w:r>
            <w:rPr>
              <w:rFonts w:hint="eastAsia" w:ascii="Times New Roman" w:hAnsi="Times New Roman" w:cs="Times New Roman"/>
            </w:rPr>
            <w:t xml:space="preserve">3.3.3. </w:t>
          </w:r>
          <w:r>
            <w:rPr>
              <w:rFonts w:hint="default" w:ascii="Times New Roman" w:hAnsi="Times New Roman" w:cs="Times New Roman"/>
              <w:highlight w:val="none"/>
            </w:rPr>
            <w:t>无组织</w:t>
          </w:r>
          <w:r>
            <w:tab/>
          </w:r>
          <w:r>
            <w:fldChar w:fldCharType="begin"/>
          </w:r>
          <w:r>
            <w:instrText xml:space="preserve"> PAGEREF _Toc21722 \h </w:instrText>
          </w:r>
          <w:r>
            <w:fldChar w:fldCharType="separate"/>
          </w:r>
          <w:r>
            <w:t>15</w:t>
          </w:r>
          <w:r>
            <w:fldChar w:fldCharType="end"/>
          </w:r>
          <w:r>
            <w:rPr>
              <w:rFonts w:hint="default" w:ascii="Times New Roman" w:hAnsi="Times New Roman" w:cs="Times New Roman"/>
              <w:highlight w:val="none"/>
            </w:rPr>
            <w:fldChar w:fldCharType="end"/>
          </w:r>
        </w:p>
        <w:p w14:paraId="75AC763F">
          <w:pPr>
            <w:pStyle w:val="13"/>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_Toc8662 </w:instrText>
          </w:r>
          <w:r>
            <w:rPr>
              <w:rFonts w:hint="default" w:ascii="Times New Roman" w:hAnsi="Times New Roman" w:cs="Times New Roman"/>
              <w:highlight w:val="none"/>
            </w:rPr>
            <w:fldChar w:fldCharType="separate"/>
          </w:r>
          <w:r>
            <w:rPr>
              <w:rFonts w:hint="eastAsia" w:ascii="Times New Roman" w:hAnsi="Times New Roman" w:cs="Times New Roman"/>
              <w:lang w:val="en-US" w:eastAsia="zh-CN"/>
            </w:rPr>
            <w:t xml:space="preserve">3.3.4. </w:t>
          </w:r>
          <w:r>
            <w:rPr>
              <w:rFonts w:hint="default" w:ascii="Times New Roman" w:hAnsi="Times New Roman" w:cs="Times New Roman"/>
              <w:highlight w:val="none"/>
              <w:lang w:val="en-US" w:eastAsia="zh-CN"/>
            </w:rPr>
            <w:t>厂界</w:t>
          </w:r>
          <w:r>
            <w:tab/>
          </w:r>
          <w:r>
            <w:fldChar w:fldCharType="begin"/>
          </w:r>
          <w:r>
            <w:instrText xml:space="preserve"> PAGEREF _Toc8662 \h </w:instrText>
          </w:r>
          <w:r>
            <w:fldChar w:fldCharType="separate"/>
          </w:r>
          <w:r>
            <w:t>15</w:t>
          </w:r>
          <w:r>
            <w:fldChar w:fldCharType="end"/>
          </w:r>
          <w:r>
            <w:rPr>
              <w:rFonts w:hint="default" w:ascii="Times New Roman" w:hAnsi="Times New Roman" w:cs="Times New Roman"/>
              <w:highlight w:val="none"/>
            </w:rPr>
            <w:fldChar w:fldCharType="end"/>
          </w:r>
        </w:p>
        <w:p w14:paraId="1A0EB3C5">
          <w:pPr>
            <w:pStyle w:val="16"/>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_Toc17901 </w:instrText>
          </w:r>
          <w:r>
            <w:rPr>
              <w:rFonts w:hint="default" w:ascii="Times New Roman" w:hAnsi="Times New Roman" w:cs="Times New Roman"/>
              <w:highlight w:val="none"/>
            </w:rPr>
            <w:fldChar w:fldCharType="separate"/>
          </w:r>
          <w:r>
            <w:rPr>
              <w:rFonts w:hint="eastAsia" w:ascii="Times New Roman" w:hAnsi="Times New Roman" w:cs="Times New Roman"/>
            </w:rPr>
            <w:t xml:space="preserve">四、 </w:t>
          </w:r>
          <w:r>
            <w:rPr>
              <w:rFonts w:hint="default" w:ascii="Times New Roman" w:hAnsi="Times New Roman" w:cs="Times New Roman"/>
              <w:highlight w:val="none"/>
              <w:lang w:val="en-US" w:eastAsia="zh-CN"/>
            </w:rPr>
            <w:t>汽车维修</w:t>
          </w:r>
          <w:r>
            <w:rPr>
              <w:rFonts w:hint="default" w:ascii="Times New Roman" w:hAnsi="Times New Roman" w:cs="Times New Roman"/>
              <w:highlight w:val="none"/>
              <w:lang w:val="en-US"/>
            </w:rPr>
            <w:t>行业大气污染物排放特征及控制要求</w:t>
          </w:r>
          <w:r>
            <w:tab/>
          </w:r>
          <w:r>
            <w:fldChar w:fldCharType="begin"/>
          </w:r>
          <w:r>
            <w:instrText xml:space="preserve"> PAGEREF _Toc17901 \h </w:instrText>
          </w:r>
          <w:r>
            <w:fldChar w:fldCharType="separate"/>
          </w:r>
          <w:r>
            <w:t>16</w:t>
          </w:r>
          <w:r>
            <w:fldChar w:fldCharType="end"/>
          </w:r>
          <w:r>
            <w:rPr>
              <w:rFonts w:hint="default" w:ascii="Times New Roman" w:hAnsi="Times New Roman" w:cs="Times New Roman"/>
              <w:highlight w:val="none"/>
            </w:rPr>
            <w:fldChar w:fldCharType="end"/>
          </w:r>
        </w:p>
        <w:p w14:paraId="77CA7713">
          <w:pPr>
            <w:pStyle w:val="18"/>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_Toc11380 </w:instrText>
          </w:r>
          <w:r>
            <w:rPr>
              <w:rFonts w:hint="default" w:ascii="Times New Roman" w:hAnsi="Times New Roman" w:cs="Times New Roman"/>
              <w:highlight w:val="none"/>
            </w:rPr>
            <w:fldChar w:fldCharType="separate"/>
          </w:r>
          <w:r>
            <w:rPr>
              <w:rFonts w:hint="eastAsia" w:ascii="Times New Roman" w:hAnsi="Times New Roman" w:cs="Times New Roman"/>
            </w:rPr>
            <w:t xml:space="preserve">4.1. </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定义及分类</w:t>
          </w:r>
          <w:r>
            <w:tab/>
          </w:r>
          <w:r>
            <w:fldChar w:fldCharType="begin"/>
          </w:r>
          <w:r>
            <w:instrText xml:space="preserve"> PAGEREF _Toc11380 \h </w:instrText>
          </w:r>
          <w:r>
            <w:fldChar w:fldCharType="separate"/>
          </w:r>
          <w:r>
            <w:t>16</w:t>
          </w:r>
          <w:r>
            <w:fldChar w:fldCharType="end"/>
          </w:r>
          <w:r>
            <w:rPr>
              <w:rFonts w:hint="default" w:ascii="Times New Roman" w:hAnsi="Times New Roman" w:cs="Times New Roman"/>
              <w:highlight w:val="none"/>
            </w:rPr>
            <w:fldChar w:fldCharType="end"/>
          </w:r>
        </w:p>
        <w:p w14:paraId="480E5319">
          <w:pPr>
            <w:pStyle w:val="18"/>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_Toc25773 </w:instrText>
          </w:r>
          <w:r>
            <w:rPr>
              <w:rFonts w:hint="default" w:ascii="Times New Roman" w:hAnsi="Times New Roman" w:cs="Times New Roman"/>
              <w:highlight w:val="none"/>
            </w:rPr>
            <w:fldChar w:fldCharType="separate"/>
          </w:r>
          <w:r>
            <w:rPr>
              <w:rFonts w:hint="eastAsia" w:ascii="Times New Roman" w:hAnsi="Times New Roman" w:cs="Times New Roman"/>
            </w:rPr>
            <w:t xml:space="preserve">4.2. </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生产工艺及产排污环节</w:t>
          </w:r>
          <w:r>
            <w:tab/>
          </w:r>
          <w:r>
            <w:fldChar w:fldCharType="begin"/>
          </w:r>
          <w:r>
            <w:instrText xml:space="preserve"> PAGEREF _Toc25773 \h </w:instrText>
          </w:r>
          <w:r>
            <w:fldChar w:fldCharType="separate"/>
          </w:r>
          <w:r>
            <w:t>17</w:t>
          </w:r>
          <w:r>
            <w:fldChar w:fldCharType="end"/>
          </w:r>
          <w:r>
            <w:rPr>
              <w:rFonts w:hint="default" w:ascii="Times New Roman" w:hAnsi="Times New Roman" w:cs="Times New Roman"/>
              <w:highlight w:val="none"/>
            </w:rPr>
            <w:fldChar w:fldCharType="end"/>
          </w:r>
        </w:p>
        <w:p w14:paraId="5177F56F">
          <w:pPr>
            <w:pStyle w:val="13"/>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_Toc3079 </w:instrText>
          </w:r>
          <w:r>
            <w:rPr>
              <w:rFonts w:hint="default" w:ascii="Times New Roman" w:hAnsi="Times New Roman" w:cs="Times New Roman"/>
              <w:highlight w:val="none"/>
            </w:rPr>
            <w:fldChar w:fldCharType="separate"/>
          </w:r>
          <w:r>
            <w:rPr>
              <w:rFonts w:hint="eastAsia" w:ascii="Times New Roman" w:hAnsi="Times New Roman" w:cs="Times New Roman"/>
            </w:rPr>
            <w:t xml:space="preserve">4.2.1. </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工艺流程</w:t>
          </w:r>
          <w:r>
            <w:tab/>
          </w:r>
          <w:r>
            <w:fldChar w:fldCharType="begin"/>
          </w:r>
          <w:r>
            <w:instrText xml:space="preserve"> PAGEREF _Toc3079 \h </w:instrText>
          </w:r>
          <w:r>
            <w:fldChar w:fldCharType="separate"/>
          </w:r>
          <w:r>
            <w:t>17</w:t>
          </w:r>
          <w:r>
            <w:fldChar w:fldCharType="end"/>
          </w:r>
          <w:r>
            <w:rPr>
              <w:rFonts w:hint="default" w:ascii="Times New Roman" w:hAnsi="Times New Roman" w:cs="Times New Roman"/>
              <w:highlight w:val="none"/>
            </w:rPr>
            <w:fldChar w:fldCharType="end"/>
          </w:r>
        </w:p>
        <w:p w14:paraId="44FDC6B4">
          <w:pPr>
            <w:pStyle w:val="13"/>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_Toc11159 </w:instrText>
          </w:r>
          <w:r>
            <w:rPr>
              <w:rFonts w:hint="default" w:ascii="Times New Roman" w:hAnsi="Times New Roman" w:cs="Times New Roman"/>
              <w:highlight w:val="none"/>
            </w:rPr>
            <w:fldChar w:fldCharType="separate"/>
          </w:r>
          <w:r>
            <w:rPr>
              <w:rFonts w:hint="eastAsia" w:ascii="Times New Roman" w:hAnsi="Times New Roman" w:cs="Times New Roman"/>
              <w:lang w:eastAsia="zh-CN"/>
            </w:rPr>
            <w:t xml:space="preserve">4.2.2. </w:t>
          </w:r>
          <w:r>
            <w:rPr>
              <w:rFonts w:hint="default" w:ascii="Times New Roman" w:hAnsi="Times New Roman" w:cs="Times New Roman"/>
              <w:highlight w:val="none"/>
              <w:lang w:eastAsia="zh-CN"/>
            </w:rPr>
            <w:t>主要产排污环节</w:t>
          </w:r>
          <w:r>
            <w:tab/>
          </w:r>
          <w:r>
            <w:fldChar w:fldCharType="begin"/>
          </w:r>
          <w:r>
            <w:instrText xml:space="preserve"> PAGEREF _Toc11159 \h </w:instrText>
          </w:r>
          <w:r>
            <w:fldChar w:fldCharType="separate"/>
          </w:r>
          <w:r>
            <w:t>20</w:t>
          </w:r>
          <w:r>
            <w:fldChar w:fldCharType="end"/>
          </w:r>
          <w:r>
            <w:rPr>
              <w:rFonts w:hint="default" w:ascii="Times New Roman" w:hAnsi="Times New Roman" w:cs="Times New Roman"/>
              <w:highlight w:val="none"/>
            </w:rPr>
            <w:fldChar w:fldCharType="end"/>
          </w:r>
        </w:p>
        <w:p w14:paraId="59E53DEE">
          <w:pPr>
            <w:pStyle w:val="13"/>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_Toc15100 </w:instrText>
          </w:r>
          <w:r>
            <w:rPr>
              <w:rFonts w:hint="default" w:ascii="Times New Roman" w:hAnsi="Times New Roman" w:cs="Times New Roman"/>
              <w:highlight w:val="none"/>
            </w:rPr>
            <w:fldChar w:fldCharType="separate"/>
          </w:r>
          <w:r>
            <w:rPr>
              <w:rFonts w:hint="eastAsia" w:ascii="Times New Roman" w:hAnsi="Times New Roman" w:cs="Times New Roman"/>
              <w:lang w:val="en-US" w:eastAsia="zh-CN"/>
            </w:rPr>
            <w:t xml:space="preserve">4.2.3. </w:t>
          </w:r>
          <w:r>
            <w:rPr>
              <w:rFonts w:hint="default" w:ascii="Times New Roman" w:hAnsi="Times New Roman" w:cs="Times New Roman"/>
              <w:highlight w:val="none"/>
              <w:lang w:val="en-US" w:eastAsia="zh-CN"/>
            </w:rPr>
            <w:t>常用生产装置介绍</w:t>
          </w:r>
          <w:r>
            <w:tab/>
          </w:r>
          <w:r>
            <w:fldChar w:fldCharType="begin"/>
          </w:r>
          <w:r>
            <w:instrText xml:space="preserve"> PAGEREF _Toc15100 \h </w:instrText>
          </w:r>
          <w:r>
            <w:fldChar w:fldCharType="separate"/>
          </w:r>
          <w:r>
            <w:t>22</w:t>
          </w:r>
          <w:r>
            <w:fldChar w:fldCharType="end"/>
          </w:r>
          <w:r>
            <w:rPr>
              <w:rFonts w:hint="default" w:ascii="Times New Roman" w:hAnsi="Times New Roman" w:cs="Times New Roman"/>
              <w:highlight w:val="none"/>
            </w:rPr>
            <w:fldChar w:fldCharType="end"/>
          </w:r>
        </w:p>
        <w:p w14:paraId="3E1E262E">
          <w:pPr>
            <w:pStyle w:val="18"/>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_Toc30148 </w:instrText>
          </w:r>
          <w:r>
            <w:rPr>
              <w:rFonts w:hint="default" w:ascii="Times New Roman" w:hAnsi="Times New Roman" w:cs="Times New Roman"/>
              <w:highlight w:val="none"/>
            </w:rPr>
            <w:fldChar w:fldCharType="separate"/>
          </w:r>
          <w:r>
            <w:rPr>
              <w:rFonts w:hint="eastAsia" w:ascii="Times New Roman" w:hAnsi="Times New Roman" w:cs="Times New Roman"/>
            </w:rPr>
            <w:t xml:space="preserve">4.3. </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行业大气污染防治技术</w:t>
          </w:r>
          <w:r>
            <w:tab/>
          </w:r>
          <w:r>
            <w:fldChar w:fldCharType="begin"/>
          </w:r>
          <w:r>
            <w:instrText xml:space="preserve"> PAGEREF _Toc30148 \h </w:instrText>
          </w:r>
          <w:r>
            <w:fldChar w:fldCharType="separate"/>
          </w:r>
          <w:r>
            <w:t>24</w:t>
          </w:r>
          <w:r>
            <w:fldChar w:fldCharType="end"/>
          </w:r>
          <w:r>
            <w:rPr>
              <w:rFonts w:hint="default" w:ascii="Times New Roman" w:hAnsi="Times New Roman" w:cs="Times New Roman"/>
              <w:highlight w:val="none"/>
            </w:rPr>
            <w:fldChar w:fldCharType="end"/>
          </w:r>
        </w:p>
        <w:p w14:paraId="30BF1BCD">
          <w:pPr>
            <w:pStyle w:val="13"/>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_Toc12534 </w:instrText>
          </w:r>
          <w:r>
            <w:rPr>
              <w:rFonts w:hint="default" w:ascii="Times New Roman" w:hAnsi="Times New Roman" w:cs="Times New Roman"/>
              <w:highlight w:val="none"/>
            </w:rPr>
            <w:fldChar w:fldCharType="separate"/>
          </w:r>
          <w:r>
            <w:rPr>
              <w:rFonts w:hint="eastAsia" w:ascii="Times New Roman" w:hAnsi="Times New Roman" w:cs="Times New Roman"/>
            </w:rPr>
            <w:t xml:space="preserve">4.3.1. </w:t>
          </w:r>
          <w:r>
            <w:rPr>
              <w:rFonts w:hint="default" w:ascii="Times New Roman" w:hAnsi="Times New Roman" w:cs="Times New Roman"/>
              <w:highlight w:val="none"/>
            </w:rPr>
            <w:t>源头控制</w:t>
          </w:r>
          <w:r>
            <w:tab/>
          </w:r>
          <w:r>
            <w:fldChar w:fldCharType="begin"/>
          </w:r>
          <w:r>
            <w:instrText xml:space="preserve"> PAGEREF _Toc12534 \h </w:instrText>
          </w:r>
          <w:r>
            <w:fldChar w:fldCharType="separate"/>
          </w:r>
          <w:r>
            <w:t>24</w:t>
          </w:r>
          <w:r>
            <w:fldChar w:fldCharType="end"/>
          </w:r>
          <w:r>
            <w:rPr>
              <w:rFonts w:hint="default" w:ascii="Times New Roman" w:hAnsi="Times New Roman" w:cs="Times New Roman"/>
              <w:highlight w:val="none"/>
            </w:rPr>
            <w:fldChar w:fldCharType="end"/>
          </w:r>
        </w:p>
        <w:p w14:paraId="0165FF2A">
          <w:pPr>
            <w:pStyle w:val="13"/>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_Toc2415 </w:instrText>
          </w:r>
          <w:r>
            <w:rPr>
              <w:rFonts w:hint="default" w:ascii="Times New Roman" w:hAnsi="Times New Roman" w:cs="Times New Roman"/>
              <w:highlight w:val="none"/>
            </w:rPr>
            <w:fldChar w:fldCharType="separate"/>
          </w:r>
          <w:r>
            <w:rPr>
              <w:rFonts w:hint="eastAsia" w:ascii="Times New Roman" w:hAnsi="Times New Roman" w:cs="Times New Roman"/>
            </w:rPr>
            <w:t xml:space="preserve">4.3.2. </w:t>
          </w:r>
          <w:r>
            <w:rPr>
              <w:rFonts w:hint="default" w:ascii="Times New Roman" w:hAnsi="Times New Roman" w:cs="Times New Roman"/>
              <w:highlight w:val="none"/>
            </w:rPr>
            <w:t>过程控制</w:t>
          </w:r>
          <w:r>
            <w:tab/>
          </w:r>
          <w:r>
            <w:fldChar w:fldCharType="begin"/>
          </w:r>
          <w:r>
            <w:instrText xml:space="preserve"> PAGEREF _Toc2415 \h </w:instrText>
          </w:r>
          <w:r>
            <w:fldChar w:fldCharType="separate"/>
          </w:r>
          <w:r>
            <w:t>24</w:t>
          </w:r>
          <w:r>
            <w:fldChar w:fldCharType="end"/>
          </w:r>
          <w:r>
            <w:rPr>
              <w:rFonts w:hint="default" w:ascii="Times New Roman" w:hAnsi="Times New Roman" w:cs="Times New Roman"/>
              <w:highlight w:val="none"/>
            </w:rPr>
            <w:fldChar w:fldCharType="end"/>
          </w:r>
        </w:p>
        <w:p w14:paraId="57820478">
          <w:pPr>
            <w:pStyle w:val="13"/>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_Toc15305 </w:instrText>
          </w:r>
          <w:r>
            <w:rPr>
              <w:rFonts w:hint="default" w:ascii="Times New Roman" w:hAnsi="Times New Roman" w:cs="Times New Roman"/>
              <w:highlight w:val="none"/>
            </w:rPr>
            <w:fldChar w:fldCharType="separate"/>
          </w:r>
          <w:r>
            <w:rPr>
              <w:rFonts w:hint="eastAsia" w:ascii="Times New Roman" w:hAnsi="Times New Roman" w:cs="Times New Roman"/>
            </w:rPr>
            <w:t xml:space="preserve">4.3.3. </w:t>
          </w:r>
          <w:r>
            <w:rPr>
              <w:rFonts w:hint="default" w:ascii="Times New Roman" w:hAnsi="Times New Roman" w:cs="Times New Roman"/>
              <w:highlight w:val="none"/>
            </w:rPr>
            <w:t>末端控制</w:t>
          </w:r>
          <w:r>
            <w:tab/>
          </w:r>
          <w:r>
            <w:fldChar w:fldCharType="begin"/>
          </w:r>
          <w:r>
            <w:instrText xml:space="preserve"> PAGEREF _Toc15305 \h </w:instrText>
          </w:r>
          <w:r>
            <w:fldChar w:fldCharType="separate"/>
          </w:r>
          <w:r>
            <w:t>26</w:t>
          </w:r>
          <w:r>
            <w:fldChar w:fldCharType="end"/>
          </w:r>
          <w:r>
            <w:rPr>
              <w:rFonts w:hint="default" w:ascii="Times New Roman" w:hAnsi="Times New Roman" w:cs="Times New Roman"/>
              <w:highlight w:val="none"/>
            </w:rPr>
            <w:fldChar w:fldCharType="end"/>
          </w:r>
        </w:p>
        <w:p w14:paraId="143C73FD">
          <w:pPr>
            <w:pStyle w:val="16"/>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_Toc9112 </w:instrText>
          </w:r>
          <w:r>
            <w:rPr>
              <w:rFonts w:hint="default" w:ascii="Times New Roman" w:hAnsi="Times New Roman" w:cs="Times New Roman"/>
              <w:highlight w:val="none"/>
            </w:rPr>
            <w:fldChar w:fldCharType="separate"/>
          </w:r>
          <w:r>
            <w:rPr>
              <w:rFonts w:hint="eastAsia" w:ascii="Times New Roman" w:hAnsi="Times New Roman" w:cs="Times New Roman"/>
              <w:lang w:val="en-US"/>
            </w:rPr>
            <w:t xml:space="preserve">五、 </w:t>
          </w:r>
          <w:r>
            <w:rPr>
              <w:rFonts w:hint="default" w:ascii="Times New Roman" w:hAnsi="Times New Roman" w:cs="Times New Roman"/>
              <w:highlight w:val="none"/>
              <w:lang w:val="en-US"/>
            </w:rPr>
            <w:t>四川省汽车维修污染防治现状分析</w:t>
          </w:r>
          <w:r>
            <w:tab/>
          </w:r>
          <w:r>
            <w:fldChar w:fldCharType="begin"/>
          </w:r>
          <w:r>
            <w:instrText xml:space="preserve"> PAGEREF _Toc9112 \h </w:instrText>
          </w:r>
          <w:r>
            <w:fldChar w:fldCharType="separate"/>
          </w:r>
          <w:r>
            <w:t>28</w:t>
          </w:r>
          <w:r>
            <w:fldChar w:fldCharType="end"/>
          </w:r>
          <w:r>
            <w:rPr>
              <w:rFonts w:hint="default" w:ascii="Times New Roman" w:hAnsi="Times New Roman" w:cs="Times New Roman"/>
              <w:highlight w:val="none"/>
            </w:rPr>
            <w:fldChar w:fldCharType="end"/>
          </w:r>
        </w:p>
        <w:p w14:paraId="71DBE20B">
          <w:pPr>
            <w:pStyle w:val="18"/>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_Toc6407 </w:instrText>
          </w:r>
          <w:r>
            <w:rPr>
              <w:rFonts w:hint="default" w:ascii="Times New Roman" w:hAnsi="Times New Roman" w:cs="Times New Roman"/>
              <w:highlight w:val="none"/>
            </w:rPr>
            <w:fldChar w:fldCharType="separate"/>
          </w:r>
          <w:r>
            <w:rPr>
              <w:rFonts w:hint="eastAsia"/>
            </w:rPr>
            <w:t xml:space="preserve">5.1. </w:t>
          </w:r>
          <w:r>
            <w:rPr>
              <w:rFonts w:hint="default"/>
              <w:highlight w:val="none"/>
            </w:rPr>
            <w:t>四川省</w:t>
          </w:r>
          <w:r>
            <w:rPr>
              <w:rFonts w:hint="default"/>
              <w:highlight w:val="none"/>
              <w:lang w:eastAsia="zh-CN"/>
            </w:rPr>
            <w:t>汽车维修</w:t>
          </w:r>
          <w:r>
            <w:rPr>
              <w:rFonts w:hint="default"/>
              <w:highlight w:val="none"/>
            </w:rPr>
            <w:t>企业大气污染物排放清单</w:t>
          </w:r>
          <w:r>
            <w:tab/>
          </w:r>
          <w:r>
            <w:fldChar w:fldCharType="begin"/>
          </w:r>
          <w:r>
            <w:instrText xml:space="preserve"> PAGEREF _Toc6407 \h </w:instrText>
          </w:r>
          <w:r>
            <w:fldChar w:fldCharType="separate"/>
          </w:r>
          <w:r>
            <w:t>29</w:t>
          </w:r>
          <w:r>
            <w:fldChar w:fldCharType="end"/>
          </w:r>
          <w:r>
            <w:rPr>
              <w:rFonts w:hint="default" w:ascii="Times New Roman" w:hAnsi="Times New Roman" w:cs="Times New Roman"/>
              <w:highlight w:val="none"/>
            </w:rPr>
            <w:fldChar w:fldCharType="end"/>
          </w:r>
        </w:p>
        <w:p w14:paraId="012DBC25">
          <w:pPr>
            <w:pStyle w:val="18"/>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_Toc30162 </w:instrText>
          </w:r>
          <w:r>
            <w:rPr>
              <w:rFonts w:hint="default" w:ascii="Times New Roman" w:hAnsi="Times New Roman" w:cs="Times New Roman"/>
              <w:highlight w:val="none"/>
            </w:rPr>
            <w:fldChar w:fldCharType="separate"/>
          </w:r>
          <w:r>
            <w:rPr>
              <w:rFonts w:hint="eastAsia" w:ascii="Times New Roman" w:hAnsi="Times New Roman" w:cs="Times New Roman"/>
            </w:rPr>
            <w:t xml:space="preserve">5.2. </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企业污染防治现状及存在问题</w:t>
          </w:r>
          <w:r>
            <w:tab/>
          </w:r>
          <w:r>
            <w:fldChar w:fldCharType="begin"/>
          </w:r>
          <w:r>
            <w:instrText xml:space="preserve"> PAGEREF _Toc30162 \h </w:instrText>
          </w:r>
          <w:r>
            <w:fldChar w:fldCharType="separate"/>
          </w:r>
          <w:r>
            <w:t>34</w:t>
          </w:r>
          <w:r>
            <w:fldChar w:fldCharType="end"/>
          </w:r>
          <w:r>
            <w:rPr>
              <w:rFonts w:hint="default" w:ascii="Times New Roman" w:hAnsi="Times New Roman" w:cs="Times New Roman"/>
              <w:highlight w:val="none"/>
            </w:rPr>
            <w:fldChar w:fldCharType="end"/>
          </w:r>
        </w:p>
        <w:p w14:paraId="201453ED">
          <w:pPr>
            <w:pStyle w:val="13"/>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_Toc7447 </w:instrText>
          </w:r>
          <w:r>
            <w:rPr>
              <w:rFonts w:hint="default" w:ascii="Times New Roman" w:hAnsi="Times New Roman" w:cs="Times New Roman"/>
              <w:highlight w:val="none"/>
            </w:rPr>
            <w:fldChar w:fldCharType="separate"/>
          </w:r>
          <w:r>
            <w:rPr>
              <w:rFonts w:hint="eastAsia" w:ascii="Times New Roman" w:hAnsi="Times New Roman" w:cs="Times New Roman"/>
            </w:rPr>
            <w:t xml:space="preserve">5.2.1. </w:t>
          </w:r>
          <w:r>
            <w:rPr>
              <w:rFonts w:hint="default" w:ascii="Times New Roman" w:hAnsi="Times New Roman" w:cs="Times New Roman"/>
              <w:highlight w:val="none"/>
            </w:rPr>
            <w:t>调研企业基本情况</w:t>
          </w:r>
          <w:r>
            <w:tab/>
          </w:r>
          <w:r>
            <w:fldChar w:fldCharType="begin"/>
          </w:r>
          <w:r>
            <w:instrText xml:space="preserve"> PAGEREF _Toc7447 \h </w:instrText>
          </w:r>
          <w:r>
            <w:fldChar w:fldCharType="separate"/>
          </w:r>
          <w:r>
            <w:t>34</w:t>
          </w:r>
          <w:r>
            <w:fldChar w:fldCharType="end"/>
          </w:r>
          <w:r>
            <w:rPr>
              <w:rFonts w:hint="default" w:ascii="Times New Roman" w:hAnsi="Times New Roman" w:cs="Times New Roman"/>
              <w:highlight w:val="none"/>
            </w:rPr>
            <w:fldChar w:fldCharType="end"/>
          </w:r>
        </w:p>
        <w:p w14:paraId="229630AE">
          <w:pPr>
            <w:pStyle w:val="13"/>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_Toc20357 </w:instrText>
          </w:r>
          <w:r>
            <w:rPr>
              <w:rFonts w:hint="default" w:ascii="Times New Roman" w:hAnsi="Times New Roman" w:cs="Times New Roman"/>
              <w:highlight w:val="none"/>
            </w:rPr>
            <w:fldChar w:fldCharType="separate"/>
          </w:r>
          <w:r>
            <w:rPr>
              <w:rFonts w:hint="eastAsia" w:ascii="Times New Roman" w:hAnsi="Times New Roman" w:cs="Times New Roman"/>
            </w:rPr>
            <w:t xml:space="preserve">5.2.2. </w:t>
          </w:r>
          <w:r>
            <w:rPr>
              <w:rFonts w:hint="default" w:ascii="Times New Roman" w:hAnsi="Times New Roman" w:cs="Times New Roman"/>
              <w:highlight w:val="none"/>
            </w:rPr>
            <w:t>原辅料使用现状及存在问题</w:t>
          </w:r>
          <w:r>
            <w:tab/>
          </w:r>
          <w:r>
            <w:fldChar w:fldCharType="begin"/>
          </w:r>
          <w:r>
            <w:instrText xml:space="preserve"> PAGEREF _Toc20357 \h </w:instrText>
          </w:r>
          <w:r>
            <w:fldChar w:fldCharType="separate"/>
          </w:r>
          <w:r>
            <w:t>39</w:t>
          </w:r>
          <w:r>
            <w:fldChar w:fldCharType="end"/>
          </w:r>
          <w:r>
            <w:rPr>
              <w:rFonts w:hint="default" w:ascii="Times New Roman" w:hAnsi="Times New Roman" w:cs="Times New Roman"/>
              <w:highlight w:val="none"/>
            </w:rPr>
            <w:fldChar w:fldCharType="end"/>
          </w:r>
        </w:p>
        <w:p w14:paraId="3B00DF19">
          <w:pPr>
            <w:pStyle w:val="13"/>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_Toc23542 </w:instrText>
          </w:r>
          <w:r>
            <w:rPr>
              <w:rFonts w:hint="default" w:ascii="Times New Roman" w:hAnsi="Times New Roman" w:cs="Times New Roman"/>
              <w:highlight w:val="none"/>
            </w:rPr>
            <w:fldChar w:fldCharType="separate"/>
          </w:r>
          <w:r>
            <w:rPr>
              <w:rFonts w:hint="eastAsia" w:ascii="Times New Roman" w:hAnsi="Times New Roman" w:cs="Times New Roman"/>
            </w:rPr>
            <w:t xml:space="preserve">5.2.3. </w:t>
          </w:r>
          <w:r>
            <w:rPr>
              <w:rFonts w:hint="default" w:ascii="Times New Roman" w:hAnsi="Times New Roman" w:cs="Times New Roman"/>
              <w:highlight w:val="none"/>
            </w:rPr>
            <w:t>各排放环节污染现状及存在问题</w:t>
          </w:r>
          <w:r>
            <w:tab/>
          </w:r>
          <w:r>
            <w:fldChar w:fldCharType="begin"/>
          </w:r>
          <w:r>
            <w:instrText xml:space="preserve"> PAGEREF _Toc23542 \h </w:instrText>
          </w:r>
          <w:r>
            <w:fldChar w:fldCharType="separate"/>
          </w:r>
          <w:r>
            <w:t>40</w:t>
          </w:r>
          <w:r>
            <w:fldChar w:fldCharType="end"/>
          </w:r>
          <w:r>
            <w:rPr>
              <w:rFonts w:hint="default" w:ascii="Times New Roman" w:hAnsi="Times New Roman" w:cs="Times New Roman"/>
              <w:highlight w:val="none"/>
            </w:rPr>
            <w:fldChar w:fldCharType="end"/>
          </w:r>
        </w:p>
        <w:p w14:paraId="716C173B">
          <w:pPr>
            <w:pStyle w:val="13"/>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_Toc13858 </w:instrText>
          </w:r>
          <w:r>
            <w:rPr>
              <w:rFonts w:hint="default" w:ascii="Times New Roman" w:hAnsi="Times New Roman" w:cs="Times New Roman"/>
              <w:highlight w:val="none"/>
            </w:rPr>
            <w:fldChar w:fldCharType="separate"/>
          </w:r>
          <w:r>
            <w:rPr>
              <w:rFonts w:hint="eastAsia" w:ascii="Times New Roman" w:hAnsi="Times New Roman" w:cs="Times New Roman"/>
            </w:rPr>
            <w:t xml:space="preserve">5.2.4. </w:t>
          </w:r>
          <w:r>
            <w:rPr>
              <w:rFonts w:hint="default" w:ascii="Times New Roman" w:hAnsi="Times New Roman" w:cs="Times New Roman"/>
              <w:highlight w:val="none"/>
            </w:rPr>
            <w:t>排放口现状及存在问题</w:t>
          </w:r>
          <w:r>
            <w:tab/>
          </w:r>
          <w:r>
            <w:fldChar w:fldCharType="begin"/>
          </w:r>
          <w:r>
            <w:instrText xml:space="preserve"> PAGEREF _Toc13858 \h </w:instrText>
          </w:r>
          <w:r>
            <w:fldChar w:fldCharType="separate"/>
          </w:r>
          <w:r>
            <w:t>43</w:t>
          </w:r>
          <w:r>
            <w:fldChar w:fldCharType="end"/>
          </w:r>
          <w:r>
            <w:rPr>
              <w:rFonts w:hint="default" w:ascii="Times New Roman" w:hAnsi="Times New Roman" w:cs="Times New Roman"/>
              <w:highlight w:val="none"/>
            </w:rPr>
            <w:fldChar w:fldCharType="end"/>
          </w:r>
        </w:p>
        <w:p w14:paraId="6E91C1FC">
          <w:pPr>
            <w:pStyle w:val="16"/>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_Toc10512 </w:instrText>
          </w:r>
          <w:r>
            <w:rPr>
              <w:rFonts w:hint="default" w:ascii="Times New Roman" w:hAnsi="Times New Roman" w:cs="Times New Roman"/>
              <w:highlight w:val="none"/>
            </w:rPr>
            <w:fldChar w:fldCharType="separate"/>
          </w:r>
          <w:r>
            <w:rPr>
              <w:rFonts w:hint="eastAsia" w:ascii="Times New Roman" w:hAnsi="Times New Roman" w:cs="Times New Roman"/>
            </w:rPr>
            <w:t xml:space="preserve">六、 </w:t>
          </w:r>
          <w:r>
            <w:rPr>
              <w:rFonts w:hint="default" w:ascii="Times New Roman" w:hAnsi="Times New Roman" w:cs="Times New Roman"/>
              <w:highlight w:val="none"/>
            </w:rPr>
            <w:t>标准制定的原则和依据</w:t>
          </w:r>
          <w:r>
            <w:tab/>
          </w:r>
          <w:r>
            <w:fldChar w:fldCharType="begin"/>
          </w:r>
          <w:r>
            <w:instrText xml:space="preserve"> PAGEREF _Toc10512 \h </w:instrText>
          </w:r>
          <w:r>
            <w:fldChar w:fldCharType="separate"/>
          </w:r>
          <w:r>
            <w:t>44</w:t>
          </w:r>
          <w:r>
            <w:fldChar w:fldCharType="end"/>
          </w:r>
          <w:r>
            <w:rPr>
              <w:rFonts w:hint="default" w:ascii="Times New Roman" w:hAnsi="Times New Roman" w:cs="Times New Roman"/>
              <w:highlight w:val="none"/>
            </w:rPr>
            <w:fldChar w:fldCharType="end"/>
          </w:r>
        </w:p>
        <w:p w14:paraId="76E5F0F1">
          <w:pPr>
            <w:pStyle w:val="18"/>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_Toc3105 </w:instrText>
          </w:r>
          <w:r>
            <w:rPr>
              <w:rFonts w:hint="default" w:ascii="Times New Roman" w:hAnsi="Times New Roman" w:cs="Times New Roman"/>
              <w:highlight w:val="none"/>
            </w:rPr>
            <w:fldChar w:fldCharType="separate"/>
          </w:r>
          <w:r>
            <w:rPr>
              <w:rFonts w:hint="eastAsia" w:ascii="Times New Roman" w:hAnsi="Times New Roman" w:cs="Times New Roman"/>
            </w:rPr>
            <w:t xml:space="preserve">6.1. </w:t>
          </w:r>
          <w:r>
            <w:rPr>
              <w:rFonts w:hint="default" w:ascii="Times New Roman" w:hAnsi="Times New Roman" w:cs="Times New Roman"/>
              <w:highlight w:val="none"/>
            </w:rPr>
            <w:t>标准制定的原则</w:t>
          </w:r>
          <w:r>
            <w:tab/>
          </w:r>
          <w:r>
            <w:fldChar w:fldCharType="begin"/>
          </w:r>
          <w:r>
            <w:instrText xml:space="preserve"> PAGEREF _Toc3105 \h </w:instrText>
          </w:r>
          <w:r>
            <w:fldChar w:fldCharType="separate"/>
          </w:r>
          <w:r>
            <w:t>44</w:t>
          </w:r>
          <w:r>
            <w:fldChar w:fldCharType="end"/>
          </w:r>
          <w:r>
            <w:rPr>
              <w:rFonts w:hint="default" w:ascii="Times New Roman" w:hAnsi="Times New Roman" w:cs="Times New Roman"/>
              <w:highlight w:val="none"/>
            </w:rPr>
            <w:fldChar w:fldCharType="end"/>
          </w:r>
        </w:p>
        <w:p w14:paraId="7F4DA643">
          <w:pPr>
            <w:pStyle w:val="18"/>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_Toc11988 </w:instrText>
          </w:r>
          <w:r>
            <w:rPr>
              <w:rFonts w:hint="default" w:ascii="Times New Roman" w:hAnsi="Times New Roman" w:cs="Times New Roman"/>
              <w:highlight w:val="none"/>
            </w:rPr>
            <w:fldChar w:fldCharType="separate"/>
          </w:r>
          <w:r>
            <w:rPr>
              <w:rFonts w:hint="eastAsia" w:ascii="Times New Roman" w:hAnsi="Times New Roman" w:cs="Times New Roman"/>
            </w:rPr>
            <w:t xml:space="preserve">6.2. </w:t>
          </w:r>
          <w:r>
            <w:rPr>
              <w:rFonts w:hint="default" w:ascii="Times New Roman" w:hAnsi="Times New Roman" w:cs="Times New Roman"/>
              <w:highlight w:val="none"/>
            </w:rPr>
            <w:t>标准制定的依据</w:t>
          </w:r>
          <w:r>
            <w:tab/>
          </w:r>
          <w:r>
            <w:fldChar w:fldCharType="begin"/>
          </w:r>
          <w:r>
            <w:instrText xml:space="preserve"> PAGEREF _Toc11988 \h </w:instrText>
          </w:r>
          <w:r>
            <w:fldChar w:fldCharType="separate"/>
          </w:r>
          <w:r>
            <w:t>44</w:t>
          </w:r>
          <w:r>
            <w:fldChar w:fldCharType="end"/>
          </w:r>
          <w:r>
            <w:rPr>
              <w:rFonts w:hint="default" w:ascii="Times New Roman" w:hAnsi="Times New Roman" w:cs="Times New Roman"/>
              <w:highlight w:val="none"/>
            </w:rPr>
            <w:fldChar w:fldCharType="end"/>
          </w:r>
        </w:p>
        <w:p w14:paraId="228D49ED">
          <w:pPr>
            <w:pStyle w:val="16"/>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_Toc9404 </w:instrText>
          </w:r>
          <w:r>
            <w:rPr>
              <w:rFonts w:hint="default" w:ascii="Times New Roman" w:hAnsi="Times New Roman" w:cs="Times New Roman"/>
              <w:highlight w:val="none"/>
            </w:rPr>
            <w:fldChar w:fldCharType="separate"/>
          </w:r>
          <w:r>
            <w:rPr>
              <w:rFonts w:hint="eastAsia" w:ascii="Times New Roman" w:hAnsi="Times New Roman" w:cs="Times New Roman"/>
            </w:rPr>
            <w:t xml:space="preserve">七、 </w:t>
          </w:r>
          <w:r>
            <w:rPr>
              <w:rFonts w:hint="default" w:ascii="Times New Roman" w:hAnsi="Times New Roman" w:cs="Times New Roman"/>
              <w:highlight w:val="none"/>
            </w:rPr>
            <w:t>标准主要技术内容</w:t>
          </w:r>
          <w:r>
            <w:tab/>
          </w:r>
          <w:r>
            <w:fldChar w:fldCharType="begin"/>
          </w:r>
          <w:r>
            <w:instrText xml:space="preserve"> PAGEREF _Toc9404 \h </w:instrText>
          </w:r>
          <w:r>
            <w:fldChar w:fldCharType="separate"/>
          </w:r>
          <w:r>
            <w:t>44</w:t>
          </w:r>
          <w:r>
            <w:fldChar w:fldCharType="end"/>
          </w:r>
          <w:r>
            <w:rPr>
              <w:rFonts w:hint="default" w:ascii="Times New Roman" w:hAnsi="Times New Roman" w:cs="Times New Roman"/>
              <w:highlight w:val="none"/>
            </w:rPr>
            <w:fldChar w:fldCharType="end"/>
          </w:r>
        </w:p>
        <w:p w14:paraId="4222994E">
          <w:pPr>
            <w:pStyle w:val="18"/>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_Toc9197 </w:instrText>
          </w:r>
          <w:r>
            <w:rPr>
              <w:rFonts w:hint="default" w:ascii="Times New Roman" w:hAnsi="Times New Roman" w:cs="Times New Roman"/>
              <w:highlight w:val="none"/>
            </w:rPr>
            <w:fldChar w:fldCharType="separate"/>
          </w:r>
          <w:r>
            <w:rPr>
              <w:rFonts w:hint="eastAsia" w:ascii="Times New Roman" w:hAnsi="Times New Roman" w:cs="Times New Roman"/>
            </w:rPr>
            <w:t xml:space="preserve">7.1. </w:t>
          </w:r>
          <w:r>
            <w:rPr>
              <w:rFonts w:hint="default" w:ascii="Times New Roman" w:hAnsi="Times New Roman" w:cs="Times New Roman"/>
              <w:highlight w:val="none"/>
            </w:rPr>
            <w:t>标准内容框架</w:t>
          </w:r>
          <w:r>
            <w:tab/>
          </w:r>
          <w:r>
            <w:fldChar w:fldCharType="begin"/>
          </w:r>
          <w:r>
            <w:instrText xml:space="preserve"> PAGEREF _Toc9197 \h </w:instrText>
          </w:r>
          <w:r>
            <w:fldChar w:fldCharType="separate"/>
          </w:r>
          <w:r>
            <w:t>44</w:t>
          </w:r>
          <w:r>
            <w:fldChar w:fldCharType="end"/>
          </w:r>
          <w:r>
            <w:rPr>
              <w:rFonts w:hint="default" w:ascii="Times New Roman" w:hAnsi="Times New Roman" w:cs="Times New Roman"/>
              <w:highlight w:val="none"/>
            </w:rPr>
            <w:fldChar w:fldCharType="end"/>
          </w:r>
        </w:p>
        <w:p w14:paraId="07AF5365">
          <w:pPr>
            <w:pStyle w:val="18"/>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_Toc21195 </w:instrText>
          </w:r>
          <w:r>
            <w:rPr>
              <w:rFonts w:hint="default" w:ascii="Times New Roman" w:hAnsi="Times New Roman" w:cs="Times New Roman"/>
              <w:highlight w:val="none"/>
            </w:rPr>
            <w:fldChar w:fldCharType="separate"/>
          </w:r>
          <w:r>
            <w:rPr>
              <w:rFonts w:hint="eastAsia"/>
            </w:rPr>
            <w:t xml:space="preserve">7.2. </w:t>
          </w:r>
          <w:r>
            <w:rPr>
              <w:highlight w:val="none"/>
            </w:rPr>
            <w:t>标准适用范围</w:t>
          </w:r>
          <w:r>
            <w:tab/>
          </w:r>
          <w:r>
            <w:fldChar w:fldCharType="begin"/>
          </w:r>
          <w:r>
            <w:instrText xml:space="preserve"> PAGEREF _Toc21195 \h </w:instrText>
          </w:r>
          <w:r>
            <w:fldChar w:fldCharType="separate"/>
          </w:r>
          <w:r>
            <w:t>45</w:t>
          </w:r>
          <w:r>
            <w:fldChar w:fldCharType="end"/>
          </w:r>
          <w:r>
            <w:rPr>
              <w:rFonts w:hint="default" w:ascii="Times New Roman" w:hAnsi="Times New Roman" w:cs="Times New Roman"/>
              <w:highlight w:val="none"/>
            </w:rPr>
            <w:fldChar w:fldCharType="end"/>
          </w:r>
        </w:p>
        <w:p w14:paraId="65ECF7CC">
          <w:pPr>
            <w:pStyle w:val="18"/>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_Toc4940 </w:instrText>
          </w:r>
          <w:r>
            <w:rPr>
              <w:rFonts w:hint="default" w:ascii="Times New Roman" w:hAnsi="Times New Roman" w:cs="Times New Roman"/>
              <w:highlight w:val="none"/>
            </w:rPr>
            <w:fldChar w:fldCharType="separate"/>
          </w:r>
          <w:r>
            <w:rPr>
              <w:rFonts w:hint="eastAsia"/>
              <w:lang w:val="en-US" w:eastAsia="zh-CN"/>
            </w:rPr>
            <w:t xml:space="preserve">7.3. </w:t>
          </w:r>
          <w:r>
            <w:rPr>
              <w:rFonts w:hint="eastAsia"/>
              <w:highlight w:val="none"/>
              <w:lang w:val="en-US" w:eastAsia="zh-CN"/>
            </w:rPr>
            <w:t>标准执行时间</w:t>
          </w:r>
          <w:r>
            <w:tab/>
          </w:r>
          <w:r>
            <w:fldChar w:fldCharType="begin"/>
          </w:r>
          <w:r>
            <w:instrText xml:space="preserve"> PAGEREF _Toc4940 \h </w:instrText>
          </w:r>
          <w:r>
            <w:fldChar w:fldCharType="separate"/>
          </w:r>
          <w:r>
            <w:t>45</w:t>
          </w:r>
          <w:r>
            <w:fldChar w:fldCharType="end"/>
          </w:r>
          <w:r>
            <w:rPr>
              <w:rFonts w:hint="default" w:ascii="Times New Roman" w:hAnsi="Times New Roman" w:cs="Times New Roman"/>
              <w:highlight w:val="none"/>
            </w:rPr>
            <w:fldChar w:fldCharType="end"/>
          </w:r>
        </w:p>
        <w:p w14:paraId="7D07F927">
          <w:pPr>
            <w:pStyle w:val="18"/>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_Toc13098 </w:instrText>
          </w:r>
          <w:r>
            <w:rPr>
              <w:rFonts w:hint="default" w:ascii="Times New Roman" w:hAnsi="Times New Roman" w:cs="Times New Roman"/>
              <w:highlight w:val="none"/>
            </w:rPr>
            <w:fldChar w:fldCharType="separate"/>
          </w:r>
          <w:r>
            <w:rPr>
              <w:rFonts w:hint="eastAsia"/>
              <w:lang w:val="en-US" w:eastAsia="zh-CN"/>
            </w:rPr>
            <w:t xml:space="preserve">7.4. </w:t>
          </w:r>
          <w:r>
            <w:rPr>
              <w:rFonts w:hint="eastAsia"/>
              <w:highlight w:val="none"/>
              <w:lang w:val="en-US" w:eastAsia="zh-CN"/>
            </w:rPr>
            <w:t>含VOCs原辅材料要求</w:t>
          </w:r>
          <w:r>
            <w:tab/>
          </w:r>
          <w:r>
            <w:fldChar w:fldCharType="begin"/>
          </w:r>
          <w:r>
            <w:instrText xml:space="preserve"> PAGEREF _Toc13098 \h </w:instrText>
          </w:r>
          <w:r>
            <w:fldChar w:fldCharType="separate"/>
          </w:r>
          <w:r>
            <w:t>45</w:t>
          </w:r>
          <w:r>
            <w:fldChar w:fldCharType="end"/>
          </w:r>
          <w:r>
            <w:rPr>
              <w:rFonts w:hint="default" w:ascii="Times New Roman" w:hAnsi="Times New Roman" w:cs="Times New Roman"/>
              <w:highlight w:val="none"/>
            </w:rPr>
            <w:fldChar w:fldCharType="end"/>
          </w:r>
        </w:p>
        <w:p w14:paraId="76FC5E06">
          <w:pPr>
            <w:pStyle w:val="13"/>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_Toc5471 </w:instrText>
          </w:r>
          <w:r>
            <w:rPr>
              <w:rFonts w:hint="default" w:ascii="Times New Roman" w:hAnsi="Times New Roman" w:cs="Times New Roman"/>
              <w:highlight w:val="none"/>
            </w:rPr>
            <w:fldChar w:fldCharType="separate"/>
          </w:r>
          <w:r>
            <w:rPr>
              <w:rFonts w:hint="eastAsia" w:ascii="Times New Roman" w:hAnsi="Times New Roman" w:cs="Times New Roman"/>
              <w:lang w:eastAsia="zh-CN"/>
            </w:rPr>
            <w:t xml:space="preserve">7.4.1. </w:t>
          </w:r>
          <w:r>
            <w:rPr>
              <w:rFonts w:hint="eastAsia" w:cs="Times New Roman"/>
              <w:highlight w:val="none"/>
              <w:lang w:eastAsia="zh-CN"/>
            </w:rPr>
            <w:t>标准</w:t>
          </w:r>
          <w:bookmarkStart w:id="189" w:name="_GoBack"/>
          <w:bookmarkEnd w:id="189"/>
          <w:r>
            <w:rPr>
              <w:rFonts w:hint="eastAsia" w:cs="Times New Roman"/>
              <w:highlight w:val="none"/>
              <w:lang w:eastAsia="zh-CN"/>
            </w:rPr>
            <w:t>内容</w:t>
          </w:r>
          <w:r>
            <w:tab/>
          </w:r>
          <w:r>
            <w:fldChar w:fldCharType="begin"/>
          </w:r>
          <w:r>
            <w:instrText xml:space="preserve"> PAGEREF _Toc5471 \h </w:instrText>
          </w:r>
          <w:r>
            <w:fldChar w:fldCharType="separate"/>
          </w:r>
          <w:r>
            <w:t>45</w:t>
          </w:r>
          <w:r>
            <w:fldChar w:fldCharType="end"/>
          </w:r>
          <w:r>
            <w:rPr>
              <w:rFonts w:hint="default" w:ascii="Times New Roman" w:hAnsi="Times New Roman" w:cs="Times New Roman"/>
              <w:highlight w:val="none"/>
            </w:rPr>
            <w:fldChar w:fldCharType="end"/>
          </w:r>
        </w:p>
        <w:p w14:paraId="05D5A61A">
          <w:pPr>
            <w:pStyle w:val="13"/>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_Toc14215 </w:instrText>
          </w:r>
          <w:r>
            <w:rPr>
              <w:rFonts w:hint="default" w:ascii="Times New Roman" w:hAnsi="Times New Roman" w:cs="Times New Roman"/>
              <w:highlight w:val="none"/>
            </w:rPr>
            <w:fldChar w:fldCharType="separate"/>
          </w:r>
          <w:r>
            <w:rPr>
              <w:rFonts w:hint="eastAsia" w:ascii="Times New Roman" w:hAnsi="Times New Roman" w:cs="Times New Roman"/>
              <w:lang w:eastAsia="zh-CN"/>
            </w:rPr>
            <w:t xml:space="preserve">7.4.2. </w:t>
          </w:r>
          <w:r>
            <w:rPr>
              <w:rFonts w:hint="default" w:ascii="Times New Roman" w:hAnsi="Times New Roman" w:cs="Times New Roman"/>
              <w:highlight w:val="none"/>
            </w:rPr>
            <w:t>涂料VOCs含量限值的确定</w:t>
          </w:r>
          <w:r>
            <w:rPr>
              <w:rFonts w:hint="eastAsia" w:cs="Times New Roman"/>
              <w:highlight w:val="none"/>
              <w:lang w:eastAsia="zh-CN"/>
            </w:rPr>
            <w:t>过程</w:t>
          </w:r>
          <w:r>
            <w:tab/>
          </w:r>
          <w:r>
            <w:fldChar w:fldCharType="begin"/>
          </w:r>
          <w:r>
            <w:instrText xml:space="preserve"> PAGEREF _Toc14215 \h </w:instrText>
          </w:r>
          <w:r>
            <w:fldChar w:fldCharType="separate"/>
          </w:r>
          <w:r>
            <w:t>46</w:t>
          </w:r>
          <w:r>
            <w:fldChar w:fldCharType="end"/>
          </w:r>
          <w:r>
            <w:rPr>
              <w:rFonts w:hint="default" w:ascii="Times New Roman" w:hAnsi="Times New Roman" w:cs="Times New Roman"/>
              <w:highlight w:val="none"/>
            </w:rPr>
            <w:fldChar w:fldCharType="end"/>
          </w:r>
        </w:p>
        <w:p w14:paraId="140C5EBA">
          <w:pPr>
            <w:pStyle w:val="18"/>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_Toc3115 </w:instrText>
          </w:r>
          <w:r>
            <w:rPr>
              <w:rFonts w:hint="default" w:ascii="Times New Roman" w:hAnsi="Times New Roman" w:cs="Times New Roman"/>
              <w:highlight w:val="none"/>
            </w:rPr>
            <w:fldChar w:fldCharType="separate"/>
          </w:r>
          <w:r>
            <w:rPr>
              <w:rFonts w:hint="eastAsia"/>
              <w:lang w:val="en-US" w:eastAsia="zh-CN"/>
            </w:rPr>
            <w:t xml:space="preserve">7.5. </w:t>
          </w:r>
          <w:r>
            <w:rPr>
              <w:rFonts w:hint="eastAsia"/>
              <w:highlight w:val="none"/>
              <w:lang w:val="en-US" w:eastAsia="zh-CN"/>
            </w:rPr>
            <w:t>有组织排放控制要求</w:t>
          </w:r>
          <w:r>
            <w:tab/>
          </w:r>
          <w:r>
            <w:fldChar w:fldCharType="begin"/>
          </w:r>
          <w:r>
            <w:instrText xml:space="preserve"> PAGEREF _Toc3115 \h </w:instrText>
          </w:r>
          <w:r>
            <w:fldChar w:fldCharType="separate"/>
          </w:r>
          <w:r>
            <w:t>48</w:t>
          </w:r>
          <w:r>
            <w:fldChar w:fldCharType="end"/>
          </w:r>
          <w:r>
            <w:rPr>
              <w:rFonts w:hint="default" w:ascii="Times New Roman" w:hAnsi="Times New Roman" w:cs="Times New Roman"/>
              <w:highlight w:val="none"/>
            </w:rPr>
            <w:fldChar w:fldCharType="end"/>
          </w:r>
        </w:p>
        <w:p w14:paraId="4D4D4C4E">
          <w:pPr>
            <w:pStyle w:val="13"/>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_Toc23705 </w:instrText>
          </w:r>
          <w:r>
            <w:rPr>
              <w:rFonts w:hint="default" w:ascii="Times New Roman" w:hAnsi="Times New Roman" w:cs="Times New Roman"/>
              <w:highlight w:val="none"/>
            </w:rPr>
            <w:fldChar w:fldCharType="separate"/>
          </w:r>
          <w:r>
            <w:rPr>
              <w:rFonts w:hint="eastAsia" w:cs="Times New Roman"/>
              <w:lang w:val="en-US" w:eastAsia="zh-CN"/>
            </w:rPr>
            <w:t xml:space="preserve">7.5.1. </w:t>
          </w:r>
          <w:r>
            <w:rPr>
              <w:rFonts w:hint="default" w:cs="Times New Roman"/>
              <w:highlight w:val="none"/>
              <w:lang w:val="en-US" w:eastAsia="zh-CN"/>
            </w:rPr>
            <w:t>污染物有组织排放限值</w:t>
          </w:r>
          <w:r>
            <w:rPr>
              <w:rFonts w:hint="eastAsia" w:cs="Times New Roman"/>
              <w:highlight w:val="none"/>
              <w:lang w:val="en-US" w:eastAsia="zh-CN"/>
            </w:rPr>
            <w:t>要求及其</w:t>
          </w:r>
          <w:r>
            <w:rPr>
              <w:rFonts w:hint="default" w:cs="Times New Roman"/>
              <w:highlight w:val="none"/>
              <w:lang w:val="en-US" w:eastAsia="zh-CN"/>
            </w:rPr>
            <w:t>确定</w:t>
          </w:r>
          <w:r>
            <w:tab/>
          </w:r>
          <w:r>
            <w:fldChar w:fldCharType="begin"/>
          </w:r>
          <w:r>
            <w:instrText xml:space="preserve"> PAGEREF _Toc23705 \h </w:instrText>
          </w:r>
          <w:r>
            <w:fldChar w:fldCharType="separate"/>
          </w:r>
          <w:r>
            <w:t>48</w:t>
          </w:r>
          <w:r>
            <w:fldChar w:fldCharType="end"/>
          </w:r>
          <w:r>
            <w:rPr>
              <w:rFonts w:hint="default" w:ascii="Times New Roman" w:hAnsi="Times New Roman" w:cs="Times New Roman"/>
              <w:highlight w:val="none"/>
            </w:rPr>
            <w:fldChar w:fldCharType="end"/>
          </w:r>
        </w:p>
        <w:p w14:paraId="705692EA">
          <w:pPr>
            <w:pStyle w:val="13"/>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_Toc16685 </w:instrText>
          </w:r>
          <w:r>
            <w:rPr>
              <w:rFonts w:hint="default" w:ascii="Times New Roman" w:hAnsi="Times New Roman" w:cs="Times New Roman"/>
              <w:highlight w:val="none"/>
            </w:rPr>
            <w:fldChar w:fldCharType="separate"/>
          </w:r>
          <w:r>
            <w:rPr>
              <w:rFonts w:hint="eastAsia"/>
              <w:lang w:val="en-US" w:eastAsia="zh-CN"/>
            </w:rPr>
            <w:t xml:space="preserve">7.5.2. </w:t>
          </w:r>
          <w:r>
            <w:rPr>
              <w:rFonts w:hint="eastAsia"/>
              <w:highlight w:val="none"/>
              <w:lang w:val="en-US" w:eastAsia="zh-CN"/>
            </w:rPr>
            <w:t>VOCs治理设施控制要求</w:t>
          </w:r>
          <w:r>
            <w:tab/>
          </w:r>
          <w:r>
            <w:fldChar w:fldCharType="begin"/>
          </w:r>
          <w:r>
            <w:instrText xml:space="preserve"> PAGEREF _Toc16685 \h </w:instrText>
          </w:r>
          <w:r>
            <w:fldChar w:fldCharType="separate"/>
          </w:r>
          <w:r>
            <w:t>61</w:t>
          </w:r>
          <w:r>
            <w:fldChar w:fldCharType="end"/>
          </w:r>
          <w:r>
            <w:rPr>
              <w:rFonts w:hint="default" w:ascii="Times New Roman" w:hAnsi="Times New Roman" w:cs="Times New Roman"/>
              <w:highlight w:val="none"/>
            </w:rPr>
            <w:fldChar w:fldCharType="end"/>
          </w:r>
        </w:p>
        <w:p w14:paraId="2E21FD71">
          <w:pPr>
            <w:pStyle w:val="13"/>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_Toc3849 </w:instrText>
          </w:r>
          <w:r>
            <w:rPr>
              <w:rFonts w:hint="default" w:ascii="Times New Roman" w:hAnsi="Times New Roman" w:cs="Times New Roman"/>
              <w:highlight w:val="none"/>
            </w:rPr>
            <w:fldChar w:fldCharType="separate"/>
          </w:r>
          <w:r>
            <w:rPr>
              <w:rFonts w:hint="eastAsia"/>
              <w:lang w:val="en-US" w:eastAsia="zh-CN"/>
            </w:rPr>
            <w:t xml:space="preserve">7.5.3. </w:t>
          </w:r>
          <w:r>
            <w:rPr>
              <w:rFonts w:hint="eastAsia"/>
              <w:highlight w:val="none"/>
              <w:lang w:val="en-US" w:eastAsia="zh-CN"/>
            </w:rPr>
            <w:t>加热炉排放要求</w:t>
          </w:r>
          <w:r>
            <w:tab/>
          </w:r>
          <w:r>
            <w:fldChar w:fldCharType="begin"/>
          </w:r>
          <w:r>
            <w:instrText xml:space="preserve"> PAGEREF _Toc3849 \h </w:instrText>
          </w:r>
          <w:r>
            <w:fldChar w:fldCharType="separate"/>
          </w:r>
          <w:r>
            <w:t>63</w:t>
          </w:r>
          <w:r>
            <w:fldChar w:fldCharType="end"/>
          </w:r>
          <w:r>
            <w:rPr>
              <w:rFonts w:hint="default" w:ascii="Times New Roman" w:hAnsi="Times New Roman" w:cs="Times New Roman"/>
              <w:highlight w:val="none"/>
            </w:rPr>
            <w:fldChar w:fldCharType="end"/>
          </w:r>
        </w:p>
        <w:p w14:paraId="18A9D47F">
          <w:pPr>
            <w:pStyle w:val="13"/>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_Toc31520 </w:instrText>
          </w:r>
          <w:r>
            <w:rPr>
              <w:rFonts w:hint="default" w:ascii="Times New Roman" w:hAnsi="Times New Roman" w:cs="Times New Roman"/>
              <w:highlight w:val="none"/>
            </w:rPr>
            <w:fldChar w:fldCharType="separate"/>
          </w:r>
          <w:r>
            <w:rPr>
              <w:rFonts w:hint="eastAsia"/>
              <w:lang w:val="en-US" w:eastAsia="zh-CN"/>
            </w:rPr>
            <w:t xml:space="preserve">7.5.4. </w:t>
          </w:r>
          <w:r>
            <w:rPr>
              <w:rFonts w:hint="eastAsia"/>
              <w:highlight w:val="none"/>
              <w:lang w:val="en-US" w:eastAsia="zh-CN"/>
            </w:rPr>
            <w:t>排气筒设置要求</w:t>
          </w:r>
          <w:r>
            <w:tab/>
          </w:r>
          <w:r>
            <w:fldChar w:fldCharType="begin"/>
          </w:r>
          <w:r>
            <w:instrText xml:space="preserve"> PAGEREF _Toc31520 \h </w:instrText>
          </w:r>
          <w:r>
            <w:fldChar w:fldCharType="separate"/>
          </w:r>
          <w:r>
            <w:t>63</w:t>
          </w:r>
          <w:r>
            <w:fldChar w:fldCharType="end"/>
          </w:r>
          <w:r>
            <w:rPr>
              <w:rFonts w:hint="default" w:ascii="Times New Roman" w:hAnsi="Times New Roman" w:cs="Times New Roman"/>
              <w:highlight w:val="none"/>
            </w:rPr>
            <w:fldChar w:fldCharType="end"/>
          </w:r>
        </w:p>
        <w:p w14:paraId="79E9FA76">
          <w:pPr>
            <w:pStyle w:val="13"/>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_Toc7309 </w:instrText>
          </w:r>
          <w:r>
            <w:rPr>
              <w:rFonts w:hint="default" w:ascii="Times New Roman" w:hAnsi="Times New Roman" w:cs="Times New Roman"/>
              <w:highlight w:val="none"/>
            </w:rPr>
            <w:fldChar w:fldCharType="separate"/>
          </w:r>
          <w:r>
            <w:rPr>
              <w:rFonts w:hint="eastAsia"/>
              <w:lang w:val="en-US" w:eastAsia="zh-CN"/>
            </w:rPr>
            <w:t xml:space="preserve">7.5.5. </w:t>
          </w:r>
          <w:r>
            <w:rPr>
              <w:rFonts w:hint="eastAsia"/>
              <w:highlight w:val="none"/>
              <w:lang w:val="en-US" w:eastAsia="zh-CN"/>
            </w:rPr>
            <w:t>其他管控要求</w:t>
          </w:r>
          <w:r>
            <w:tab/>
          </w:r>
          <w:r>
            <w:fldChar w:fldCharType="begin"/>
          </w:r>
          <w:r>
            <w:instrText xml:space="preserve"> PAGEREF _Toc7309 \h </w:instrText>
          </w:r>
          <w:r>
            <w:fldChar w:fldCharType="separate"/>
          </w:r>
          <w:r>
            <w:t>63</w:t>
          </w:r>
          <w:r>
            <w:fldChar w:fldCharType="end"/>
          </w:r>
          <w:r>
            <w:rPr>
              <w:rFonts w:hint="default" w:ascii="Times New Roman" w:hAnsi="Times New Roman" w:cs="Times New Roman"/>
              <w:highlight w:val="none"/>
            </w:rPr>
            <w:fldChar w:fldCharType="end"/>
          </w:r>
        </w:p>
        <w:p w14:paraId="6583FD00">
          <w:pPr>
            <w:pStyle w:val="18"/>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_Toc4894 </w:instrText>
          </w:r>
          <w:r>
            <w:rPr>
              <w:rFonts w:hint="default" w:ascii="Times New Roman" w:hAnsi="Times New Roman" w:cs="Times New Roman"/>
              <w:highlight w:val="none"/>
            </w:rPr>
            <w:fldChar w:fldCharType="separate"/>
          </w:r>
          <w:r>
            <w:rPr>
              <w:rFonts w:hint="eastAsia"/>
              <w:lang w:val="en-US" w:eastAsia="zh-CN"/>
            </w:rPr>
            <w:t xml:space="preserve">7.6. </w:t>
          </w:r>
          <w:r>
            <w:rPr>
              <w:rFonts w:hint="eastAsia"/>
              <w:highlight w:val="none"/>
              <w:lang w:val="en-US" w:eastAsia="zh-CN"/>
            </w:rPr>
            <w:t>无组织排放控制要求</w:t>
          </w:r>
          <w:r>
            <w:tab/>
          </w:r>
          <w:r>
            <w:fldChar w:fldCharType="begin"/>
          </w:r>
          <w:r>
            <w:instrText xml:space="preserve"> PAGEREF _Toc4894 \h </w:instrText>
          </w:r>
          <w:r>
            <w:fldChar w:fldCharType="separate"/>
          </w:r>
          <w:r>
            <w:t>65</w:t>
          </w:r>
          <w:r>
            <w:fldChar w:fldCharType="end"/>
          </w:r>
          <w:r>
            <w:rPr>
              <w:rFonts w:hint="default" w:ascii="Times New Roman" w:hAnsi="Times New Roman" w:cs="Times New Roman"/>
              <w:highlight w:val="none"/>
            </w:rPr>
            <w:fldChar w:fldCharType="end"/>
          </w:r>
        </w:p>
        <w:p w14:paraId="19E6DF61">
          <w:pPr>
            <w:pStyle w:val="13"/>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_Toc15119 </w:instrText>
          </w:r>
          <w:r>
            <w:rPr>
              <w:rFonts w:hint="default" w:ascii="Times New Roman" w:hAnsi="Times New Roman" w:cs="Times New Roman"/>
              <w:highlight w:val="none"/>
            </w:rPr>
            <w:fldChar w:fldCharType="separate"/>
          </w:r>
          <w:r>
            <w:rPr>
              <w:rFonts w:hint="eastAsia" w:ascii="Times New Roman" w:hAnsi="Times New Roman" w:eastAsia="宋体" w:cs="Times New Roman"/>
              <w:bCs w:val="0"/>
              <w:kern w:val="0"/>
              <w:szCs w:val="21"/>
              <w:lang w:val="zh-CN" w:eastAsia="zh-CN" w:bidi="ar-SA"/>
            </w:rPr>
            <w:t xml:space="preserve">7.6.1. </w:t>
          </w:r>
          <w:r>
            <w:rPr>
              <w:rFonts w:hint="default"/>
              <w:highlight w:val="none"/>
            </w:rPr>
            <w:t>污染物无组织排放限值要求及其确定</w:t>
          </w:r>
          <w:r>
            <w:tab/>
          </w:r>
          <w:r>
            <w:fldChar w:fldCharType="begin"/>
          </w:r>
          <w:r>
            <w:instrText xml:space="preserve"> PAGEREF _Toc15119 \h </w:instrText>
          </w:r>
          <w:r>
            <w:fldChar w:fldCharType="separate"/>
          </w:r>
          <w:r>
            <w:t>65</w:t>
          </w:r>
          <w:r>
            <w:fldChar w:fldCharType="end"/>
          </w:r>
          <w:r>
            <w:rPr>
              <w:rFonts w:hint="default" w:ascii="Times New Roman" w:hAnsi="Times New Roman" w:cs="Times New Roman"/>
              <w:highlight w:val="none"/>
            </w:rPr>
            <w:fldChar w:fldCharType="end"/>
          </w:r>
        </w:p>
        <w:p w14:paraId="54AFAD73">
          <w:pPr>
            <w:pStyle w:val="13"/>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_Toc3007 </w:instrText>
          </w:r>
          <w:r>
            <w:rPr>
              <w:rFonts w:hint="default" w:ascii="Times New Roman" w:hAnsi="Times New Roman" w:cs="Times New Roman"/>
              <w:highlight w:val="none"/>
            </w:rPr>
            <w:fldChar w:fldCharType="separate"/>
          </w:r>
          <w:r>
            <w:rPr>
              <w:rFonts w:hint="eastAsia"/>
            </w:rPr>
            <w:t xml:space="preserve">7.6.2. </w:t>
          </w:r>
          <w:r>
            <w:rPr>
              <w:highlight w:val="none"/>
            </w:rPr>
            <w:t>无组织排放管控要求</w:t>
          </w:r>
          <w:r>
            <w:tab/>
          </w:r>
          <w:r>
            <w:fldChar w:fldCharType="begin"/>
          </w:r>
          <w:r>
            <w:instrText xml:space="preserve"> PAGEREF _Toc3007 \h </w:instrText>
          </w:r>
          <w:r>
            <w:fldChar w:fldCharType="separate"/>
          </w:r>
          <w:r>
            <w:t>68</w:t>
          </w:r>
          <w:r>
            <w:fldChar w:fldCharType="end"/>
          </w:r>
          <w:r>
            <w:rPr>
              <w:rFonts w:hint="default" w:ascii="Times New Roman" w:hAnsi="Times New Roman" w:cs="Times New Roman"/>
              <w:highlight w:val="none"/>
            </w:rPr>
            <w:fldChar w:fldCharType="end"/>
          </w:r>
        </w:p>
        <w:p w14:paraId="0B6F2A94">
          <w:pPr>
            <w:pStyle w:val="18"/>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_Toc15827 </w:instrText>
          </w:r>
          <w:r>
            <w:rPr>
              <w:rFonts w:hint="default" w:ascii="Times New Roman" w:hAnsi="Times New Roman" w:cs="Times New Roman"/>
              <w:highlight w:val="none"/>
            </w:rPr>
            <w:fldChar w:fldCharType="separate"/>
          </w:r>
          <w:r>
            <w:rPr>
              <w:rFonts w:hint="eastAsia"/>
              <w:lang w:val="en-US" w:eastAsia="zh-CN"/>
            </w:rPr>
            <w:t xml:space="preserve">7.7. </w:t>
          </w:r>
          <w:r>
            <w:rPr>
              <w:rFonts w:hint="eastAsia"/>
              <w:highlight w:val="none"/>
              <w:lang w:val="en-US" w:eastAsia="zh-CN"/>
            </w:rPr>
            <w:t>污染物厂界排放控制要求</w:t>
          </w:r>
          <w:r>
            <w:tab/>
          </w:r>
          <w:r>
            <w:fldChar w:fldCharType="begin"/>
          </w:r>
          <w:r>
            <w:instrText xml:space="preserve"> PAGEREF _Toc15827 \h </w:instrText>
          </w:r>
          <w:r>
            <w:fldChar w:fldCharType="separate"/>
          </w:r>
          <w:r>
            <w:t>69</w:t>
          </w:r>
          <w:r>
            <w:fldChar w:fldCharType="end"/>
          </w:r>
          <w:r>
            <w:rPr>
              <w:rFonts w:hint="default" w:ascii="Times New Roman" w:hAnsi="Times New Roman" w:cs="Times New Roman"/>
              <w:highlight w:val="none"/>
            </w:rPr>
            <w:fldChar w:fldCharType="end"/>
          </w:r>
        </w:p>
        <w:p w14:paraId="345A723A">
          <w:pPr>
            <w:pStyle w:val="18"/>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_Toc537 </w:instrText>
          </w:r>
          <w:r>
            <w:rPr>
              <w:rFonts w:hint="default" w:ascii="Times New Roman" w:hAnsi="Times New Roman" w:cs="Times New Roman"/>
              <w:highlight w:val="none"/>
            </w:rPr>
            <w:fldChar w:fldCharType="separate"/>
          </w:r>
          <w:r>
            <w:rPr>
              <w:rFonts w:hint="eastAsia"/>
              <w:lang w:val="en-US" w:eastAsia="zh-CN"/>
            </w:rPr>
            <w:t xml:space="preserve">7.8. </w:t>
          </w:r>
          <w:r>
            <w:rPr>
              <w:rFonts w:hint="eastAsia"/>
              <w:highlight w:val="none"/>
              <w:lang w:val="en-US" w:eastAsia="zh-CN"/>
            </w:rPr>
            <w:t>台账要求</w:t>
          </w:r>
          <w:r>
            <w:tab/>
          </w:r>
          <w:r>
            <w:fldChar w:fldCharType="begin"/>
          </w:r>
          <w:r>
            <w:instrText xml:space="preserve"> PAGEREF _Toc537 \h </w:instrText>
          </w:r>
          <w:r>
            <w:fldChar w:fldCharType="separate"/>
          </w:r>
          <w:r>
            <w:t>69</w:t>
          </w:r>
          <w:r>
            <w:fldChar w:fldCharType="end"/>
          </w:r>
          <w:r>
            <w:rPr>
              <w:rFonts w:hint="default" w:ascii="Times New Roman" w:hAnsi="Times New Roman" w:cs="Times New Roman"/>
              <w:highlight w:val="none"/>
            </w:rPr>
            <w:fldChar w:fldCharType="end"/>
          </w:r>
        </w:p>
        <w:p w14:paraId="145231C4">
          <w:pPr>
            <w:pStyle w:val="18"/>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_Toc4340 </w:instrText>
          </w:r>
          <w:r>
            <w:rPr>
              <w:rFonts w:hint="default" w:ascii="Times New Roman" w:hAnsi="Times New Roman" w:cs="Times New Roman"/>
              <w:highlight w:val="none"/>
            </w:rPr>
            <w:fldChar w:fldCharType="separate"/>
          </w:r>
          <w:r>
            <w:rPr>
              <w:rFonts w:hint="eastAsia" w:ascii="Times New Roman" w:hAnsi="Times New Roman" w:cs="Times New Roman"/>
            </w:rPr>
            <w:t xml:space="preserve">7.9. </w:t>
          </w:r>
          <w:r>
            <w:rPr>
              <w:rFonts w:hint="default" w:ascii="Times New Roman" w:hAnsi="Times New Roman" w:cs="Times New Roman"/>
              <w:highlight w:val="none"/>
            </w:rPr>
            <w:t>监测要求</w:t>
          </w:r>
          <w:r>
            <w:tab/>
          </w:r>
          <w:r>
            <w:fldChar w:fldCharType="begin"/>
          </w:r>
          <w:r>
            <w:instrText xml:space="preserve"> PAGEREF _Toc4340 \h </w:instrText>
          </w:r>
          <w:r>
            <w:fldChar w:fldCharType="separate"/>
          </w:r>
          <w:r>
            <w:t>70</w:t>
          </w:r>
          <w:r>
            <w:fldChar w:fldCharType="end"/>
          </w:r>
          <w:r>
            <w:rPr>
              <w:rFonts w:hint="default" w:ascii="Times New Roman" w:hAnsi="Times New Roman" w:cs="Times New Roman"/>
              <w:highlight w:val="none"/>
            </w:rPr>
            <w:fldChar w:fldCharType="end"/>
          </w:r>
        </w:p>
        <w:p w14:paraId="265CB201">
          <w:pPr>
            <w:pStyle w:val="13"/>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_Toc20428 </w:instrText>
          </w:r>
          <w:r>
            <w:rPr>
              <w:rFonts w:hint="default" w:ascii="Times New Roman" w:hAnsi="Times New Roman" w:cs="Times New Roman"/>
              <w:highlight w:val="none"/>
            </w:rPr>
            <w:fldChar w:fldCharType="separate"/>
          </w:r>
          <w:r>
            <w:rPr>
              <w:rFonts w:hint="eastAsia" w:ascii="Times New Roman" w:hAnsi="Times New Roman" w:cs="Times New Roman"/>
            </w:rPr>
            <w:t xml:space="preserve">7.9.1. </w:t>
          </w:r>
          <w:r>
            <w:rPr>
              <w:rFonts w:hint="default" w:ascii="Times New Roman" w:hAnsi="Times New Roman" w:cs="Times New Roman"/>
              <w:highlight w:val="none"/>
            </w:rPr>
            <w:t>一般要求</w:t>
          </w:r>
          <w:r>
            <w:tab/>
          </w:r>
          <w:r>
            <w:fldChar w:fldCharType="begin"/>
          </w:r>
          <w:r>
            <w:instrText xml:space="preserve"> PAGEREF _Toc20428 \h </w:instrText>
          </w:r>
          <w:r>
            <w:fldChar w:fldCharType="separate"/>
          </w:r>
          <w:r>
            <w:t>70</w:t>
          </w:r>
          <w:r>
            <w:fldChar w:fldCharType="end"/>
          </w:r>
          <w:r>
            <w:rPr>
              <w:rFonts w:hint="default" w:ascii="Times New Roman" w:hAnsi="Times New Roman" w:cs="Times New Roman"/>
              <w:highlight w:val="none"/>
            </w:rPr>
            <w:fldChar w:fldCharType="end"/>
          </w:r>
        </w:p>
        <w:p w14:paraId="059637EA">
          <w:pPr>
            <w:pStyle w:val="13"/>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_Toc5560 </w:instrText>
          </w:r>
          <w:r>
            <w:rPr>
              <w:rFonts w:hint="default" w:ascii="Times New Roman" w:hAnsi="Times New Roman" w:cs="Times New Roman"/>
              <w:highlight w:val="none"/>
            </w:rPr>
            <w:fldChar w:fldCharType="separate"/>
          </w:r>
          <w:r>
            <w:rPr>
              <w:rFonts w:hint="eastAsia" w:ascii="Times New Roman" w:hAnsi="Times New Roman" w:cs="Times New Roman"/>
            </w:rPr>
            <w:t xml:space="preserve">7.9.2. </w:t>
          </w:r>
          <w:r>
            <w:rPr>
              <w:rFonts w:hint="default" w:ascii="Times New Roman" w:hAnsi="Times New Roman" w:cs="Times New Roman"/>
              <w:highlight w:val="none"/>
            </w:rPr>
            <w:t>有组织排放监测要求</w:t>
          </w:r>
          <w:r>
            <w:tab/>
          </w:r>
          <w:r>
            <w:fldChar w:fldCharType="begin"/>
          </w:r>
          <w:r>
            <w:instrText xml:space="preserve"> PAGEREF _Toc5560 \h </w:instrText>
          </w:r>
          <w:r>
            <w:fldChar w:fldCharType="separate"/>
          </w:r>
          <w:r>
            <w:t>70</w:t>
          </w:r>
          <w:r>
            <w:fldChar w:fldCharType="end"/>
          </w:r>
          <w:r>
            <w:rPr>
              <w:rFonts w:hint="default" w:ascii="Times New Roman" w:hAnsi="Times New Roman" w:cs="Times New Roman"/>
              <w:highlight w:val="none"/>
            </w:rPr>
            <w:fldChar w:fldCharType="end"/>
          </w:r>
        </w:p>
        <w:p w14:paraId="300181DD">
          <w:pPr>
            <w:pStyle w:val="13"/>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_Toc11915 </w:instrText>
          </w:r>
          <w:r>
            <w:rPr>
              <w:rFonts w:hint="default" w:ascii="Times New Roman" w:hAnsi="Times New Roman" w:cs="Times New Roman"/>
              <w:highlight w:val="none"/>
            </w:rPr>
            <w:fldChar w:fldCharType="separate"/>
          </w:r>
          <w:r>
            <w:rPr>
              <w:rFonts w:hint="eastAsia" w:ascii="Times New Roman" w:hAnsi="Times New Roman" w:cs="Times New Roman"/>
            </w:rPr>
            <w:t xml:space="preserve">7.9.3. </w:t>
          </w:r>
          <w:r>
            <w:rPr>
              <w:rFonts w:hint="default" w:ascii="Times New Roman" w:hAnsi="Times New Roman" w:cs="Times New Roman"/>
              <w:highlight w:val="none"/>
            </w:rPr>
            <w:t>无组织排放监测要求</w:t>
          </w:r>
          <w:r>
            <w:tab/>
          </w:r>
          <w:r>
            <w:fldChar w:fldCharType="begin"/>
          </w:r>
          <w:r>
            <w:instrText xml:space="preserve"> PAGEREF _Toc11915 \h </w:instrText>
          </w:r>
          <w:r>
            <w:fldChar w:fldCharType="separate"/>
          </w:r>
          <w:r>
            <w:t>71</w:t>
          </w:r>
          <w:r>
            <w:fldChar w:fldCharType="end"/>
          </w:r>
          <w:r>
            <w:rPr>
              <w:rFonts w:hint="default" w:ascii="Times New Roman" w:hAnsi="Times New Roman" w:cs="Times New Roman"/>
              <w:highlight w:val="none"/>
            </w:rPr>
            <w:fldChar w:fldCharType="end"/>
          </w:r>
        </w:p>
        <w:p w14:paraId="7B40CC82">
          <w:pPr>
            <w:pStyle w:val="13"/>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_Toc3714 </w:instrText>
          </w:r>
          <w:r>
            <w:rPr>
              <w:rFonts w:hint="default" w:ascii="Times New Roman" w:hAnsi="Times New Roman" w:cs="Times New Roman"/>
              <w:highlight w:val="none"/>
            </w:rPr>
            <w:fldChar w:fldCharType="separate"/>
          </w:r>
          <w:r>
            <w:rPr>
              <w:rFonts w:hint="eastAsia" w:ascii="Times New Roman" w:hAnsi="Times New Roman" w:cs="Times New Roman"/>
            </w:rPr>
            <w:t xml:space="preserve">7.9.4. </w:t>
          </w:r>
          <w:r>
            <w:rPr>
              <w:rFonts w:hint="default" w:ascii="Times New Roman" w:hAnsi="Times New Roman" w:cs="Times New Roman"/>
              <w:highlight w:val="none"/>
            </w:rPr>
            <w:t>大气污染物测定方法</w:t>
          </w:r>
          <w:r>
            <w:tab/>
          </w:r>
          <w:r>
            <w:fldChar w:fldCharType="begin"/>
          </w:r>
          <w:r>
            <w:instrText xml:space="preserve"> PAGEREF _Toc3714 \h </w:instrText>
          </w:r>
          <w:r>
            <w:fldChar w:fldCharType="separate"/>
          </w:r>
          <w:r>
            <w:t>71</w:t>
          </w:r>
          <w:r>
            <w:fldChar w:fldCharType="end"/>
          </w:r>
          <w:r>
            <w:rPr>
              <w:rFonts w:hint="default" w:ascii="Times New Roman" w:hAnsi="Times New Roman" w:cs="Times New Roman"/>
              <w:highlight w:val="none"/>
            </w:rPr>
            <w:fldChar w:fldCharType="end"/>
          </w:r>
        </w:p>
        <w:p w14:paraId="328F7582">
          <w:pPr>
            <w:pStyle w:val="18"/>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_Toc28855 </w:instrText>
          </w:r>
          <w:r>
            <w:rPr>
              <w:rFonts w:hint="default" w:ascii="Times New Roman" w:hAnsi="Times New Roman" w:cs="Times New Roman"/>
              <w:highlight w:val="none"/>
            </w:rPr>
            <w:fldChar w:fldCharType="separate"/>
          </w:r>
          <w:r>
            <w:rPr>
              <w:rFonts w:hint="eastAsia"/>
            </w:rPr>
            <w:t xml:space="preserve">7.10. </w:t>
          </w:r>
          <w:r>
            <w:rPr>
              <w:rFonts w:hint="default"/>
              <w:highlight w:val="none"/>
            </w:rPr>
            <w:t>实施与监督</w:t>
          </w:r>
          <w:r>
            <w:tab/>
          </w:r>
          <w:r>
            <w:fldChar w:fldCharType="begin"/>
          </w:r>
          <w:r>
            <w:instrText xml:space="preserve"> PAGEREF _Toc28855 \h </w:instrText>
          </w:r>
          <w:r>
            <w:fldChar w:fldCharType="separate"/>
          </w:r>
          <w:r>
            <w:t>72</w:t>
          </w:r>
          <w:r>
            <w:fldChar w:fldCharType="end"/>
          </w:r>
          <w:r>
            <w:rPr>
              <w:rFonts w:hint="default" w:ascii="Times New Roman" w:hAnsi="Times New Roman" w:cs="Times New Roman"/>
              <w:highlight w:val="none"/>
            </w:rPr>
            <w:fldChar w:fldCharType="end"/>
          </w:r>
        </w:p>
        <w:p w14:paraId="6DC33012">
          <w:pPr>
            <w:pStyle w:val="16"/>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_Toc32632 </w:instrText>
          </w:r>
          <w:r>
            <w:rPr>
              <w:rFonts w:hint="default" w:ascii="Times New Roman" w:hAnsi="Times New Roman" w:cs="Times New Roman"/>
              <w:highlight w:val="none"/>
            </w:rPr>
            <w:fldChar w:fldCharType="separate"/>
          </w:r>
          <w:r>
            <w:rPr>
              <w:rFonts w:hint="eastAsia" w:ascii="Times New Roman" w:hAnsi="Times New Roman" w:cs="Times New Roman"/>
            </w:rPr>
            <w:t xml:space="preserve">八、 </w:t>
          </w:r>
          <w:r>
            <w:rPr>
              <w:rFonts w:hint="default" w:ascii="Times New Roman" w:hAnsi="Times New Roman" w:cs="Times New Roman"/>
              <w:highlight w:val="none"/>
            </w:rPr>
            <w:t>技术可行性和经济成本分析</w:t>
          </w:r>
          <w:r>
            <w:tab/>
          </w:r>
          <w:r>
            <w:fldChar w:fldCharType="begin"/>
          </w:r>
          <w:r>
            <w:instrText xml:space="preserve"> PAGEREF _Toc32632 \h </w:instrText>
          </w:r>
          <w:r>
            <w:fldChar w:fldCharType="separate"/>
          </w:r>
          <w:r>
            <w:t>73</w:t>
          </w:r>
          <w:r>
            <w:fldChar w:fldCharType="end"/>
          </w:r>
          <w:r>
            <w:rPr>
              <w:rFonts w:hint="default" w:ascii="Times New Roman" w:hAnsi="Times New Roman" w:cs="Times New Roman"/>
              <w:highlight w:val="none"/>
            </w:rPr>
            <w:fldChar w:fldCharType="end"/>
          </w:r>
        </w:p>
        <w:p w14:paraId="217B0A28">
          <w:pPr>
            <w:pStyle w:val="18"/>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_Toc16393 </w:instrText>
          </w:r>
          <w:r>
            <w:rPr>
              <w:rFonts w:hint="default" w:ascii="Times New Roman" w:hAnsi="Times New Roman" w:cs="Times New Roman"/>
              <w:highlight w:val="none"/>
            </w:rPr>
            <w:fldChar w:fldCharType="separate"/>
          </w:r>
          <w:r>
            <w:rPr>
              <w:rFonts w:hint="eastAsia" w:ascii="Times New Roman" w:hAnsi="Times New Roman" w:cs="Times New Roman"/>
            </w:rPr>
            <w:t xml:space="preserve">8.1. </w:t>
          </w:r>
          <w:r>
            <w:rPr>
              <w:rFonts w:hint="default" w:ascii="Times New Roman" w:hAnsi="Times New Roman" w:cs="Times New Roman"/>
              <w:highlight w:val="none"/>
            </w:rPr>
            <w:t>技术可行性分析</w:t>
          </w:r>
          <w:r>
            <w:tab/>
          </w:r>
          <w:r>
            <w:fldChar w:fldCharType="begin"/>
          </w:r>
          <w:r>
            <w:instrText xml:space="preserve"> PAGEREF _Toc16393 \h </w:instrText>
          </w:r>
          <w:r>
            <w:fldChar w:fldCharType="separate"/>
          </w:r>
          <w:r>
            <w:t>73</w:t>
          </w:r>
          <w:r>
            <w:fldChar w:fldCharType="end"/>
          </w:r>
          <w:r>
            <w:rPr>
              <w:rFonts w:hint="default" w:ascii="Times New Roman" w:hAnsi="Times New Roman" w:cs="Times New Roman"/>
              <w:highlight w:val="none"/>
            </w:rPr>
            <w:fldChar w:fldCharType="end"/>
          </w:r>
        </w:p>
        <w:p w14:paraId="15F0B73A">
          <w:pPr>
            <w:pStyle w:val="18"/>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_Toc20745 </w:instrText>
          </w:r>
          <w:r>
            <w:rPr>
              <w:rFonts w:hint="default" w:ascii="Times New Roman" w:hAnsi="Times New Roman" w:cs="Times New Roman"/>
              <w:highlight w:val="none"/>
            </w:rPr>
            <w:fldChar w:fldCharType="separate"/>
          </w:r>
          <w:r>
            <w:rPr>
              <w:rFonts w:hint="eastAsia" w:ascii="Times New Roman" w:hAnsi="Times New Roman" w:cs="Times New Roman"/>
            </w:rPr>
            <w:t xml:space="preserve">8.2. </w:t>
          </w:r>
          <w:r>
            <w:rPr>
              <w:rFonts w:hint="default" w:ascii="Times New Roman" w:hAnsi="Times New Roman" w:cs="Times New Roman"/>
              <w:highlight w:val="none"/>
              <w:lang w:eastAsia="zh-CN"/>
            </w:rPr>
            <w:t>经济成本</w:t>
          </w:r>
          <w:r>
            <w:rPr>
              <w:rFonts w:hint="default" w:ascii="Times New Roman" w:hAnsi="Times New Roman" w:cs="Times New Roman"/>
              <w:highlight w:val="none"/>
            </w:rPr>
            <w:t>分析</w:t>
          </w:r>
          <w:r>
            <w:tab/>
          </w:r>
          <w:r>
            <w:fldChar w:fldCharType="begin"/>
          </w:r>
          <w:r>
            <w:instrText xml:space="preserve"> PAGEREF _Toc20745 \h </w:instrText>
          </w:r>
          <w:r>
            <w:fldChar w:fldCharType="separate"/>
          </w:r>
          <w:r>
            <w:t>73</w:t>
          </w:r>
          <w:r>
            <w:fldChar w:fldCharType="end"/>
          </w:r>
          <w:r>
            <w:rPr>
              <w:rFonts w:hint="default" w:ascii="Times New Roman" w:hAnsi="Times New Roman" w:cs="Times New Roman"/>
              <w:highlight w:val="none"/>
            </w:rPr>
            <w:fldChar w:fldCharType="end"/>
          </w:r>
        </w:p>
        <w:p w14:paraId="28F5B9B6">
          <w:pPr>
            <w:pStyle w:val="13"/>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_Toc6755 </w:instrText>
          </w:r>
          <w:r>
            <w:rPr>
              <w:rFonts w:hint="default" w:ascii="Times New Roman" w:hAnsi="Times New Roman" w:cs="Times New Roman"/>
              <w:highlight w:val="none"/>
            </w:rPr>
            <w:fldChar w:fldCharType="separate"/>
          </w:r>
          <w:r>
            <w:rPr>
              <w:rFonts w:hint="eastAsia" w:ascii="Times New Roman" w:hAnsi="Times New Roman" w:eastAsia="宋体" w:cs="Times New Roman"/>
              <w:bCs w:val="0"/>
              <w:lang w:val="en-US" w:eastAsia="zh-CN"/>
            </w:rPr>
            <w:t xml:space="preserve">8.2.1. </w:t>
          </w:r>
          <w:r>
            <w:rPr>
              <w:rFonts w:hint="default" w:cs="Times New Roman"/>
              <w:bCs w:val="0"/>
              <w:highlight w:val="none"/>
              <w:lang w:val="en-US" w:eastAsia="zh-CN"/>
            </w:rPr>
            <w:t>企业达标成本</w:t>
          </w:r>
          <w:r>
            <w:tab/>
          </w:r>
          <w:r>
            <w:fldChar w:fldCharType="begin"/>
          </w:r>
          <w:r>
            <w:instrText xml:space="preserve"> PAGEREF _Toc6755 \h </w:instrText>
          </w:r>
          <w:r>
            <w:fldChar w:fldCharType="separate"/>
          </w:r>
          <w:r>
            <w:t>73</w:t>
          </w:r>
          <w:r>
            <w:fldChar w:fldCharType="end"/>
          </w:r>
          <w:r>
            <w:rPr>
              <w:rFonts w:hint="default" w:ascii="Times New Roman" w:hAnsi="Times New Roman" w:cs="Times New Roman"/>
              <w:highlight w:val="none"/>
            </w:rPr>
            <w:fldChar w:fldCharType="end"/>
          </w:r>
        </w:p>
        <w:p w14:paraId="3755700D">
          <w:pPr>
            <w:pStyle w:val="13"/>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_Toc11257 </w:instrText>
          </w:r>
          <w:r>
            <w:rPr>
              <w:rFonts w:hint="default" w:ascii="Times New Roman" w:hAnsi="Times New Roman" w:cs="Times New Roman"/>
              <w:highlight w:val="none"/>
            </w:rPr>
            <w:fldChar w:fldCharType="separate"/>
          </w:r>
          <w:r>
            <w:rPr>
              <w:rFonts w:hint="eastAsia" w:cs="Times New Roman"/>
              <w:lang w:val="en-US" w:eastAsia="zh-CN"/>
            </w:rPr>
            <w:t xml:space="preserve">8.2.2. </w:t>
          </w:r>
          <w:r>
            <w:rPr>
              <w:rFonts w:hint="default" w:cs="Times New Roman"/>
              <w:highlight w:val="none"/>
              <w:lang w:val="en-US" w:eastAsia="zh-CN"/>
            </w:rPr>
            <w:t>全省达标成本</w:t>
          </w:r>
          <w:r>
            <w:tab/>
          </w:r>
          <w:r>
            <w:fldChar w:fldCharType="begin"/>
          </w:r>
          <w:r>
            <w:instrText xml:space="preserve"> PAGEREF _Toc11257 \h </w:instrText>
          </w:r>
          <w:r>
            <w:fldChar w:fldCharType="separate"/>
          </w:r>
          <w:r>
            <w:t>74</w:t>
          </w:r>
          <w:r>
            <w:fldChar w:fldCharType="end"/>
          </w:r>
          <w:r>
            <w:rPr>
              <w:rFonts w:hint="default" w:ascii="Times New Roman" w:hAnsi="Times New Roman" w:cs="Times New Roman"/>
              <w:highlight w:val="none"/>
            </w:rPr>
            <w:fldChar w:fldCharType="end"/>
          </w:r>
        </w:p>
        <w:p w14:paraId="4A21E3BB">
          <w:pPr>
            <w:pStyle w:val="16"/>
            <w:tabs>
              <w:tab w:val="right" w:leader="dot" w:pos="8306"/>
            </w:tabs>
          </w:pPr>
          <w:r>
            <w:rPr>
              <w:rFonts w:hint="default" w:ascii="Times New Roman" w:hAnsi="Times New Roman" w:cs="Times New Roman"/>
              <w:highlight w:val="none"/>
            </w:rPr>
            <w:fldChar w:fldCharType="begin"/>
          </w:r>
          <w:r>
            <w:rPr>
              <w:rFonts w:hint="default" w:ascii="Times New Roman" w:hAnsi="Times New Roman" w:cs="Times New Roman"/>
              <w:highlight w:val="none"/>
            </w:rPr>
            <w:instrText xml:space="preserve"> HYPERLINK \l _Toc17975 </w:instrText>
          </w:r>
          <w:r>
            <w:rPr>
              <w:rFonts w:hint="default" w:ascii="Times New Roman" w:hAnsi="Times New Roman" w:cs="Times New Roman"/>
              <w:highlight w:val="none"/>
            </w:rPr>
            <w:fldChar w:fldCharType="separate"/>
          </w:r>
          <w:r>
            <w:rPr>
              <w:rFonts w:hint="eastAsia" w:ascii="Times New Roman" w:hAnsi="Times New Roman" w:cs="Times New Roman"/>
            </w:rPr>
            <w:t xml:space="preserve">九、 </w:t>
          </w:r>
          <w:r>
            <w:rPr>
              <w:rFonts w:hint="eastAsia" w:cs="Times New Roman"/>
              <w:highlight w:val="none"/>
              <w:lang w:eastAsia="zh-CN"/>
            </w:rPr>
            <w:t>标</w:t>
          </w:r>
          <w:r>
            <w:rPr>
              <w:rFonts w:hint="default" w:ascii="Times New Roman" w:hAnsi="Times New Roman" w:cs="Times New Roman"/>
              <w:highlight w:val="none"/>
            </w:rPr>
            <w:t>准实施后的环境（减排）效益</w:t>
          </w:r>
          <w:r>
            <w:tab/>
          </w:r>
          <w:r>
            <w:fldChar w:fldCharType="begin"/>
          </w:r>
          <w:r>
            <w:instrText xml:space="preserve"> PAGEREF _Toc17975 \h </w:instrText>
          </w:r>
          <w:r>
            <w:fldChar w:fldCharType="separate"/>
          </w:r>
          <w:r>
            <w:t>75</w:t>
          </w:r>
          <w:r>
            <w:fldChar w:fldCharType="end"/>
          </w:r>
          <w:r>
            <w:rPr>
              <w:rFonts w:hint="default" w:ascii="Times New Roman" w:hAnsi="Times New Roman" w:cs="Times New Roman"/>
              <w:highlight w:val="none"/>
            </w:rPr>
            <w:fldChar w:fldCharType="end"/>
          </w:r>
        </w:p>
        <w:p w14:paraId="5A0B4D31">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fldChar w:fldCharType="end"/>
          </w:r>
        </w:p>
      </w:sdtContent>
    </w:sdt>
    <w:p w14:paraId="00DC8646">
      <w:pPr>
        <w:keepNext w:val="0"/>
        <w:keepLines w:val="0"/>
        <w:pageBreakBefore w:val="0"/>
        <w:widowControl/>
        <w:kinsoku/>
        <w:wordWrap/>
        <w:autoSpaceDE/>
        <w:autoSpaceDN/>
        <w:bidi w:val="0"/>
        <w:rPr>
          <w:rFonts w:hint="default" w:ascii="Times New Roman" w:hAnsi="Times New Roman" w:cs="Times New Roman"/>
          <w:sz w:val="36"/>
          <w:szCs w:val="36"/>
          <w:highlight w:val="none"/>
        </w:rPr>
      </w:pPr>
      <w:r>
        <w:rPr>
          <w:rFonts w:hint="default" w:ascii="Times New Roman" w:hAnsi="Times New Roman" w:cs="Times New Roman"/>
          <w:sz w:val="36"/>
          <w:szCs w:val="36"/>
          <w:highlight w:val="none"/>
        </w:rPr>
        <w:br w:type="page"/>
      </w:r>
    </w:p>
    <w:p w14:paraId="085E470B">
      <w:pPr>
        <w:pStyle w:val="2"/>
        <w:keepNext w:val="0"/>
        <w:keepLines w:val="0"/>
        <w:pageBreakBefore w:val="0"/>
        <w:widowControl/>
        <w:kinsoku/>
        <w:wordWrap/>
        <w:autoSpaceDE/>
        <w:autoSpaceDN/>
        <w:bidi w:val="0"/>
        <w:spacing w:line="360" w:lineRule="auto"/>
        <w:jc w:val="left"/>
        <w:rPr>
          <w:rFonts w:hint="default" w:ascii="Times New Roman" w:hAnsi="Times New Roman" w:cs="Times New Roman"/>
          <w:sz w:val="36"/>
          <w:szCs w:val="36"/>
          <w:highlight w:val="none"/>
          <w:lang w:val="en-US"/>
        </w:rPr>
        <w:sectPr>
          <w:footerReference r:id="rId5" w:type="default"/>
          <w:pgSz w:w="11906" w:h="16838"/>
          <w:pgMar w:top="1497" w:right="1800" w:bottom="1440" w:left="1800" w:header="851" w:footer="992" w:gutter="0"/>
          <w:pgBorders>
            <w:top w:val="none" w:sz="0" w:space="0"/>
            <w:left w:val="none" w:sz="0" w:space="0"/>
            <w:bottom w:val="none" w:sz="0" w:space="0"/>
            <w:right w:val="none" w:sz="0" w:space="0"/>
          </w:pgBorders>
          <w:pgNumType w:fmt="upperRoman" w:start="1"/>
          <w:cols w:space="425" w:num="1"/>
          <w:docGrid w:type="lines" w:linePitch="312" w:charSpace="0"/>
        </w:sectPr>
      </w:pPr>
    </w:p>
    <w:p w14:paraId="231EB772">
      <w:pPr>
        <w:pStyle w:val="2"/>
        <w:keepNext w:val="0"/>
        <w:keepLines w:val="0"/>
        <w:pageBreakBefore w:val="0"/>
        <w:widowControl/>
        <w:kinsoku/>
        <w:wordWrap/>
        <w:autoSpaceDE/>
        <w:autoSpaceDN/>
        <w:bidi w:val="0"/>
        <w:rPr>
          <w:rFonts w:hint="default" w:ascii="Times New Roman" w:hAnsi="Times New Roman" w:cs="Times New Roman"/>
          <w:highlight w:val="none"/>
          <w:lang w:val="en-US"/>
        </w:rPr>
      </w:pPr>
      <w:bookmarkStart w:id="0" w:name="_Toc17203"/>
      <w:bookmarkStart w:id="1" w:name="_Toc120541823"/>
      <w:r>
        <w:rPr>
          <w:rFonts w:hint="default" w:ascii="Times New Roman" w:hAnsi="Times New Roman" w:cs="Times New Roman"/>
          <w:highlight w:val="none"/>
        </w:rPr>
        <w:t>任务来源和工作过程</w:t>
      </w:r>
      <w:bookmarkEnd w:id="0"/>
      <w:bookmarkEnd w:id="1"/>
    </w:p>
    <w:p w14:paraId="0CC77903">
      <w:pPr>
        <w:pStyle w:val="3"/>
        <w:keepNext w:val="0"/>
        <w:keepLines w:val="0"/>
        <w:pageBreakBefore w:val="0"/>
        <w:widowControl/>
        <w:kinsoku/>
        <w:wordWrap/>
        <w:autoSpaceDE/>
        <w:autoSpaceDN/>
        <w:bidi w:val="0"/>
        <w:rPr>
          <w:rFonts w:hint="default" w:ascii="Times New Roman" w:hAnsi="Times New Roman" w:cs="Times New Roman"/>
          <w:highlight w:val="none"/>
        </w:rPr>
      </w:pPr>
      <w:bookmarkStart w:id="2" w:name="_Toc6107"/>
      <w:bookmarkStart w:id="3" w:name="_Toc120541824"/>
      <w:r>
        <w:rPr>
          <w:rFonts w:hint="default" w:ascii="Times New Roman" w:hAnsi="Times New Roman" w:cs="Times New Roman"/>
          <w:highlight w:val="none"/>
        </w:rPr>
        <w:t>任务来源</w:t>
      </w:r>
      <w:bookmarkEnd w:id="2"/>
      <w:bookmarkEnd w:id="3"/>
    </w:p>
    <w:p w14:paraId="28326666">
      <w:pPr>
        <w:keepNext w:val="0"/>
        <w:keepLines w:val="0"/>
        <w:pageBreakBefore w:val="0"/>
        <w:widowControl/>
        <w:kinsoku/>
        <w:wordWrap/>
        <w:autoSpaceDE/>
        <w:autoSpaceDN/>
        <w:bidi w:val="0"/>
        <w:spacing w:line="360" w:lineRule="auto"/>
        <w:ind w:firstLine="480" w:firstLineChars="200"/>
        <w:rPr>
          <w:rFonts w:hint="default" w:ascii="Times New Roman" w:hAnsi="Times New Roman" w:cs="Times New Roman"/>
          <w:highlight w:val="none"/>
        </w:rPr>
      </w:pPr>
      <w:bookmarkStart w:id="4" w:name="_Hlk120194720"/>
      <w:bookmarkStart w:id="5" w:name="_Toc120541825"/>
      <w:r>
        <w:rPr>
          <w:rFonts w:hint="default" w:ascii="Times New Roman" w:hAnsi="Times New Roman" w:cs="Times New Roman"/>
          <w:color w:val="000000"/>
          <w:sz w:val="24"/>
          <w:szCs w:val="28"/>
          <w:highlight w:val="none"/>
        </w:rPr>
        <w:t>近年来，随着国民经济的飞速发展和人民生活水平的提高，机动车保有量和机动车消费不断增长，四川省和成都市国民经济和社会发展统计公报数据显示，</w:t>
      </w:r>
      <w:r>
        <w:rPr>
          <w:rFonts w:hint="default" w:ascii="Times New Roman" w:hAnsi="Times New Roman" w:cs="Times New Roman"/>
          <w:highlight w:val="none"/>
          <w:lang w:val="en-US" w:eastAsia="zh-CN"/>
        </w:rPr>
        <w:t>截至2024年末，我省民用汽车拥有量1623.2万辆，同比增加80.7万辆，成都市机动车保有量764.0万辆，位居全国第一</w:t>
      </w:r>
      <w:r>
        <w:rPr>
          <w:rFonts w:hint="default" w:ascii="Times New Roman" w:hAnsi="Times New Roman" w:cs="Times New Roman"/>
          <w:color w:val="000000"/>
          <w:sz w:val="24"/>
          <w:szCs w:val="28"/>
          <w:highlight w:val="none"/>
        </w:rPr>
        <w:t>。汽车保有量的大幅增加，促进了汽车维修行业的快速发展，根据省交通运输厅发布数据显示，目前我省备案的汽车维修企业有2.</w:t>
      </w:r>
      <w:r>
        <w:rPr>
          <w:rFonts w:hint="default" w:ascii="Times New Roman" w:hAnsi="Times New Roman" w:cs="Times New Roman"/>
          <w:color w:val="000000"/>
          <w:sz w:val="24"/>
          <w:szCs w:val="28"/>
          <w:highlight w:val="none"/>
          <w:lang w:val="en-US" w:eastAsia="zh-CN"/>
        </w:rPr>
        <w:t>7</w:t>
      </w:r>
      <w:r>
        <w:rPr>
          <w:rFonts w:hint="default" w:ascii="Times New Roman" w:hAnsi="Times New Roman" w:cs="Times New Roman"/>
          <w:color w:val="000000"/>
          <w:sz w:val="24"/>
          <w:szCs w:val="28"/>
          <w:highlight w:val="none"/>
        </w:rPr>
        <w:t>万余家，汽车维修在国民经济和人民生活中发挥着越来越重要的作用。</w:t>
      </w:r>
      <w:bookmarkEnd w:id="4"/>
    </w:p>
    <w:p w14:paraId="39A8C680">
      <w:pPr>
        <w:keepNext w:val="0"/>
        <w:keepLines w:val="0"/>
        <w:pageBreakBefore w:val="0"/>
        <w:widowControl/>
        <w:kinsoku/>
        <w:wordWrap/>
        <w:autoSpaceDE/>
        <w:autoSpaceDN/>
        <w:bidi w:val="0"/>
        <w:spacing w:line="360" w:lineRule="auto"/>
        <w:ind w:firstLine="480" w:firstLineChars="200"/>
        <w:rPr>
          <w:rFonts w:hint="default" w:ascii="Times New Roman" w:hAnsi="Times New Roman" w:cs="Times New Roman"/>
          <w:color w:val="000000"/>
          <w:sz w:val="24"/>
          <w:szCs w:val="28"/>
          <w:highlight w:val="none"/>
        </w:rPr>
      </w:pPr>
      <w:r>
        <w:rPr>
          <w:rFonts w:hint="default" w:ascii="Times New Roman" w:hAnsi="Times New Roman" w:cs="Times New Roman"/>
          <w:color w:val="000000"/>
          <w:sz w:val="24"/>
          <w:szCs w:val="28"/>
          <w:highlight w:val="none"/>
        </w:rPr>
        <w:t>汽车维修行业呈现企业规模小、点多面广、集中在建成区、离居民区近等特点。该行业排放的大气污染物主要包括挥发性有机物（VOCs）和颗粒物，主要集中在涉及油漆作业的喷烤漆及相关配套工序，包括油漆存储运输、表面处理、调配、喷漆、烘干、清洗等过程。已有研究结果显示城区范围内以汽车维修行业为代表的溶剂排放源对VOCs浓度平均贡献15%，最高可达30%。VOCs对臭氧和二次细粒子生成具有显著贡献，汽车维修行业已经成为国家VOCs治理的重点行业之一，亟需强化汽车维修行业VOCs管控。</w:t>
      </w:r>
    </w:p>
    <w:p w14:paraId="107EA556">
      <w:pPr>
        <w:keepNext w:val="0"/>
        <w:keepLines w:val="0"/>
        <w:pageBreakBefore w:val="0"/>
        <w:widowControl/>
        <w:kinsoku/>
        <w:wordWrap/>
        <w:overflowPunct/>
        <w:topLinePunct w:val="0"/>
        <w:autoSpaceDE/>
        <w:autoSpaceDN/>
        <w:bidi w:val="0"/>
        <w:spacing w:line="360" w:lineRule="auto"/>
        <w:ind w:firstLine="480" w:firstLineChars="200"/>
        <w:rPr>
          <w:rFonts w:hint="default" w:ascii="Times New Roman" w:hAnsi="Times New Roman" w:cs="Times New Roman"/>
          <w:color w:val="000000"/>
          <w:sz w:val="24"/>
          <w:szCs w:val="28"/>
          <w:highlight w:val="none"/>
        </w:rPr>
      </w:pPr>
      <w:r>
        <w:rPr>
          <w:rFonts w:hint="default" w:ascii="Times New Roman" w:hAnsi="Times New Roman" w:cs="Times New Roman"/>
          <w:color w:val="000000"/>
          <w:sz w:val="24"/>
          <w:szCs w:val="28"/>
          <w:highlight w:val="none"/>
        </w:rPr>
        <w:t>我省的</w:t>
      </w:r>
      <w:r>
        <w:rPr>
          <w:rFonts w:hint="default" w:ascii="Times New Roman" w:hAnsi="Times New Roman" w:cs="Times New Roman"/>
          <w:color w:val="000000"/>
          <w:sz w:val="24"/>
          <w:szCs w:val="28"/>
          <w:highlight w:val="none"/>
          <w:lang w:eastAsia="zh-CN"/>
        </w:rPr>
        <w:t>汽车维修</w:t>
      </w:r>
      <w:r>
        <w:rPr>
          <w:rFonts w:hint="default" w:ascii="Times New Roman" w:hAnsi="Times New Roman" w:cs="Times New Roman"/>
          <w:color w:val="000000"/>
          <w:sz w:val="24"/>
          <w:szCs w:val="28"/>
          <w:highlight w:val="none"/>
        </w:rPr>
        <w:t>企业目前执行《四川省固定污染源大气挥发性有机物排放标准》</w:t>
      </w:r>
      <w:r>
        <w:rPr>
          <w:rFonts w:hint="default" w:ascii="Times New Roman" w:hAnsi="Times New Roman" w:cs="Times New Roman"/>
          <w:color w:val="000000"/>
          <w:sz w:val="24"/>
          <w:szCs w:val="28"/>
          <w:highlight w:val="none"/>
          <w:lang w:eastAsia="zh-CN"/>
        </w:rPr>
        <w:t>（</w:t>
      </w:r>
      <w:r>
        <w:rPr>
          <w:rFonts w:hint="default" w:ascii="Times New Roman" w:hAnsi="Times New Roman" w:cs="Times New Roman"/>
          <w:color w:val="000000"/>
          <w:sz w:val="24"/>
          <w:szCs w:val="28"/>
          <w:highlight w:val="none"/>
        </w:rPr>
        <w:t>DB51/2377</w:t>
      </w:r>
      <w:r>
        <w:rPr>
          <w:rFonts w:hint="eastAsia" w:ascii="Times New Roman" w:hAnsi="Times New Roman" w:cs="Times New Roman"/>
          <w:color w:val="000000"/>
          <w:sz w:val="24"/>
          <w:szCs w:val="28"/>
          <w:highlight w:val="none"/>
          <w:lang w:eastAsia="zh-CN"/>
        </w:rPr>
        <w:t>—</w:t>
      </w:r>
      <w:r>
        <w:rPr>
          <w:rFonts w:hint="default" w:ascii="Times New Roman" w:hAnsi="Times New Roman" w:cs="Times New Roman"/>
          <w:color w:val="000000"/>
          <w:sz w:val="24"/>
          <w:szCs w:val="28"/>
          <w:highlight w:val="none"/>
        </w:rPr>
        <w:t>2017</w:t>
      </w:r>
      <w:r>
        <w:rPr>
          <w:rFonts w:hint="default" w:ascii="Times New Roman" w:hAnsi="Times New Roman" w:cs="Times New Roman"/>
          <w:color w:val="000000"/>
          <w:sz w:val="24"/>
          <w:szCs w:val="28"/>
          <w:highlight w:val="none"/>
          <w:lang w:eastAsia="zh-CN"/>
        </w:rPr>
        <w:t>）和《大气污染物综合排放标准》（GB 16297</w:t>
      </w:r>
      <w:r>
        <w:rPr>
          <w:rFonts w:hint="eastAsia" w:ascii="Times New Roman" w:hAnsi="Times New Roman" w:cs="Times New Roman"/>
          <w:color w:val="000000"/>
          <w:sz w:val="24"/>
          <w:szCs w:val="28"/>
          <w:highlight w:val="none"/>
          <w:lang w:eastAsia="zh-CN"/>
        </w:rPr>
        <w:t>—</w:t>
      </w:r>
      <w:r>
        <w:rPr>
          <w:rFonts w:hint="default" w:ascii="Times New Roman" w:hAnsi="Times New Roman" w:cs="Times New Roman"/>
          <w:color w:val="000000"/>
          <w:sz w:val="24"/>
          <w:szCs w:val="28"/>
          <w:highlight w:val="none"/>
          <w:lang w:eastAsia="zh-CN"/>
        </w:rPr>
        <w:t>1996）等综合排放标准，</w:t>
      </w:r>
      <w:r>
        <w:rPr>
          <w:rFonts w:hint="default" w:ascii="Times New Roman" w:hAnsi="Times New Roman" w:cs="Times New Roman"/>
          <w:sz w:val="24"/>
          <w:highlight w:val="none"/>
        </w:rPr>
        <w:t>限值</w:t>
      </w:r>
      <w:r>
        <w:rPr>
          <w:rFonts w:hint="default" w:ascii="Times New Roman" w:hAnsi="Times New Roman" w:cs="Times New Roman"/>
          <w:sz w:val="24"/>
          <w:highlight w:val="none"/>
          <w:lang w:eastAsia="zh-CN"/>
        </w:rPr>
        <w:t>和管理要求相对于汽车维修企业</w:t>
      </w:r>
      <w:r>
        <w:rPr>
          <w:rFonts w:hint="default" w:ascii="Times New Roman" w:hAnsi="Times New Roman" w:cs="Times New Roman"/>
          <w:sz w:val="24"/>
          <w:highlight w:val="none"/>
        </w:rPr>
        <w:t>过于宽松，已经无法适应当前</w:t>
      </w:r>
      <w:r>
        <w:rPr>
          <w:rFonts w:hint="default" w:ascii="Times New Roman" w:hAnsi="Times New Roman" w:cs="Times New Roman"/>
          <w:sz w:val="24"/>
          <w:highlight w:val="none"/>
          <w:lang w:eastAsia="zh-CN"/>
        </w:rPr>
        <w:t>的发展需求</w:t>
      </w:r>
      <w:r>
        <w:rPr>
          <w:rFonts w:hint="default" w:ascii="Times New Roman" w:hAnsi="Times New Roman" w:cs="Times New Roman"/>
          <w:sz w:val="24"/>
          <w:highlight w:val="none"/>
        </w:rPr>
        <w:t>。</w:t>
      </w:r>
      <w:r>
        <w:rPr>
          <w:rFonts w:hint="default" w:ascii="Times New Roman" w:hAnsi="Times New Roman" w:cs="Times New Roman"/>
          <w:sz w:val="24"/>
          <w:szCs w:val="28"/>
          <w:highlight w:val="none"/>
        </w:rPr>
        <w:t>为贯彻《中华人民共和国环境保护法》《中华人民共和国大气污染防治法》，全面推进四川省</w:t>
      </w:r>
      <w:r>
        <w:rPr>
          <w:rFonts w:hint="default" w:ascii="Times New Roman" w:hAnsi="Times New Roman" w:cs="Times New Roman"/>
          <w:sz w:val="24"/>
          <w:szCs w:val="28"/>
          <w:highlight w:val="none"/>
          <w:lang w:eastAsia="zh-CN"/>
        </w:rPr>
        <w:t>汽车维修行业大气污染物</w:t>
      </w:r>
      <w:r>
        <w:rPr>
          <w:rFonts w:hint="default" w:ascii="Times New Roman" w:hAnsi="Times New Roman" w:cs="Times New Roman"/>
          <w:sz w:val="24"/>
          <w:szCs w:val="28"/>
          <w:highlight w:val="none"/>
        </w:rPr>
        <w:t>排放控制，减少</w:t>
      </w:r>
      <w:r>
        <w:rPr>
          <w:rFonts w:hint="default" w:ascii="Times New Roman" w:hAnsi="Times New Roman" w:cs="Times New Roman"/>
          <w:sz w:val="24"/>
          <w:szCs w:val="28"/>
          <w:highlight w:val="none"/>
          <w:lang w:val="en-US" w:eastAsia="zh-CN"/>
        </w:rPr>
        <w:t>VOCs</w:t>
      </w:r>
      <w:r>
        <w:rPr>
          <w:rFonts w:hint="default" w:ascii="Times New Roman" w:hAnsi="Times New Roman" w:cs="Times New Roman"/>
          <w:sz w:val="24"/>
          <w:szCs w:val="28"/>
          <w:highlight w:val="none"/>
          <w:lang w:eastAsia="zh-CN"/>
        </w:rPr>
        <w:t>、颗粒物等污染物</w:t>
      </w:r>
      <w:r>
        <w:rPr>
          <w:rFonts w:hint="default" w:ascii="Times New Roman" w:hAnsi="Times New Roman" w:cs="Times New Roman"/>
          <w:sz w:val="24"/>
          <w:szCs w:val="28"/>
          <w:highlight w:val="none"/>
        </w:rPr>
        <w:t>排放，改善环境空气质量，</w:t>
      </w:r>
      <w:r>
        <w:rPr>
          <w:rFonts w:hint="default" w:ascii="Times New Roman" w:hAnsi="Times New Roman" w:cs="Times New Roman"/>
          <w:color w:val="000000"/>
          <w:sz w:val="24"/>
          <w:szCs w:val="28"/>
          <w:highlight w:val="none"/>
        </w:rPr>
        <w:t>由四川省生态环境厅委托四川省生态环境科学研究院开展《四川省汽车维修行业大气污染物排放标准》</w:t>
      </w:r>
      <w:r>
        <w:rPr>
          <w:rFonts w:hint="default" w:ascii="Times New Roman" w:hAnsi="Times New Roman" w:cs="Times New Roman"/>
          <w:sz w:val="24"/>
          <w:szCs w:val="24"/>
          <w:highlight w:val="none"/>
        </w:rPr>
        <w:t>的编制工作。</w:t>
      </w:r>
    </w:p>
    <w:bookmarkEnd w:id="5"/>
    <w:p w14:paraId="69F16EE6">
      <w:pPr>
        <w:pStyle w:val="3"/>
        <w:keepNext w:val="0"/>
        <w:keepLines w:val="0"/>
        <w:pageBreakBefore w:val="0"/>
        <w:widowControl/>
        <w:kinsoku/>
        <w:wordWrap/>
        <w:autoSpaceDE/>
        <w:autoSpaceDN/>
        <w:bidi w:val="0"/>
        <w:rPr>
          <w:rFonts w:hint="default" w:ascii="Times New Roman" w:hAnsi="Times New Roman" w:cs="Times New Roman"/>
          <w:highlight w:val="none"/>
        </w:rPr>
      </w:pPr>
      <w:bookmarkStart w:id="6" w:name="_Toc25435"/>
      <w:bookmarkStart w:id="7" w:name="_Toc62645407"/>
      <w:bookmarkStart w:id="8" w:name="_Toc120541826"/>
      <w:r>
        <w:rPr>
          <w:rFonts w:hint="default" w:ascii="Times New Roman" w:hAnsi="Times New Roman" w:cs="Times New Roman"/>
          <w:highlight w:val="none"/>
        </w:rPr>
        <w:t>工作过程</w:t>
      </w:r>
      <w:bookmarkEnd w:id="6"/>
    </w:p>
    <w:p w14:paraId="1D2CD444">
      <w:pPr>
        <w:keepNext w:val="0"/>
        <w:keepLines w:val="0"/>
        <w:pageBreakBefore w:val="0"/>
        <w:widowControl/>
        <w:kinsoku/>
        <w:wordWrap/>
        <w:autoSpaceDE/>
        <w:autoSpaceDN/>
        <w:bidi w:val="0"/>
        <w:spacing w:before="156" w:beforeLines="50" w:line="360" w:lineRule="auto"/>
        <w:ind w:firstLine="480" w:firstLineChars="200"/>
        <w:rPr>
          <w:rFonts w:hint="default" w:ascii="Times New Roman" w:hAnsi="Times New Roman" w:cs="Times New Roman"/>
          <w:bCs/>
          <w:sz w:val="24"/>
          <w:highlight w:val="none"/>
        </w:rPr>
      </w:pPr>
      <w:r>
        <w:rPr>
          <w:rFonts w:hint="default" w:ascii="Times New Roman" w:hAnsi="Times New Roman" w:cs="Times New Roman"/>
          <w:bCs/>
          <w:sz w:val="24"/>
          <w:highlight w:val="none"/>
        </w:rPr>
        <w:t>接到四川省生态</w:t>
      </w:r>
      <w:r>
        <w:rPr>
          <w:rFonts w:hint="default" w:ascii="Times New Roman" w:hAnsi="Times New Roman" w:cs="Times New Roman"/>
          <w:bCs/>
          <w:sz w:val="24"/>
          <w:highlight w:val="none"/>
          <w:lang w:val="en-US" w:eastAsia="zh-CN"/>
        </w:rPr>
        <w:t>环境</w:t>
      </w:r>
      <w:r>
        <w:rPr>
          <w:rFonts w:hint="default" w:ascii="Times New Roman" w:hAnsi="Times New Roman" w:cs="Times New Roman"/>
          <w:bCs/>
          <w:sz w:val="24"/>
          <w:highlight w:val="none"/>
        </w:rPr>
        <w:t>厅下达的工作任务后，四川省生态环境科学研究院成立了标准编制组</w:t>
      </w:r>
      <w:r>
        <w:rPr>
          <w:rFonts w:hint="eastAsia" w:cs="Times New Roman"/>
          <w:bCs/>
          <w:sz w:val="24"/>
          <w:highlight w:val="none"/>
          <w:lang w:eastAsia="zh-CN"/>
        </w:rPr>
        <w:t>（</w:t>
      </w:r>
      <w:r>
        <w:rPr>
          <w:rFonts w:hint="eastAsia" w:cs="Times New Roman"/>
          <w:bCs/>
          <w:sz w:val="24"/>
          <w:highlight w:val="none"/>
          <w:lang w:val="en-US" w:eastAsia="zh-CN"/>
        </w:rPr>
        <w:t>以下简称“编制组”</w:t>
      </w:r>
      <w:r>
        <w:rPr>
          <w:rFonts w:hint="eastAsia" w:cs="Times New Roman"/>
          <w:bCs/>
          <w:sz w:val="24"/>
          <w:highlight w:val="none"/>
          <w:lang w:eastAsia="zh-CN"/>
        </w:rPr>
        <w:t>）</w:t>
      </w:r>
      <w:r>
        <w:rPr>
          <w:rFonts w:hint="default" w:ascii="Times New Roman" w:hAnsi="Times New Roman" w:cs="Times New Roman"/>
          <w:bCs/>
          <w:sz w:val="24"/>
          <w:highlight w:val="none"/>
        </w:rPr>
        <w:t>。编制组对国内外有关地区汽车维修相关的大气污染物排放标准、汽车维修企业末端治理控制经验进行了广泛调研；对四川省汽车维修企业的产排污环节、生产经营现状、大气污染排放现状、污染治理控制现状等进行了深入掌握，开展不同城市、不同类型汽车维修企业的现场调研与实测，在借鉴国内外汽车维修</w:t>
      </w:r>
      <w:r>
        <w:rPr>
          <w:rFonts w:hint="eastAsia" w:cs="Times New Roman"/>
          <w:bCs/>
          <w:sz w:val="24"/>
          <w:highlight w:val="none"/>
          <w:lang w:val="en-US" w:eastAsia="zh-CN"/>
        </w:rPr>
        <w:t>行业</w:t>
      </w:r>
      <w:r>
        <w:rPr>
          <w:rFonts w:hint="default" w:ascii="Times New Roman" w:hAnsi="Times New Roman" w:cs="Times New Roman"/>
          <w:bCs/>
          <w:sz w:val="24"/>
          <w:highlight w:val="none"/>
        </w:rPr>
        <w:t>大气污染物排放控制经验的基础上，结合调研与实测成果，编制完成了《四川省汽车维修行业大气污染物排放标准》。</w:t>
      </w:r>
    </w:p>
    <w:p w14:paraId="20444365">
      <w:pPr>
        <w:keepNext w:val="0"/>
        <w:keepLines w:val="0"/>
        <w:pageBreakBefore w:val="0"/>
        <w:widowControl/>
        <w:kinsoku/>
        <w:wordWrap/>
        <w:autoSpaceDE/>
        <w:autoSpaceDN/>
        <w:bidi w:val="0"/>
        <w:spacing w:line="360" w:lineRule="auto"/>
        <w:ind w:firstLine="480" w:firstLineChars="200"/>
        <w:rPr>
          <w:rFonts w:hint="default" w:ascii="Times New Roman" w:hAnsi="Times New Roman" w:cs="Times New Roman"/>
          <w:color w:val="000000"/>
          <w:sz w:val="24"/>
          <w:szCs w:val="28"/>
          <w:highlight w:val="none"/>
        </w:rPr>
      </w:pPr>
      <w:r>
        <w:rPr>
          <w:rFonts w:hint="default" w:ascii="Times New Roman" w:hAnsi="Times New Roman" w:cs="Times New Roman"/>
          <w:color w:val="000000"/>
          <w:sz w:val="24"/>
          <w:szCs w:val="28"/>
          <w:highlight w:val="none"/>
        </w:rPr>
        <w:t>具体工作过程包括：</w:t>
      </w:r>
    </w:p>
    <w:p w14:paraId="0F463F00">
      <w:pPr>
        <w:keepNext w:val="0"/>
        <w:keepLines w:val="0"/>
        <w:pageBreakBefore w:val="0"/>
        <w:widowControl/>
        <w:kinsoku/>
        <w:wordWrap/>
        <w:autoSpaceDE/>
        <w:autoSpaceDN/>
        <w:bidi w:val="0"/>
        <w:spacing w:line="360" w:lineRule="auto"/>
        <w:ind w:firstLine="480" w:firstLineChars="200"/>
        <w:rPr>
          <w:rFonts w:hint="default" w:ascii="Times New Roman" w:hAnsi="Times New Roman" w:cs="Times New Roman"/>
          <w:color w:val="000000"/>
          <w:sz w:val="24"/>
          <w:szCs w:val="28"/>
          <w:highlight w:val="none"/>
        </w:rPr>
      </w:pPr>
      <w:r>
        <w:rPr>
          <w:rFonts w:hint="default" w:ascii="Times New Roman" w:hAnsi="Times New Roman" w:cs="Times New Roman"/>
          <w:color w:val="000000"/>
          <w:sz w:val="24"/>
          <w:szCs w:val="28"/>
          <w:highlight w:val="none"/>
        </w:rPr>
        <w:t>（1）2021年3月，接到四川省生态环境厅工作任务后，四川省生态环境科学研究院立即成立了四川省汽车维修行业大气污染物排放标准编制组。</w:t>
      </w:r>
    </w:p>
    <w:p w14:paraId="3AF2E354">
      <w:pPr>
        <w:keepNext w:val="0"/>
        <w:keepLines w:val="0"/>
        <w:pageBreakBefore w:val="0"/>
        <w:widowControl/>
        <w:kinsoku/>
        <w:wordWrap/>
        <w:autoSpaceDE/>
        <w:autoSpaceDN/>
        <w:bidi w:val="0"/>
        <w:spacing w:line="360" w:lineRule="auto"/>
        <w:ind w:firstLine="480" w:firstLineChars="200"/>
        <w:rPr>
          <w:rFonts w:hint="default" w:ascii="Times New Roman" w:hAnsi="Times New Roman" w:cs="Times New Roman"/>
          <w:color w:val="000000"/>
          <w:sz w:val="24"/>
          <w:szCs w:val="28"/>
          <w:highlight w:val="none"/>
        </w:rPr>
      </w:pPr>
      <w:r>
        <w:rPr>
          <w:rFonts w:hint="default" w:ascii="Times New Roman" w:hAnsi="Times New Roman" w:cs="Times New Roman"/>
          <w:color w:val="000000"/>
          <w:sz w:val="24"/>
          <w:szCs w:val="28"/>
          <w:highlight w:val="none"/>
        </w:rPr>
        <w:t>（2）2021年3~</w:t>
      </w:r>
      <w:r>
        <w:rPr>
          <w:rFonts w:hint="default" w:ascii="Times New Roman" w:hAnsi="Times New Roman" w:cs="Times New Roman"/>
          <w:color w:val="000000"/>
          <w:sz w:val="24"/>
          <w:szCs w:val="28"/>
          <w:highlight w:val="none"/>
          <w:lang w:val="en-US" w:eastAsia="zh-CN"/>
        </w:rPr>
        <w:t>2022年10</w:t>
      </w:r>
      <w:r>
        <w:rPr>
          <w:rFonts w:hint="default" w:ascii="Times New Roman" w:hAnsi="Times New Roman" w:cs="Times New Roman"/>
          <w:color w:val="000000"/>
          <w:sz w:val="24"/>
          <w:szCs w:val="28"/>
          <w:highlight w:val="none"/>
        </w:rPr>
        <w:t>月，通过文献调查、实地调研等方式对国内外现有的汽车维修行业大气污染物排放标准进行调研</w:t>
      </w:r>
      <w:r>
        <w:rPr>
          <w:rFonts w:hint="default" w:ascii="Times New Roman" w:hAnsi="Times New Roman" w:cs="Times New Roman"/>
          <w:color w:val="000000"/>
          <w:sz w:val="24"/>
          <w:szCs w:val="28"/>
          <w:highlight w:val="none"/>
          <w:lang w:eastAsia="zh-CN"/>
        </w:rPr>
        <w:t>；</w:t>
      </w:r>
      <w:r>
        <w:rPr>
          <w:rFonts w:hint="default" w:ascii="Times New Roman" w:hAnsi="Times New Roman" w:cs="Times New Roman"/>
          <w:color w:val="000000"/>
          <w:sz w:val="24"/>
          <w:szCs w:val="28"/>
          <w:highlight w:val="none"/>
        </w:rPr>
        <w:t>在成都平原及周边、川南、川东北</w:t>
      </w:r>
      <w:r>
        <w:rPr>
          <w:rFonts w:hint="eastAsia" w:cs="Times New Roman"/>
          <w:color w:val="000000"/>
          <w:sz w:val="24"/>
          <w:szCs w:val="28"/>
          <w:highlight w:val="none"/>
          <w:lang w:eastAsia="zh-CN"/>
        </w:rPr>
        <w:t>、</w:t>
      </w:r>
      <w:r>
        <w:rPr>
          <w:rFonts w:hint="eastAsia" w:cs="Times New Roman"/>
          <w:color w:val="000000"/>
          <w:sz w:val="24"/>
          <w:szCs w:val="28"/>
          <w:highlight w:val="none"/>
          <w:lang w:val="en-US" w:eastAsia="zh-CN"/>
        </w:rPr>
        <w:t>攀西</w:t>
      </w:r>
      <w:r>
        <w:rPr>
          <w:rFonts w:hint="default" w:ascii="Times New Roman" w:hAnsi="Times New Roman" w:cs="Times New Roman"/>
          <w:color w:val="000000"/>
          <w:sz w:val="24"/>
          <w:szCs w:val="28"/>
          <w:highlight w:val="none"/>
        </w:rPr>
        <w:t>地区开展汽修企业的调研</w:t>
      </w:r>
      <w:r>
        <w:rPr>
          <w:rFonts w:hint="default" w:ascii="Times New Roman" w:hAnsi="Times New Roman" w:cs="Times New Roman"/>
          <w:color w:val="000000"/>
          <w:sz w:val="24"/>
          <w:szCs w:val="28"/>
          <w:highlight w:val="none"/>
          <w:lang w:eastAsia="zh-CN"/>
        </w:rPr>
        <w:t>与实测；形成</w:t>
      </w:r>
      <w:r>
        <w:rPr>
          <w:rFonts w:hint="default" w:ascii="Times New Roman" w:hAnsi="Times New Roman" w:cs="Times New Roman"/>
          <w:color w:val="000000"/>
          <w:sz w:val="24"/>
          <w:szCs w:val="28"/>
          <w:highlight w:val="none"/>
        </w:rPr>
        <w:t>排放标准和编制说明初稿。</w:t>
      </w:r>
    </w:p>
    <w:p w14:paraId="0BCA3DA5">
      <w:pPr>
        <w:keepNext w:val="0"/>
        <w:keepLines w:val="0"/>
        <w:pageBreakBefore w:val="0"/>
        <w:widowControl/>
        <w:kinsoku/>
        <w:wordWrap/>
        <w:autoSpaceDE/>
        <w:autoSpaceDN/>
        <w:bidi w:val="0"/>
        <w:spacing w:line="360" w:lineRule="auto"/>
        <w:ind w:firstLine="480" w:firstLineChars="200"/>
        <w:rPr>
          <w:rFonts w:hint="default" w:ascii="Times New Roman" w:hAnsi="Times New Roman" w:cs="Times New Roman"/>
          <w:color w:val="000000"/>
          <w:sz w:val="24"/>
          <w:szCs w:val="28"/>
          <w:highlight w:val="none"/>
        </w:rPr>
      </w:pPr>
      <w:r>
        <w:rPr>
          <w:rFonts w:hint="default" w:ascii="Times New Roman" w:hAnsi="Times New Roman" w:cs="Times New Roman"/>
          <w:color w:val="000000"/>
          <w:sz w:val="24"/>
          <w:szCs w:val="28"/>
          <w:highlight w:val="none"/>
        </w:rPr>
        <w:t>（</w:t>
      </w:r>
      <w:r>
        <w:rPr>
          <w:rFonts w:hint="default" w:ascii="Times New Roman" w:hAnsi="Times New Roman" w:cs="Times New Roman"/>
          <w:color w:val="000000"/>
          <w:sz w:val="24"/>
          <w:szCs w:val="28"/>
          <w:highlight w:val="none"/>
          <w:lang w:val="en-US" w:eastAsia="zh-CN"/>
        </w:rPr>
        <w:t>3</w:t>
      </w:r>
      <w:r>
        <w:rPr>
          <w:rFonts w:hint="default" w:ascii="Times New Roman" w:hAnsi="Times New Roman" w:cs="Times New Roman"/>
          <w:color w:val="000000"/>
          <w:sz w:val="24"/>
          <w:szCs w:val="28"/>
          <w:highlight w:val="none"/>
        </w:rPr>
        <w:t>）2022年1</w:t>
      </w:r>
      <w:r>
        <w:rPr>
          <w:rFonts w:hint="default" w:ascii="Times New Roman" w:hAnsi="Times New Roman" w:cs="Times New Roman"/>
          <w:color w:val="000000"/>
          <w:sz w:val="24"/>
          <w:szCs w:val="28"/>
          <w:highlight w:val="none"/>
          <w:lang w:val="en-US" w:eastAsia="zh-CN"/>
        </w:rPr>
        <w:t>1</w:t>
      </w:r>
      <w:r>
        <w:rPr>
          <w:rFonts w:hint="default" w:ascii="Times New Roman" w:hAnsi="Times New Roman" w:cs="Times New Roman"/>
          <w:color w:val="000000"/>
          <w:sz w:val="24"/>
          <w:szCs w:val="28"/>
          <w:highlight w:val="none"/>
        </w:rPr>
        <w:t>月，组织专家</w:t>
      </w:r>
      <w:r>
        <w:rPr>
          <w:rFonts w:hint="default" w:ascii="Times New Roman" w:hAnsi="Times New Roman" w:cs="Times New Roman"/>
          <w:color w:val="000000"/>
          <w:sz w:val="24"/>
          <w:szCs w:val="28"/>
          <w:highlight w:val="none"/>
          <w:lang w:eastAsia="zh-CN"/>
        </w:rPr>
        <w:t>开展咨询与</w:t>
      </w:r>
      <w:r>
        <w:rPr>
          <w:rFonts w:hint="default" w:ascii="Times New Roman" w:hAnsi="Times New Roman" w:cs="Times New Roman"/>
          <w:color w:val="000000"/>
          <w:sz w:val="24"/>
          <w:szCs w:val="28"/>
          <w:highlight w:val="none"/>
        </w:rPr>
        <w:t>评审。</w:t>
      </w:r>
    </w:p>
    <w:p w14:paraId="281F5A16">
      <w:pPr>
        <w:keepNext w:val="0"/>
        <w:keepLines w:val="0"/>
        <w:pageBreakBefore w:val="0"/>
        <w:widowControl/>
        <w:kinsoku/>
        <w:wordWrap/>
        <w:autoSpaceDE/>
        <w:autoSpaceDN/>
        <w:bidi w:val="0"/>
        <w:spacing w:line="360" w:lineRule="auto"/>
        <w:ind w:firstLine="480" w:firstLineChars="200"/>
        <w:rPr>
          <w:rFonts w:hint="default" w:ascii="Times New Roman" w:hAnsi="Times New Roman" w:eastAsia="宋体" w:cs="Times New Roman"/>
          <w:color w:val="000000"/>
          <w:sz w:val="24"/>
          <w:szCs w:val="28"/>
          <w:highlight w:val="none"/>
          <w:lang w:val="en-US" w:eastAsia="zh-CN"/>
        </w:rPr>
      </w:pPr>
      <w:r>
        <w:rPr>
          <w:rFonts w:hint="default" w:ascii="Times New Roman" w:hAnsi="Times New Roman" w:cs="Times New Roman"/>
          <w:color w:val="000000"/>
          <w:sz w:val="24"/>
          <w:szCs w:val="28"/>
          <w:highlight w:val="none"/>
          <w:lang w:eastAsia="zh-CN"/>
        </w:rPr>
        <w:t>（</w:t>
      </w:r>
      <w:r>
        <w:rPr>
          <w:rFonts w:hint="default" w:ascii="Times New Roman" w:hAnsi="Times New Roman" w:cs="Times New Roman"/>
          <w:color w:val="000000"/>
          <w:sz w:val="24"/>
          <w:szCs w:val="28"/>
          <w:highlight w:val="none"/>
          <w:lang w:val="en-US" w:eastAsia="zh-CN"/>
        </w:rPr>
        <w:t>4</w:t>
      </w:r>
      <w:r>
        <w:rPr>
          <w:rFonts w:hint="default" w:ascii="Times New Roman" w:hAnsi="Times New Roman" w:cs="Times New Roman"/>
          <w:color w:val="000000"/>
          <w:sz w:val="24"/>
          <w:szCs w:val="28"/>
          <w:highlight w:val="none"/>
          <w:lang w:eastAsia="zh-CN"/>
        </w:rPr>
        <w:t>）</w:t>
      </w:r>
      <w:r>
        <w:rPr>
          <w:rFonts w:hint="default" w:ascii="Times New Roman" w:hAnsi="Times New Roman" w:cs="Times New Roman"/>
          <w:color w:val="000000"/>
          <w:sz w:val="24"/>
          <w:szCs w:val="28"/>
          <w:highlight w:val="none"/>
          <w:lang w:val="en-US" w:eastAsia="zh-CN"/>
        </w:rPr>
        <w:t xml:space="preserve">2023年12月，申请标准立项。 </w:t>
      </w:r>
    </w:p>
    <w:p w14:paraId="42090736">
      <w:pPr>
        <w:keepNext w:val="0"/>
        <w:keepLines w:val="0"/>
        <w:pageBreakBefore w:val="0"/>
        <w:widowControl/>
        <w:kinsoku/>
        <w:wordWrap/>
        <w:autoSpaceDE/>
        <w:autoSpaceDN/>
        <w:bidi w:val="0"/>
        <w:spacing w:line="360" w:lineRule="auto"/>
        <w:ind w:firstLine="480" w:firstLineChars="200"/>
        <w:rPr>
          <w:rFonts w:hint="default" w:ascii="Times New Roman" w:hAnsi="Times New Roman" w:cs="Times New Roman"/>
          <w:color w:val="000000"/>
          <w:sz w:val="24"/>
          <w:szCs w:val="28"/>
          <w:highlight w:val="none"/>
          <w:lang w:eastAsia="zh-CN"/>
        </w:rPr>
      </w:pPr>
      <w:r>
        <w:rPr>
          <w:rFonts w:hint="default" w:ascii="Times New Roman" w:hAnsi="Times New Roman" w:cs="Times New Roman"/>
          <w:color w:val="000000"/>
          <w:sz w:val="24"/>
          <w:szCs w:val="28"/>
          <w:highlight w:val="none"/>
        </w:rPr>
        <w:t>（</w:t>
      </w:r>
      <w:r>
        <w:rPr>
          <w:rFonts w:hint="default" w:ascii="Times New Roman" w:hAnsi="Times New Roman" w:cs="Times New Roman"/>
          <w:color w:val="000000"/>
          <w:sz w:val="24"/>
          <w:szCs w:val="28"/>
          <w:highlight w:val="none"/>
          <w:lang w:val="en-US" w:eastAsia="zh-CN"/>
        </w:rPr>
        <w:t>5</w:t>
      </w:r>
      <w:r>
        <w:rPr>
          <w:rFonts w:hint="default" w:ascii="Times New Roman" w:hAnsi="Times New Roman" w:cs="Times New Roman"/>
          <w:color w:val="000000"/>
          <w:sz w:val="24"/>
          <w:szCs w:val="28"/>
          <w:highlight w:val="none"/>
        </w:rPr>
        <w:t>）202</w:t>
      </w:r>
      <w:r>
        <w:rPr>
          <w:rFonts w:hint="default" w:ascii="Times New Roman" w:hAnsi="Times New Roman" w:cs="Times New Roman"/>
          <w:color w:val="000000"/>
          <w:sz w:val="24"/>
          <w:szCs w:val="28"/>
          <w:highlight w:val="none"/>
          <w:lang w:val="en-US" w:eastAsia="zh-CN"/>
        </w:rPr>
        <w:t>4</w:t>
      </w:r>
      <w:r>
        <w:rPr>
          <w:rFonts w:hint="default" w:ascii="Times New Roman" w:hAnsi="Times New Roman" w:cs="Times New Roman"/>
          <w:color w:val="000000"/>
          <w:sz w:val="24"/>
          <w:szCs w:val="28"/>
          <w:highlight w:val="none"/>
        </w:rPr>
        <w:t>年</w:t>
      </w:r>
      <w:r>
        <w:rPr>
          <w:rFonts w:hint="default" w:ascii="Times New Roman" w:hAnsi="Times New Roman" w:cs="Times New Roman"/>
          <w:color w:val="000000"/>
          <w:sz w:val="24"/>
          <w:szCs w:val="28"/>
          <w:highlight w:val="none"/>
          <w:lang w:val="en-US" w:eastAsia="zh-CN"/>
        </w:rPr>
        <w:t>8</w:t>
      </w:r>
      <w:r>
        <w:rPr>
          <w:rFonts w:hint="default" w:ascii="Times New Roman" w:hAnsi="Times New Roman" w:cs="Times New Roman"/>
          <w:color w:val="000000"/>
          <w:sz w:val="24"/>
          <w:szCs w:val="28"/>
          <w:highlight w:val="none"/>
        </w:rPr>
        <w:t>月，标准</w:t>
      </w:r>
      <w:r>
        <w:rPr>
          <w:rFonts w:hint="default" w:ascii="Times New Roman" w:hAnsi="Times New Roman" w:cs="Times New Roman"/>
          <w:color w:val="000000"/>
          <w:sz w:val="24"/>
          <w:szCs w:val="28"/>
          <w:highlight w:val="none"/>
          <w:lang w:eastAsia="zh-CN"/>
        </w:rPr>
        <w:t>在省质监局正式</w:t>
      </w:r>
      <w:r>
        <w:rPr>
          <w:rFonts w:hint="default" w:ascii="Times New Roman" w:hAnsi="Times New Roman" w:cs="Times New Roman"/>
          <w:color w:val="000000"/>
          <w:sz w:val="24"/>
          <w:szCs w:val="28"/>
          <w:highlight w:val="none"/>
        </w:rPr>
        <w:t>立项</w:t>
      </w:r>
      <w:r>
        <w:rPr>
          <w:rFonts w:hint="default" w:ascii="Times New Roman" w:hAnsi="Times New Roman" w:cs="Times New Roman"/>
          <w:color w:val="000000"/>
          <w:sz w:val="24"/>
          <w:szCs w:val="28"/>
          <w:highlight w:val="none"/>
          <w:lang w:eastAsia="zh-CN"/>
        </w:rPr>
        <w:t>。</w:t>
      </w:r>
    </w:p>
    <w:p w14:paraId="21E0E95F">
      <w:pPr>
        <w:keepNext w:val="0"/>
        <w:keepLines w:val="0"/>
        <w:pageBreakBefore w:val="0"/>
        <w:widowControl/>
        <w:kinsoku/>
        <w:wordWrap/>
        <w:autoSpaceDE/>
        <w:autoSpaceDN/>
        <w:bidi w:val="0"/>
        <w:spacing w:line="360" w:lineRule="auto"/>
        <w:ind w:firstLine="480" w:firstLineChars="200"/>
        <w:rPr>
          <w:rFonts w:hint="default" w:ascii="Times New Roman" w:hAnsi="Times New Roman" w:cs="Times New Roman"/>
          <w:color w:val="000000"/>
          <w:sz w:val="24"/>
          <w:szCs w:val="28"/>
          <w:highlight w:val="none"/>
          <w:lang w:val="en-US" w:eastAsia="zh-CN"/>
        </w:rPr>
      </w:pPr>
      <w:r>
        <w:rPr>
          <w:rFonts w:hint="default" w:ascii="Times New Roman" w:hAnsi="Times New Roman" w:cs="Times New Roman"/>
          <w:color w:val="000000"/>
          <w:sz w:val="24"/>
          <w:szCs w:val="28"/>
          <w:highlight w:val="none"/>
          <w:lang w:eastAsia="zh-CN"/>
        </w:rPr>
        <w:t>（</w:t>
      </w:r>
      <w:r>
        <w:rPr>
          <w:rFonts w:hint="default" w:ascii="Times New Roman" w:hAnsi="Times New Roman" w:cs="Times New Roman"/>
          <w:color w:val="000000"/>
          <w:sz w:val="24"/>
          <w:szCs w:val="28"/>
          <w:highlight w:val="none"/>
          <w:lang w:val="en-US" w:eastAsia="zh-CN"/>
        </w:rPr>
        <w:t>6</w:t>
      </w:r>
      <w:r>
        <w:rPr>
          <w:rFonts w:hint="default" w:ascii="Times New Roman" w:hAnsi="Times New Roman" w:cs="Times New Roman"/>
          <w:color w:val="000000"/>
          <w:sz w:val="24"/>
          <w:szCs w:val="28"/>
          <w:highlight w:val="none"/>
          <w:lang w:eastAsia="zh-CN"/>
        </w:rPr>
        <w:t>）</w:t>
      </w:r>
      <w:r>
        <w:rPr>
          <w:rFonts w:hint="default" w:ascii="Times New Roman" w:hAnsi="Times New Roman" w:cs="Times New Roman"/>
          <w:color w:val="000000"/>
          <w:sz w:val="24"/>
          <w:szCs w:val="28"/>
          <w:highlight w:val="none"/>
          <w:lang w:val="en-US" w:eastAsia="zh-CN"/>
        </w:rPr>
        <w:t>2025年2月，标准开题与专家咨询</w:t>
      </w:r>
      <w:r>
        <w:rPr>
          <w:rFonts w:hint="eastAsia" w:cs="Times New Roman"/>
          <w:color w:val="000000"/>
          <w:sz w:val="24"/>
          <w:szCs w:val="28"/>
          <w:highlight w:val="none"/>
          <w:lang w:val="en-US" w:eastAsia="zh-CN"/>
        </w:rPr>
        <w:t>。</w:t>
      </w:r>
    </w:p>
    <w:p w14:paraId="1BAB1C0F">
      <w:pPr>
        <w:keepNext w:val="0"/>
        <w:keepLines w:val="0"/>
        <w:pageBreakBefore w:val="0"/>
        <w:widowControl/>
        <w:kinsoku/>
        <w:wordWrap/>
        <w:autoSpaceDE/>
        <w:autoSpaceDN/>
        <w:bidi w:val="0"/>
        <w:spacing w:line="360" w:lineRule="auto"/>
        <w:ind w:firstLine="480" w:firstLineChars="200"/>
        <w:rPr>
          <w:rFonts w:hint="default" w:ascii="Times New Roman" w:hAnsi="Times New Roman" w:cs="Times New Roman"/>
          <w:highlight w:val="none"/>
          <w:lang w:eastAsia="zh-CN"/>
        </w:rPr>
      </w:pPr>
      <w:r>
        <w:rPr>
          <w:rFonts w:hint="default" w:ascii="Times New Roman" w:hAnsi="Times New Roman" w:cs="Times New Roman"/>
          <w:color w:val="000000"/>
          <w:sz w:val="24"/>
          <w:szCs w:val="28"/>
          <w:highlight w:val="none"/>
          <w:lang w:val="en-US" w:eastAsia="zh-CN"/>
        </w:rPr>
        <w:t>（7）2025年3月，完成汽车维修企业的补充调研与实测，完善形成</w:t>
      </w:r>
      <w:r>
        <w:rPr>
          <w:rFonts w:hint="default" w:ascii="Times New Roman" w:hAnsi="Times New Roman" w:cs="Times New Roman"/>
          <w:color w:val="000000"/>
          <w:sz w:val="24"/>
          <w:szCs w:val="28"/>
          <w:highlight w:val="none"/>
        </w:rPr>
        <w:t>排放标准和编制说明</w:t>
      </w:r>
      <w:r>
        <w:rPr>
          <w:rFonts w:hint="default" w:ascii="Times New Roman" w:hAnsi="Times New Roman" w:cs="Times New Roman"/>
          <w:color w:val="000000"/>
          <w:sz w:val="24"/>
          <w:szCs w:val="28"/>
          <w:highlight w:val="none"/>
          <w:lang w:eastAsia="zh-CN"/>
        </w:rPr>
        <w:t>的技术审查版，</w:t>
      </w:r>
      <w:r>
        <w:rPr>
          <w:rFonts w:hint="default" w:ascii="Times New Roman" w:hAnsi="Times New Roman" w:cs="Times New Roman"/>
          <w:highlight w:val="none"/>
        </w:rPr>
        <w:t>组织专家</w:t>
      </w:r>
      <w:r>
        <w:rPr>
          <w:rFonts w:hint="default" w:ascii="Times New Roman" w:hAnsi="Times New Roman" w:cs="Times New Roman"/>
          <w:highlight w:val="none"/>
          <w:lang w:eastAsia="zh-CN"/>
        </w:rPr>
        <w:t>开展</w:t>
      </w:r>
      <w:r>
        <w:rPr>
          <w:rFonts w:hint="default" w:ascii="Times New Roman" w:hAnsi="Times New Roman" w:cs="Times New Roman"/>
          <w:highlight w:val="none"/>
        </w:rPr>
        <w:t>技术审查</w:t>
      </w:r>
      <w:r>
        <w:rPr>
          <w:rFonts w:hint="default" w:ascii="Times New Roman" w:hAnsi="Times New Roman" w:cs="Times New Roman"/>
          <w:highlight w:val="none"/>
          <w:lang w:eastAsia="zh-CN"/>
        </w:rPr>
        <w:t>。</w:t>
      </w:r>
    </w:p>
    <w:p w14:paraId="178EE2F5">
      <w:pPr>
        <w:keepNext w:val="0"/>
        <w:keepLines w:val="0"/>
        <w:pageBreakBefore w:val="0"/>
        <w:widowControl/>
        <w:kinsoku/>
        <w:wordWrap/>
        <w:autoSpaceDE/>
        <w:autoSpaceDN/>
        <w:bidi w:val="0"/>
        <w:spacing w:line="360" w:lineRule="auto"/>
        <w:ind w:firstLine="480" w:firstLineChars="200"/>
        <w:rPr>
          <w:rFonts w:hint="default" w:ascii="Times New Roman" w:hAnsi="Times New Roman" w:cs="Times New Roman"/>
          <w:highlight w:val="none"/>
        </w:rPr>
      </w:pPr>
      <w:r>
        <w:rPr>
          <w:rFonts w:hint="default" w:ascii="Times New Roman" w:hAnsi="Times New Roman" w:cs="Times New Roman"/>
          <w:highlight w:val="none"/>
          <w:lang w:eastAsia="zh-CN"/>
        </w:rPr>
        <w:t>（</w:t>
      </w:r>
      <w:r>
        <w:rPr>
          <w:rFonts w:hint="default" w:ascii="Times New Roman" w:hAnsi="Times New Roman" w:cs="Times New Roman"/>
          <w:highlight w:val="none"/>
          <w:lang w:val="en-US" w:eastAsia="zh-CN"/>
        </w:rPr>
        <w:t>8</w:t>
      </w:r>
      <w:r>
        <w:rPr>
          <w:rFonts w:hint="default" w:ascii="Times New Roman" w:hAnsi="Times New Roman" w:cs="Times New Roman"/>
          <w:highlight w:val="none"/>
          <w:lang w:eastAsia="zh-CN"/>
        </w:rPr>
        <w:t>）</w:t>
      </w:r>
      <w:r>
        <w:rPr>
          <w:rFonts w:hint="default" w:ascii="Times New Roman" w:hAnsi="Times New Roman" w:cs="Times New Roman"/>
          <w:highlight w:val="none"/>
          <w:lang w:val="en-US" w:eastAsia="zh-CN"/>
        </w:rPr>
        <w:t>2025年4月~</w:t>
      </w:r>
      <w:r>
        <w:rPr>
          <w:rFonts w:hint="eastAsia" w:cs="Times New Roman"/>
          <w:highlight w:val="none"/>
          <w:lang w:val="en-US" w:eastAsia="zh-CN"/>
        </w:rPr>
        <w:t>8</w:t>
      </w:r>
      <w:r>
        <w:rPr>
          <w:rFonts w:hint="default" w:ascii="Times New Roman" w:hAnsi="Times New Roman" w:cs="Times New Roman"/>
          <w:highlight w:val="none"/>
          <w:lang w:val="en-US" w:eastAsia="zh-CN"/>
        </w:rPr>
        <w:t>月</w:t>
      </w:r>
      <w:r>
        <w:rPr>
          <w:rFonts w:hint="eastAsia" w:cs="Times New Roman"/>
          <w:highlight w:val="none"/>
          <w:lang w:val="en-US" w:eastAsia="zh-CN"/>
        </w:rPr>
        <w:t>，</w:t>
      </w:r>
      <w:r>
        <w:rPr>
          <w:rFonts w:hint="default" w:ascii="Times New Roman" w:hAnsi="Times New Roman" w:cs="Times New Roman"/>
          <w:highlight w:val="none"/>
          <w:lang w:val="en-US" w:eastAsia="zh-CN"/>
        </w:rPr>
        <w:t>拟完成标准</w:t>
      </w:r>
      <w:r>
        <w:rPr>
          <w:rFonts w:hint="default" w:ascii="Times New Roman" w:hAnsi="Times New Roman" w:cs="Times New Roman"/>
          <w:highlight w:val="none"/>
        </w:rPr>
        <w:t>意见</w:t>
      </w:r>
      <w:r>
        <w:rPr>
          <w:rFonts w:hint="default" w:ascii="Times New Roman" w:hAnsi="Times New Roman" w:cs="Times New Roman"/>
          <w:highlight w:val="none"/>
          <w:lang w:eastAsia="zh-CN"/>
        </w:rPr>
        <w:t>公开征集</w:t>
      </w:r>
      <w:r>
        <w:rPr>
          <w:rFonts w:hint="default" w:ascii="Times New Roman" w:hAnsi="Times New Roman" w:cs="Times New Roman"/>
          <w:highlight w:val="none"/>
        </w:rPr>
        <w:t>，征求社会公众及生态环境部、有关单位意见，</w:t>
      </w:r>
      <w:r>
        <w:rPr>
          <w:rFonts w:hint="default" w:ascii="Times New Roman" w:hAnsi="Times New Roman" w:cs="Times New Roman"/>
          <w:highlight w:val="none"/>
          <w:lang w:eastAsia="zh-CN"/>
        </w:rPr>
        <w:t>完成标准</w:t>
      </w:r>
      <w:r>
        <w:rPr>
          <w:rFonts w:hint="default" w:ascii="Times New Roman" w:hAnsi="Times New Roman" w:cs="Times New Roman"/>
          <w:highlight w:val="none"/>
        </w:rPr>
        <w:t>风险评估。</w:t>
      </w:r>
    </w:p>
    <w:p w14:paraId="34770049">
      <w:pPr>
        <w:pStyle w:val="2"/>
        <w:keepNext w:val="0"/>
        <w:keepLines w:val="0"/>
        <w:pageBreakBefore w:val="0"/>
        <w:widowControl/>
        <w:kinsoku/>
        <w:wordWrap/>
        <w:autoSpaceDE/>
        <w:autoSpaceDN/>
        <w:bidi w:val="0"/>
        <w:rPr>
          <w:rFonts w:hint="default" w:ascii="Times New Roman" w:hAnsi="Times New Roman" w:cs="Times New Roman"/>
          <w:highlight w:val="none"/>
        </w:rPr>
      </w:pPr>
      <w:bookmarkStart w:id="9" w:name="_Toc19873"/>
      <w:r>
        <w:rPr>
          <w:rFonts w:hint="default" w:ascii="Times New Roman" w:hAnsi="Times New Roman" w:cs="Times New Roman"/>
          <w:highlight w:val="none"/>
        </w:rPr>
        <w:t>标准制定的必要性和意义</w:t>
      </w:r>
      <w:bookmarkEnd w:id="7"/>
      <w:bookmarkEnd w:id="8"/>
      <w:bookmarkEnd w:id="9"/>
    </w:p>
    <w:p w14:paraId="377DA0FE">
      <w:pPr>
        <w:pStyle w:val="3"/>
        <w:keepNext w:val="0"/>
        <w:keepLines w:val="0"/>
        <w:pageBreakBefore w:val="0"/>
        <w:widowControl/>
        <w:kinsoku/>
        <w:wordWrap/>
        <w:autoSpaceDE/>
        <w:autoSpaceDN/>
        <w:bidi w:val="0"/>
        <w:rPr>
          <w:rFonts w:hint="default" w:ascii="Times New Roman" w:hAnsi="Times New Roman" w:cs="Times New Roman"/>
          <w:highlight w:val="none"/>
        </w:rPr>
      </w:pPr>
      <w:bookmarkStart w:id="10" w:name="_Toc54454410"/>
      <w:bookmarkStart w:id="11" w:name="_Toc27886"/>
      <w:bookmarkStart w:id="12" w:name="_Toc62645408"/>
      <w:bookmarkStart w:id="13" w:name="_Toc120541827"/>
      <w:r>
        <w:rPr>
          <w:rFonts w:hint="default" w:ascii="Times New Roman" w:hAnsi="Times New Roman" w:cs="Times New Roman"/>
          <w:highlight w:val="none"/>
        </w:rPr>
        <w:t>污染物持续减排的需求</w:t>
      </w:r>
      <w:bookmarkEnd w:id="10"/>
      <w:bookmarkEnd w:id="11"/>
      <w:bookmarkEnd w:id="12"/>
      <w:bookmarkEnd w:id="13"/>
    </w:p>
    <w:p w14:paraId="753D6930">
      <w:pPr>
        <w:keepNext w:val="0"/>
        <w:keepLines w:val="0"/>
        <w:pageBreakBefore w:val="0"/>
        <w:widowControl/>
        <w:kinsoku/>
        <w:wordWrap/>
        <w:autoSpaceDE/>
        <w:autoSpaceDN/>
        <w:bidi w:val="0"/>
        <w:spacing w:line="360" w:lineRule="auto"/>
        <w:ind w:firstLine="480" w:firstLineChars="200"/>
        <w:rPr>
          <w:rFonts w:hint="default" w:ascii="Times New Roman" w:hAnsi="Times New Roman" w:cs="Times New Roman"/>
          <w:sz w:val="24"/>
          <w:szCs w:val="24"/>
          <w:highlight w:val="none"/>
          <w:lang w:val="en-US" w:eastAsia="zh-CN"/>
        </w:rPr>
      </w:pPr>
      <w:r>
        <w:rPr>
          <w:rFonts w:hint="default" w:ascii="Times New Roman" w:hAnsi="Times New Roman" w:cs="Times New Roman"/>
          <w:color w:val="000000"/>
          <w:sz w:val="24"/>
          <w:szCs w:val="22"/>
          <w:highlight w:val="none"/>
        </w:rPr>
        <w:t>《中共中央 国务院关于深入打好污染防治攻坚战的意见》中“（十二）着力打好臭氧污染防治攻坚战”提出“聚焦夏秋季臭氧污染，大力推进挥发性有机物和氮氧化物协同减排</w:t>
      </w:r>
      <w:r>
        <w:rPr>
          <w:rFonts w:hint="default" w:ascii="Times New Roman" w:hAnsi="Times New Roman" w:cs="Times New Roman"/>
          <w:color w:val="000000"/>
          <w:sz w:val="24"/>
          <w:szCs w:val="22"/>
          <w:highlight w:val="none"/>
          <w:lang w:eastAsia="zh-CN"/>
        </w:rPr>
        <w:t>……</w:t>
      </w:r>
      <w:r>
        <w:rPr>
          <w:rFonts w:hint="default" w:ascii="Times New Roman" w:hAnsi="Times New Roman" w:cs="Times New Roman"/>
          <w:color w:val="000000"/>
          <w:sz w:val="24"/>
          <w:szCs w:val="22"/>
          <w:highlight w:val="none"/>
        </w:rPr>
        <w:t>到2025年，挥发性有机物、氮氧化物排放总量比2020年分别下降10%以上</w:t>
      </w:r>
      <w:r>
        <w:rPr>
          <w:rFonts w:hint="default" w:ascii="Times New Roman" w:hAnsi="Times New Roman" w:cs="Times New Roman"/>
          <w:color w:val="000000"/>
          <w:sz w:val="24"/>
          <w:szCs w:val="22"/>
          <w:highlight w:val="none"/>
          <w:lang w:eastAsia="zh-CN"/>
        </w:rPr>
        <w:t>”。</w:t>
      </w:r>
      <w:r>
        <w:rPr>
          <w:rFonts w:hint="default" w:ascii="Times New Roman" w:hAnsi="Times New Roman" w:eastAsia="宋体" w:cs="Times New Roman"/>
          <w:sz w:val="24"/>
          <w:szCs w:val="24"/>
          <w:highlight w:val="none"/>
        </w:rPr>
        <w:t>四川省人民政府印发</w:t>
      </w:r>
      <w:r>
        <w:rPr>
          <w:rFonts w:hint="default" w:ascii="Times New Roman" w:hAnsi="Times New Roman" w:cs="Times New Roman"/>
          <w:sz w:val="24"/>
          <w:szCs w:val="24"/>
          <w:highlight w:val="none"/>
          <w:lang w:eastAsia="zh-CN"/>
        </w:rPr>
        <w:t>的《</w:t>
      </w:r>
      <w:r>
        <w:rPr>
          <w:rFonts w:hint="default" w:ascii="Times New Roman" w:hAnsi="Times New Roman" w:eastAsia="宋体" w:cs="Times New Roman"/>
          <w:sz w:val="24"/>
          <w:szCs w:val="24"/>
          <w:highlight w:val="none"/>
        </w:rPr>
        <w:t>四川省空气质量持续改善行动计划实施方案</w:t>
      </w:r>
      <w:r>
        <w:rPr>
          <w:rFonts w:hint="default" w:ascii="Times New Roman" w:hAnsi="Times New Roman" w:cs="Times New Roman"/>
          <w:sz w:val="24"/>
          <w:szCs w:val="24"/>
          <w:highlight w:val="none"/>
          <w:lang w:eastAsia="zh-CN"/>
        </w:rPr>
        <w:t>》提出</w:t>
      </w:r>
      <w:r>
        <w:rPr>
          <w:rFonts w:hint="eastAsia" w:ascii="Times New Roman" w:hAnsi="Times New Roman" w:cs="Times New Roman"/>
          <w:sz w:val="24"/>
          <w:szCs w:val="24"/>
          <w:highlight w:val="none"/>
          <w:lang w:eastAsia="zh-CN"/>
        </w:rPr>
        <w:t>“</w:t>
      </w:r>
      <w:r>
        <w:rPr>
          <w:rFonts w:hint="default" w:ascii="Times New Roman" w:hAnsi="Times New Roman" w:eastAsia="宋体" w:cs="Times New Roman"/>
          <w:sz w:val="24"/>
          <w:szCs w:val="24"/>
          <w:highlight w:val="none"/>
        </w:rPr>
        <w:t>强化面源污染治理</w:t>
      </w:r>
      <w:r>
        <w:rPr>
          <w:rFonts w:hint="default" w:ascii="Times New Roman" w:hAnsi="Times New Roman" w:cs="Times New Roman"/>
          <w:sz w:val="24"/>
          <w:szCs w:val="24"/>
          <w:highlight w:val="none"/>
          <w:lang w:eastAsia="zh-CN"/>
        </w:rPr>
        <w:t>，</w:t>
      </w:r>
      <w:r>
        <w:rPr>
          <w:rFonts w:hint="default" w:ascii="Times New Roman" w:hAnsi="Times New Roman" w:eastAsia="宋体" w:cs="Times New Roman"/>
          <w:sz w:val="24"/>
          <w:szCs w:val="24"/>
          <w:highlight w:val="none"/>
        </w:rPr>
        <w:t>加强源头防控</w:t>
      </w:r>
      <w:r>
        <w:rPr>
          <w:rFonts w:hint="default" w:ascii="Times New Roman" w:hAnsi="Times New Roman" w:cs="Times New Roman"/>
          <w:sz w:val="24"/>
          <w:szCs w:val="24"/>
          <w:highlight w:val="none"/>
          <w:lang w:eastAsia="zh-CN"/>
        </w:rPr>
        <w:t>……</w:t>
      </w:r>
      <w:r>
        <w:rPr>
          <w:rFonts w:hint="default" w:ascii="Times New Roman" w:hAnsi="Times New Roman" w:eastAsia="宋体" w:cs="Times New Roman"/>
          <w:sz w:val="24"/>
          <w:szCs w:val="24"/>
          <w:highlight w:val="none"/>
        </w:rPr>
        <w:t>到</w:t>
      </w:r>
      <w:r>
        <w:rPr>
          <w:rFonts w:hint="default" w:ascii="Times New Roman" w:hAnsi="Times New Roman" w:cs="Times New Roman"/>
          <w:sz w:val="24"/>
          <w:szCs w:val="24"/>
          <w:highlight w:val="none"/>
          <w:lang w:val="en-US" w:eastAsia="zh-CN"/>
        </w:rPr>
        <w:t>2025</w:t>
      </w:r>
      <w:r>
        <w:rPr>
          <w:rFonts w:hint="default" w:ascii="Times New Roman" w:hAnsi="Times New Roman" w:eastAsia="宋体" w:cs="Times New Roman"/>
          <w:sz w:val="24"/>
          <w:szCs w:val="24"/>
          <w:highlight w:val="none"/>
        </w:rPr>
        <w:t>年完成国家下达我省的空气质量改善目标及氮氧化物、挥发性有机物减排目标</w:t>
      </w:r>
      <w:r>
        <w:rPr>
          <w:rFonts w:hint="default" w:ascii="Times New Roman" w:hAnsi="Times New Roman" w:cs="Times New Roman"/>
          <w:sz w:val="24"/>
          <w:szCs w:val="24"/>
          <w:highlight w:val="none"/>
          <w:lang w:eastAsia="zh-CN"/>
        </w:rPr>
        <w:t>。</w:t>
      </w:r>
      <w:r>
        <w:rPr>
          <w:rFonts w:hint="eastAsia" w:ascii="Times New Roman" w:hAnsi="Times New Roman" w:cs="Times New Roman"/>
          <w:sz w:val="24"/>
          <w:szCs w:val="24"/>
          <w:highlight w:val="none"/>
          <w:lang w:eastAsia="zh-CN"/>
        </w:rPr>
        <w:t>”</w:t>
      </w:r>
      <w:r>
        <w:rPr>
          <w:rFonts w:hint="default" w:ascii="Times New Roman" w:hAnsi="Times New Roman" w:cs="Times New Roman"/>
          <w:sz w:val="24"/>
          <w:szCs w:val="24"/>
          <w:highlight w:val="none"/>
          <w:lang w:val="en-US" w:eastAsia="zh-CN"/>
        </w:rPr>
        <w:t xml:space="preserve">   </w:t>
      </w:r>
    </w:p>
    <w:p w14:paraId="5057305F">
      <w:pPr>
        <w:keepNext w:val="0"/>
        <w:keepLines w:val="0"/>
        <w:pageBreakBefore w:val="0"/>
        <w:widowControl/>
        <w:kinsoku/>
        <w:wordWrap/>
        <w:autoSpaceDE/>
        <w:autoSpaceDN/>
        <w:bidi w:val="0"/>
        <w:spacing w:line="360" w:lineRule="auto"/>
        <w:ind w:firstLine="480" w:firstLineChars="200"/>
        <w:rPr>
          <w:rFonts w:hint="default" w:ascii="Times New Roman" w:hAnsi="Times New Roman" w:cs="Times New Roman"/>
          <w:color w:val="000000"/>
          <w:sz w:val="24"/>
          <w:szCs w:val="22"/>
          <w:highlight w:val="none"/>
        </w:rPr>
      </w:pPr>
      <w:r>
        <w:rPr>
          <w:rFonts w:hint="default" w:ascii="Times New Roman" w:hAnsi="Times New Roman" w:cs="Times New Roman"/>
          <w:sz w:val="24"/>
          <w:szCs w:val="24"/>
          <w:highlight w:val="none"/>
          <w:lang w:eastAsia="zh-CN"/>
        </w:rPr>
        <w:t>汽车维修行业是</w:t>
      </w:r>
      <w:r>
        <w:rPr>
          <w:rFonts w:hint="default" w:ascii="Times New Roman" w:hAnsi="Times New Roman" w:cs="Times New Roman"/>
          <w:sz w:val="24"/>
          <w:szCs w:val="24"/>
          <w:highlight w:val="none"/>
          <w:lang w:val="en-US" w:eastAsia="zh-CN"/>
        </w:rPr>
        <w:t>VOCs重要排放来源，尤其是在人口稠密的城市区域。</w:t>
      </w:r>
      <w:r>
        <w:rPr>
          <w:rFonts w:hint="default" w:ascii="Times New Roman" w:hAnsi="Times New Roman" w:cs="Times New Roman"/>
          <w:sz w:val="24"/>
          <w:szCs w:val="22"/>
          <w:highlight w:val="none"/>
          <w:lang w:eastAsia="zh-CN"/>
        </w:rPr>
        <w:t>根据</w:t>
      </w:r>
      <w:r>
        <w:rPr>
          <w:rFonts w:hint="default" w:ascii="Times New Roman" w:hAnsi="Times New Roman" w:cs="Times New Roman"/>
          <w:color w:val="auto"/>
          <w:sz w:val="24"/>
          <w:szCs w:val="22"/>
          <w:highlight w:val="none"/>
        </w:rPr>
        <w:t>202</w:t>
      </w:r>
      <w:r>
        <w:rPr>
          <w:rFonts w:hint="default" w:ascii="Times New Roman" w:hAnsi="Times New Roman" w:cs="Times New Roman"/>
          <w:color w:val="auto"/>
          <w:sz w:val="24"/>
          <w:szCs w:val="22"/>
          <w:highlight w:val="none"/>
          <w:lang w:val="en-US" w:eastAsia="zh-CN"/>
        </w:rPr>
        <w:t>3</w:t>
      </w:r>
      <w:r>
        <w:rPr>
          <w:rFonts w:hint="default" w:ascii="Times New Roman" w:hAnsi="Times New Roman" w:cs="Times New Roman"/>
          <w:color w:val="auto"/>
          <w:sz w:val="24"/>
          <w:szCs w:val="22"/>
          <w:highlight w:val="none"/>
        </w:rPr>
        <w:t>年</w:t>
      </w:r>
      <w:r>
        <w:rPr>
          <w:rFonts w:hint="default" w:ascii="Times New Roman" w:hAnsi="Times New Roman" w:cs="Times New Roman"/>
          <w:sz w:val="24"/>
          <w:highlight w:val="none"/>
        </w:rPr>
        <w:t>四川省大气污染源排放清单</w:t>
      </w:r>
      <w:r>
        <w:rPr>
          <w:rFonts w:hint="default" w:ascii="Times New Roman" w:hAnsi="Times New Roman" w:cs="Times New Roman"/>
          <w:color w:val="auto"/>
          <w:sz w:val="24"/>
          <w:szCs w:val="22"/>
          <w:highlight w:val="none"/>
          <w:lang w:eastAsia="zh-CN"/>
        </w:rPr>
        <w:t>统计数据，我</w:t>
      </w:r>
      <w:r>
        <w:rPr>
          <w:rFonts w:hint="default" w:ascii="Times New Roman" w:hAnsi="Times New Roman" w:cs="Times New Roman"/>
          <w:color w:val="auto"/>
          <w:sz w:val="24"/>
          <w:szCs w:val="22"/>
          <w:highlight w:val="none"/>
        </w:rPr>
        <w:t>省21市（州）涉喷涂的汽修企业</w:t>
      </w:r>
      <w:r>
        <w:rPr>
          <w:rFonts w:hint="default" w:ascii="Times New Roman" w:hAnsi="Times New Roman" w:cs="Times New Roman"/>
          <w:color w:val="auto"/>
          <w:sz w:val="24"/>
          <w:szCs w:val="22"/>
          <w:highlight w:val="none"/>
          <w:lang w:eastAsia="zh-CN"/>
        </w:rPr>
        <w:t>有</w:t>
      </w:r>
      <w:r>
        <w:rPr>
          <w:rFonts w:hint="default" w:ascii="Times New Roman" w:hAnsi="Times New Roman" w:cs="Times New Roman"/>
          <w:color w:val="auto"/>
          <w:sz w:val="24"/>
          <w:szCs w:val="22"/>
          <w:highlight w:val="none"/>
        </w:rPr>
        <w:t>4000余家，</w:t>
      </w:r>
      <w:r>
        <w:rPr>
          <w:rFonts w:hint="default" w:ascii="Times New Roman" w:hAnsi="Times New Roman" w:cs="Times New Roman"/>
          <w:color w:val="auto"/>
          <w:sz w:val="24"/>
          <w:szCs w:val="22"/>
          <w:highlight w:val="none"/>
          <w:lang w:eastAsia="zh-CN"/>
        </w:rPr>
        <w:t>其</w:t>
      </w:r>
      <w:r>
        <w:rPr>
          <w:rFonts w:hint="default" w:ascii="Times New Roman" w:hAnsi="Times New Roman" w:cs="Times New Roman"/>
          <w:color w:val="auto"/>
          <w:sz w:val="24"/>
          <w:szCs w:val="22"/>
          <w:highlight w:val="none"/>
        </w:rPr>
        <w:t>VOCs排放量</w:t>
      </w:r>
      <w:r>
        <w:rPr>
          <w:rFonts w:hint="default" w:ascii="Times New Roman" w:hAnsi="Times New Roman" w:cs="Times New Roman"/>
          <w:color w:val="auto"/>
          <w:sz w:val="24"/>
          <w:szCs w:val="22"/>
          <w:highlight w:val="none"/>
          <w:lang w:val="en-US" w:eastAsia="zh-CN"/>
        </w:rPr>
        <w:t>2000余吨</w:t>
      </w:r>
      <w:r>
        <w:rPr>
          <w:rFonts w:hint="default" w:ascii="Times New Roman" w:hAnsi="Times New Roman" w:cs="Times New Roman"/>
          <w:color w:val="auto"/>
          <w:sz w:val="24"/>
          <w:szCs w:val="22"/>
          <w:highlight w:val="none"/>
        </w:rPr>
        <w:t>，</w:t>
      </w:r>
      <w:r>
        <w:rPr>
          <w:rFonts w:hint="default" w:ascii="Times New Roman" w:hAnsi="Times New Roman" w:cs="Times New Roman"/>
          <w:color w:val="auto"/>
          <w:sz w:val="24"/>
          <w:szCs w:val="22"/>
          <w:highlight w:val="none"/>
          <w:lang w:eastAsia="zh-CN"/>
        </w:rPr>
        <w:t>通过提标改造，</w:t>
      </w:r>
      <w:r>
        <w:rPr>
          <w:rFonts w:hint="default" w:ascii="Times New Roman" w:hAnsi="Times New Roman" w:cs="Times New Roman"/>
          <w:color w:val="auto"/>
          <w:sz w:val="24"/>
          <w:szCs w:val="22"/>
          <w:highlight w:val="none"/>
        </w:rPr>
        <w:t>汽修行业VOCs减排</w:t>
      </w:r>
      <w:r>
        <w:rPr>
          <w:rFonts w:hint="default" w:ascii="Times New Roman" w:hAnsi="Times New Roman" w:cs="Times New Roman"/>
          <w:color w:val="auto"/>
          <w:sz w:val="24"/>
          <w:szCs w:val="22"/>
          <w:highlight w:val="none"/>
          <w:lang w:eastAsia="zh-CN"/>
        </w:rPr>
        <w:t>潜力可达</w:t>
      </w:r>
      <w:r>
        <w:rPr>
          <w:rFonts w:hint="default" w:ascii="Times New Roman" w:hAnsi="Times New Roman" w:cs="Times New Roman"/>
          <w:color w:val="auto"/>
          <w:sz w:val="24"/>
          <w:szCs w:val="22"/>
          <w:highlight w:val="none"/>
          <w:lang w:val="en-US" w:eastAsia="zh-CN"/>
        </w:rPr>
        <w:t>1000吨，因此亟需通过标准的制定，推动汽车维修行业VOCs减排</w:t>
      </w:r>
      <w:r>
        <w:rPr>
          <w:rFonts w:hint="default" w:ascii="Times New Roman" w:hAnsi="Times New Roman" w:cs="Times New Roman"/>
          <w:color w:val="0000FF"/>
          <w:sz w:val="24"/>
          <w:szCs w:val="22"/>
          <w:highlight w:val="none"/>
        </w:rPr>
        <w:t>。</w:t>
      </w:r>
    </w:p>
    <w:p w14:paraId="226395EB">
      <w:pPr>
        <w:pStyle w:val="3"/>
        <w:keepNext w:val="0"/>
        <w:keepLines w:val="0"/>
        <w:pageBreakBefore w:val="0"/>
        <w:widowControl/>
        <w:kinsoku/>
        <w:wordWrap/>
        <w:autoSpaceDE/>
        <w:autoSpaceDN/>
        <w:bidi w:val="0"/>
        <w:ind w:left="567" w:hanging="567"/>
        <w:rPr>
          <w:rFonts w:hint="default" w:ascii="Times New Roman" w:hAnsi="Times New Roman" w:cs="Times New Roman"/>
          <w:highlight w:val="none"/>
        </w:rPr>
      </w:pPr>
      <w:bookmarkStart w:id="14" w:name="_Toc26463"/>
      <w:r>
        <w:rPr>
          <w:rFonts w:hint="default" w:ascii="Times New Roman" w:hAnsi="Times New Roman" w:cs="Times New Roman"/>
          <w:highlight w:val="none"/>
        </w:rPr>
        <w:t>行业高质量绿色发展的需求</w:t>
      </w:r>
      <w:bookmarkEnd w:id="14"/>
    </w:p>
    <w:p w14:paraId="7CE3D841">
      <w:pPr>
        <w:keepNext w:val="0"/>
        <w:keepLines w:val="0"/>
        <w:pageBreakBefore w:val="0"/>
        <w:widowControl/>
        <w:kinsoku/>
        <w:wordWrap/>
        <w:autoSpaceDE/>
        <w:autoSpaceDN/>
        <w:bidi w:val="0"/>
        <w:spacing w:line="360" w:lineRule="auto"/>
        <w:ind w:firstLine="480" w:firstLineChars="200"/>
        <w:rPr>
          <w:rFonts w:hint="default" w:ascii="Times New Roman" w:hAnsi="Times New Roman" w:cs="Times New Roman"/>
          <w:color w:val="000000"/>
          <w:sz w:val="24"/>
          <w:szCs w:val="22"/>
          <w:highlight w:val="none"/>
        </w:rPr>
      </w:pPr>
      <w:r>
        <w:rPr>
          <w:rFonts w:hint="default" w:ascii="Times New Roman" w:hAnsi="Times New Roman" w:cs="Times New Roman"/>
          <w:color w:val="000000"/>
          <w:sz w:val="24"/>
          <w:szCs w:val="22"/>
          <w:highlight w:val="none"/>
        </w:rPr>
        <w:t>目前，我国对汽车维修行业VOCs排放还未制定具有行业针对性的排放标准，四川省汽车维修企业目前执行</w:t>
      </w:r>
      <w:bookmarkStart w:id="15" w:name="_Hlk120457906"/>
      <w:r>
        <w:rPr>
          <w:rFonts w:hint="default" w:ascii="Times New Roman" w:hAnsi="Times New Roman" w:cs="Times New Roman"/>
          <w:color w:val="000000"/>
          <w:sz w:val="24"/>
          <w:szCs w:val="22"/>
          <w:highlight w:val="none"/>
        </w:rPr>
        <w:t>《四川省固定污染源大气挥发性有机物排放标准》（DB 51/2377</w:t>
      </w:r>
      <w:r>
        <w:rPr>
          <w:rFonts w:hint="eastAsia" w:ascii="Times New Roman" w:hAnsi="Times New Roman" w:cs="Times New Roman"/>
          <w:color w:val="000000"/>
          <w:sz w:val="24"/>
          <w:szCs w:val="22"/>
          <w:highlight w:val="none"/>
          <w:lang w:eastAsia="zh-CN"/>
        </w:rPr>
        <w:t>—</w:t>
      </w:r>
      <w:r>
        <w:rPr>
          <w:rFonts w:hint="default" w:ascii="Times New Roman" w:hAnsi="Times New Roman" w:cs="Times New Roman"/>
          <w:color w:val="000000"/>
          <w:sz w:val="24"/>
          <w:szCs w:val="22"/>
          <w:highlight w:val="none"/>
        </w:rPr>
        <w:t>2017）和《大气污染综合排放标准》（GB16297</w:t>
      </w:r>
      <w:r>
        <w:rPr>
          <w:rFonts w:hint="eastAsia" w:ascii="Times New Roman" w:hAnsi="Times New Roman" w:cs="Times New Roman"/>
          <w:color w:val="000000"/>
          <w:sz w:val="24"/>
          <w:szCs w:val="22"/>
          <w:highlight w:val="none"/>
          <w:lang w:eastAsia="zh-CN"/>
        </w:rPr>
        <w:t>—</w:t>
      </w:r>
      <w:r>
        <w:rPr>
          <w:rFonts w:hint="default" w:ascii="Times New Roman" w:hAnsi="Times New Roman" w:cs="Times New Roman"/>
          <w:color w:val="000000"/>
          <w:sz w:val="24"/>
          <w:szCs w:val="22"/>
          <w:highlight w:val="none"/>
        </w:rPr>
        <w:t>1996）</w:t>
      </w:r>
      <w:bookmarkEnd w:id="15"/>
      <w:r>
        <w:rPr>
          <w:rFonts w:hint="default" w:ascii="Times New Roman" w:hAnsi="Times New Roman" w:cs="Times New Roman"/>
          <w:color w:val="000000"/>
          <w:sz w:val="24"/>
          <w:szCs w:val="22"/>
          <w:highlight w:val="none"/>
        </w:rPr>
        <w:t>，执行标准排放限值宽松，存在监测方法、源头和工艺过程控制要求缺失等问题，难以适应当前的环境管理需要。</w:t>
      </w:r>
    </w:p>
    <w:p w14:paraId="1E7BAB8F">
      <w:pPr>
        <w:keepNext w:val="0"/>
        <w:keepLines w:val="0"/>
        <w:pageBreakBefore w:val="0"/>
        <w:widowControl/>
        <w:kinsoku/>
        <w:wordWrap/>
        <w:autoSpaceDE/>
        <w:autoSpaceDN/>
        <w:bidi w:val="0"/>
        <w:spacing w:line="360" w:lineRule="auto"/>
        <w:ind w:firstLine="480" w:firstLineChars="200"/>
        <w:rPr>
          <w:rFonts w:hint="default" w:ascii="Times New Roman" w:hAnsi="Times New Roman" w:cs="Times New Roman"/>
          <w:color w:val="000000"/>
          <w:sz w:val="24"/>
          <w:szCs w:val="22"/>
          <w:highlight w:val="none"/>
        </w:rPr>
      </w:pPr>
      <w:r>
        <w:rPr>
          <w:rFonts w:hint="default" w:ascii="Times New Roman" w:hAnsi="Times New Roman" w:cs="Times New Roman"/>
          <w:color w:val="000000"/>
          <w:sz w:val="24"/>
          <w:szCs w:val="22"/>
          <w:highlight w:val="none"/>
          <w:lang w:eastAsia="zh-CN"/>
        </w:rPr>
        <w:t>调研显示，我省汽车维修行业企业大气污染防治</w:t>
      </w:r>
      <w:r>
        <w:rPr>
          <w:rFonts w:hint="default" w:ascii="Times New Roman" w:hAnsi="Times New Roman" w:cs="Times New Roman"/>
          <w:color w:val="000000"/>
          <w:sz w:val="24"/>
          <w:szCs w:val="22"/>
          <w:highlight w:val="none"/>
        </w:rPr>
        <w:t>技术水平</w:t>
      </w:r>
      <w:r>
        <w:rPr>
          <w:rFonts w:hint="default" w:ascii="Times New Roman" w:hAnsi="Times New Roman" w:cs="Times New Roman"/>
          <w:color w:val="000000"/>
          <w:sz w:val="24"/>
          <w:szCs w:val="22"/>
          <w:highlight w:val="none"/>
          <w:lang w:eastAsia="zh-CN"/>
        </w:rPr>
        <w:t>不高</w:t>
      </w:r>
      <w:r>
        <w:rPr>
          <w:rFonts w:hint="default" w:ascii="Times New Roman" w:hAnsi="Times New Roman" w:cs="Times New Roman"/>
          <w:color w:val="000000"/>
          <w:sz w:val="24"/>
          <w:szCs w:val="22"/>
          <w:highlight w:val="none"/>
        </w:rPr>
        <w:t>，</w:t>
      </w:r>
      <w:r>
        <w:rPr>
          <w:rFonts w:hint="default" w:ascii="Times New Roman" w:hAnsi="Times New Roman" w:cs="Times New Roman"/>
          <w:color w:val="000000"/>
          <w:sz w:val="24"/>
          <w:szCs w:val="22"/>
          <w:highlight w:val="none"/>
          <w:lang w:eastAsia="zh-CN"/>
        </w:rPr>
        <w:t>低</w:t>
      </w:r>
      <w:r>
        <w:rPr>
          <w:rFonts w:hint="default" w:ascii="Times New Roman" w:hAnsi="Times New Roman" w:cs="Times New Roman"/>
          <w:color w:val="000000"/>
          <w:sz w:val="24"/>
          <w:szCs w:val="22"/>
          <w:highlight w:val="none"/>
          <w:lang w:val="en-US" w:eastAsia="zh-CN"/>
        </w:rPr>
        <w:t>VOCs</w:t>
      </w:r>
      <w:r>
        <w:rPr>
          <w:rFonts w:hint="eastAsia" w:cs="Times New Roman"/>
          <w:color w:val="000000"/>
          <w:sz w:val="24"/>
          <w:szCs w:val="22"/>
          <w:highlight w:val="none"/>
          <w:lang w:val="en-US" w:eastAsia="zh-CN"/>
        </w:rPr>
        <w:t>原辅料</w:t>
      </w:r>
      <w:r>
        <w:rPr>
          <w:rFonts w:hint="default" w:ascii="Times New Roman" w:hAnsi="Times New Roman" w:cs="Times New Roman"/>
          <w:color w:val="000000"/>
          <w:sz w:val="24"/>
          <w:szCs w:val="22"/>
          <w:highlight w:val="none"/>
          <w:lang w:eastAsia="zh-CN"/>
        </w:rPr>
        <w:t>替代缓慢，大气无组织排放问题突出，末端治理设施以单一低效为主，治理效果差</w:t>
      </w:r>
      <w:r>
        <w:rPr>
          <w:rFonts w:hint="default" w:ascii="Times New Roman" w:hAnsi="Times New Roman" w:cs="Times New Roman"/>
          <w:color w:val="000000"/>
          <w:sz w:val="24"/>
          <w:szCs w:val="22"/>
          <w:highlight w:val="none"/>
        </w:rPr>
        <w:t>，</w:t>
      </w:r>
      <w:r>
        <w:rPr>
          <w:rFonts w:hint="default" w:ascii="Times New Roman" w:hAnsi="Times New Roman" w:cs="Times New Roman"/>
          <w:color w:val="000000"/>
          <w:sz w:val="24"/>
          <w:szCs w:val="22"/>
          <w:highlight w:val="none"/>
          <w:lang w:eastAsia="zh-CN"/>
        </w:rPr>
        <w:t>但现行排放标准已无法有效约束</w:t>
      </w:r>
      <w:r>
        <w:rPr>
          <w:rFonts w:hint="default" w:ascii="Times New Roman" w:hAnsi="Times New Roman" w:cs="Times New Roman"/>
          <w:color w:val="000000"/>
          <w:sz w:val="24"/>
          <w:szCs w:val="22"/>
          <w:highlight w:val="none"/>
        </w:rPr>
        <w:t>汽修行业</w:t>
      </w:r>
      <w:r>
        <w:rPr>
          <w:rFonts w:hint="default" w:ascii="Times New Roman" w:hAnsi="Times New Roman" w:cs="Times New Roman"/>
          <w:color w:val="000000"/>
          <w:sz w:val="24"/>
          <w:szCs w:val="22"/>
          <w:highlight w:val="none"/>
          <w:lang w:eastAsia="zh-CN"/>
        </w:rPr>
        <w:t>综合整治，亟需</w:t>
      </w:r>
      <w:r>
        <w:rPr>
          <w:rFonts w:hint="default" w:ascii="Times New Roman" w:hAnsi="Times New Roman" w:cs="Times New Roman"/>
          <w:color w:val="000000"/>
          <w:sz w:val="24"/>
          <w:szCs w:val="22"/>
          <w:highlight w:val="none"/>
        </w:rPr>
        <w:t>制定汽</w:t>
      </w:r>
      <w:r>
        <w:rPr>
          <w:rFonts w:hint="default" w:ascii="Times New Roman" w:hAnsi="Times New Roman" w:cs="Times New Roman"/>
          <w:color w:val="000000"/>
          <w:sz w:val="24"/>
          <w:szCs w:val="22"/>
          <w:highlight w:val="none"/>
          <w:lang w:eastAsia="zh-CN"/>
        </w:rPr>
        <w:t>车维修</w:t>
      </w:r>
      <w:r>
        <w:rPr>
          <w:rFonts w:hint="default" w:ascii="Times New Roman" w:hAnsi="Times New Roman" w:cs="Times New Roman"/>
          <w:color w:val="000000"/>
          <w:sz w:val="24"/>
          <w:szCs w:val="22"/>
          <w:highlight w:val="none"/>
        </w:rPr>
        <w:t>行业大气污染排放标准</w:t>
      </w:r>
      <w:r>
        <w:rPr>
          <w:rFonts w:hint="default" w:ascii="Times New Roman" w:hAnsi="Times New Roman" w:cs="Times New Roman"/>
          <w:color w:val="000000"/>
          <w:sz w:val="24"/>
          <w:szCs w:val="22"/>
          <w:highlight w:val="none"/>
          <w:lang w:eastAsia="zh-CN"/>
        </w:rPr>
        <w:t>来推动行业高质量绿色发展</w:t>
      </w:r>
      <w:r>
        <w:rPr>
          <w:rFonts w:hint="default" w:ascii="Times New Roman" w:hAnsi="Times New Roman" w:cs="Times New Roman"/>
          <w:color w:val="000000"/>
          <w:sz w:val="24"/>
          <w:szCs w:val="22"/>
          <w:highlight w:val="none"/>
        </w:rPr>
        <w:t>。</w:t>
      </w:r>
    </w:p>
    <w:p w14:paraId="64D9FF0A">
      <w:pPr>
        <w:pStyle w:val="3"/>
        <w:keepNext w:val="0"/>
        <w:keepLines w:val="0"/>
        <w:pageBreakBefore w:val="0"/>
        <w:widowControl/>
        <w:kinsoku/>
        <w:wordWrap/>
        <w:autoSpaceDE/>
        <w:autoSpaceDN/>
        <w:bidi w:val="0"/>
        <w:rPr>
          <w:rFonts w:hint="default" w:ascii="Times New Roman" w:hAnsi="Times New Roman" w:cs="Times New Roman"/>
          <w:highlight w:val="none"/>
        </w:rPr>
      </w:pPr>
      <w:bookmarkStart w:id="16" w:name="_Toc22256"/>
      <w:r>
        <w:rPr>
          <w:rFonts w:hint="default" w:ascii="Times New Roman" w:hAnsi="Times New Roman" w:cs="Times New Roman"/>
          <w:highlight w:val="none"/>
          <w:lang w:val="en-US" w:eastAsia="zh-CN"/>
        </w:rPr>
        <w:t>政策法规的要求</w:t>
      </w:r>
      <w:bookmarkEnd w:id="16"/>
    </w:p>
    <w:p w14:paraId="5705E965">
      <w:pPr>
        <w:keepNext w:val="0"/>
        <w:keepLines w:val="0"/>
        <w:pageBreakBefore w:val="0"/>
        <w:widowControl/>
        <w:kinsoku/>
        <w:wordWrap/>
        <w:autoSpaceDE/>
        <w:autoSpaceDN/>
        <w:bidi w:val="0"/>
        <w:spacing w:line="360" w:lineRule="auto"/>
        <w:ind w:firstLine="480" w:firstLineChars="200"/>
        <w:rPr>
          <w:rFonts w:hint="default" w:ascii="Times New Roman" w:hAnsi="Times New Roman" w:cs="Times New Roman"/>
          <w:sz w:val="24"/>
          <w:highlight w:val="none"/>
          <w:lang w:val="en-US" w:eastAsia="zh-CN"/>
        </w:rPr>
      </w:pPr>
      <w:bookmarkStart w:id="17" w:name="_Toc120541830"/>
      <w:r>
        <w:rPr>
          <w:rFonts w:hint="default" w:ascii="Times New Roman" w:hAnsi="Times New Roman" w:cs="Times New Roman"/>
          <w:sz w:val="24"/>
          <w:highlight w:val="none"/>
          <w:lang w:val="en-US" w:eastAsia="zh-CN"/>
        </w:rPr>
        <w:t>2023年，国务院印发《空气质量持续改善行动计划》，要求推进各地建设钣喷共享中心，配套建设适宜高效VOCs治理设施，钣喷共享中心辐射服务范围逐步取消使用溶剂型涂料的钣喷车间。2024年，国务院印发《推动大规模设备更新和消费品以旧换新行动方案》，要求实施标准提升行动，加快完善重点行业排放标准，优化提升大气、水污染物等排放控制水平。</w:t>
      </w:r>
    </w:p>
    <w:p w14:paraId="471BA7A6">
      <w:pPr>
        <w:keepNext w:val="0"/>
        <w:keepLines w:val="0"/>
        <w:pageBreakBefore w:val="0"/>
        <w:widowControl/>
        <w:kinsoku/>
        <w:wordWrap/>
        <w:autoSpaceDE/>
        <w:autoSpaceDN/>
        <w:bidi w:val="0"/>
        <w:spacing w:line="360" w:lineRule="auto"/>
        <w:ind w:firstLine="480" w:firstLineChars="200"/>
        <w:rPr>
          <w:rFonts w:hint="default" w:ascii="Times New Roman" w:hAnsi="Times New Roman" w:eastAsia="宋体" w:cs="Times New Roman"/>
          <w:sz w:val="24"/>
          <w:szCs w:val="24"/>
          <w:highlight w:val="none"/>
          <w:lang w:val="en-US" w:eastAsia="zh-CN"/>
        </w:rPr>
      </w:pPr>
      <w:r>
        <w:rPr>
          <w:rFonts w:hint="default" w:ascii="Times New Roman" w:hAnsi="Times New Roman" w:cs="Times New Roman"/>
          <w:sz w:val="24"/>
          <w:highlight w:val="none"/>
        </w:rPr>
        <w:t>2020年，</w:t>
      </w:r>
      <w:r>
        <w:rPr>
          <w:rFonts w:hint="default" w:ascii="Times New Roman" w:hAnsi="Times New Roman" w:cs="Times New Roman"/>
          <w:sz w:val="24"/>
          <w:highlight w:val="none"/>
          <w:lang w:eastAsia="zh-CN"/>
        </w:rPr>
        <w:t>四川省</w:t>
      </w:r>
      <w:r>
        <w:rPr>
          <w:rFonts w:hint="default" w:ascii="Times New Roman" w:hAnsi="Times New Roman" w:cs="Times New Roman"/>
          <w:sz w:val="24"/>
          <w:highlight w:val="none"/>
        </w:rPr>
        <w:t>生态环境厅印发《四川省2020年臭氧污染防控工作方案》，要求全面推广</w:t>
      </w:r>
      <w:r>
        <w:rPr>
          <w:rFonts w:hint="default" w:ascii="Times New Roman" w:hAnsi="Times New Roman" w:cs="Times New Roman"/>
          <w:sz w:val="24"/>
          <w:highlight w:val="none"/>
          <w:lang w:eastAsia="zh-CN"/>
        </w:rPr>
        <w:t>汽车维修</w:t>
      </w:r>
      <w:r>
        <w:rPr>
          <w:rFonts w:hint="default" w:ascii="Times New Roman" w:hAnsi="Times New Roman" w:cs="Times New Roman"/>
          <w:sz w:val="24"/>
          <w:highlight w:val="none"/>
        </w:rPr>
        <w:t>行业使用低挥发性涂料，</w:t>
      </w:r>
      <w:r>
        <w:rPr>
          <w:rFonts w:hint="default" w:ascii="Times New Roman" w:hAnsi="Times New Roman" w:cs="Times New Roman"/>
          <w:sz w:val="24"/>
          <w:highlight w:val="none"/>
          <w:lang w:val="en-US" w:eastAsia="zh-CN"/>
        </w:rPr>
        <w:t>2023年，省污染防治攻坚办印发《2023年臭氧污染防治攻坚》，要求开展汽车维修行业VOCs治理问题排查整治，确保废气治理设施稳定有效运行。2024年《</w:t>
      </w:r>
      <w:r>
        <w:rPr>
          <w:rFonts w:hint="default" w:ascii="Times New Roman" w:hAnsi="Times New Roman" w:eastAsia="宋体" w:cs="Times New Roman"/>
          <w:sz w:val="24"/>
          <w:szCs w:val="24"/>
          <w:highlight w:val="none"/>
        </w:rPr>
        <w:t>四川省空气质量持续改善行动计划实施方案</w:t>
      </w:r>
      <w:r>
        <w:rPr>
          <w:rFonts w:hint="default" w:ascii="Times New Roman" w:hAnsi="Times New Roman" w:cs="Times New Roman"/>
          <w:sz w:val="24"/>
          <w:highlight w:val="none"/>
          <w:lang w:val="en-US" w:eastAsia="zh-CN"/>
        </w:rPr>
        <w:t>》提出实施环境政策标准体系健全行动，明确要</w:t>
      </w:r>
      <w:r>
        <w:rPr>
          <w:rFonts w:hint="default" w:ascii="Times New Roman" w:hAnsi="Times New Roman" w:cs="Times New Roman"/>
          <w:sz w:val="24"/>
          <w:highlight w:val="none"/>
        </w:rPr>
        <w:t>编制或修订</w:t>
      </w:r>
      <w:r>
        <w:rPr>
          <w:rFonts w:hint="default" w:ascii="Times New Roman" w:hAnsi="Times New Roman" w:cs="Times New Roman"/>
          <w:sz w:val="24"/>
          <w:highlight w:val="none"/>
          <w:lang w:eastAsia="zh-CN"/>
        </w:rPr>
        <w:t>包括</w:t>
      </w:r>
      <w:r>
        <w:rPr>
          <w:rFonts w:hint="default" w:ascii="Times New Roman" w:hAnsi="Times New Roman" w:cs="Times New Roman"/>
          <w:b/>
          <w:bCs/>
          <w:sz w:val="24"/>
          <w:highlight w:val="none"/>
        </w:rPr>
        <w:t>汽车维修</w:t>
      </w:r>
      <w:r>
        <w:rPr>
          <w:rFonts w:hint="default" w:ascii="Times New Roman" w:hAnsi="Times New Roman" w:cs="Times New Roman"/>
          <w:b/>
          <w:bCs/>
          <w:sz w:val="24"/>
          <w:highlight w:val="none"/>
          <w:lang w:eastAsia="zh-CN"/>
        </w:rPr>
        <w:t>行业在内的</w:t>
      </w:r>
      <w:r>
        <w:rPr>
          <w:rFonts w:hint="default" w:ascii="Times New Roman" w:hAnsi="Times New Roman" w:cs="Times New Roman"/>
          <w:sz w:val="24"/>
          <w:highlight w:val="none"/>
        </w:rPr>
        <w:t>大气污染物排放标准</w:t>
      </w:r>
      <w:r>
        <w:rPr>
          <w:rFonts w:hint="default" w:ascii="Times New Roman" w:hAnsi="Times New Roman" w:cs="Times New Roman"/>
          <w:sz w:val="24"/>
          <w:highlight w:val="none"/>
          <w:lang w:eastAsia="zh-CN"/>
        </w:rPr>
        <w:t>。</w:t>
      </w:r>
    </w:p>
    <w:p w14:paraId="67E57EBE">
      <w:pPr>
        <w:pStyle w:val="2"/>
        <w:keepNext w:val="0"/>
        <w:keepLines w:val="0"/>
        <w:pageBreakBefore w:val="0"/>
        <w:widowControl/>
        <w:kinsoku/>
        <w:wordWrap/>
        <w:autoSpaceDE/>
        <w:autoSpaceDN/>
        <w:bidi w:val="0"/>
        <w:rPr>
          <w:rFonts w:hint="default" w:ascii="Times New Roman" w:hAnsi="Times New Roman" w:cs="Times New Roman"/>
          <w:highlight w:val="none"/>
        </w:rPr>
      </w:pPr>
      <w:bookmarkStart w:id="18" w:name="_Toc29631"/>
      <w:r>
        <w:rPr>
          <w:rFonts w:hint="default" w:ascii="Times New Roman" w:hAnsi="Times New Roman" w:cs="Times New Roman"/>
          <w:highlight w:val="none"/>
        </w:rPr>
        <w:t>国内外汽修行业大气污染物标准调研</w:t>
      </w:r>
      <w:bookmarkEnd w:id="17"/>
      <w:bookmarkEnd w:id="18"/>
    </w:p>
    <w:p w14:paraId="09EADA19">
      <w:pPr>
        <w:pStyle w:val="3"/>
        <w:keepNext w:val="0"/>
        <w:keepLines w:val="0"/>
        <w:pageBreakBefore w:val="0"/>
        <w:widowControl/>
        <w:kinsoku/>
        <w:wordWrap/>
        <w:autoSpaceDE/>
        <w:autoSpaceDN/>
        <w:bidi w:val="0"/>
        <w:rPr>
          <w:rFonts w:hint="default" w:ascii="Times New Roman" w:hAnsi="Times New Roman" w:cs="Times New Roman"/>
          <w:highlight w:val="none"/>
        </w:rPr>
      </w:pPr>
      <w:bookmarkStart w:id="19" w:name="_Toc569"/>
      <w:bookmarkStart w:id="20" w:name="_Toc120541831"/>
      <w:r>
        <w:rPr>
          <w:rFonts w:hint="default" w:ascii="Times New Roman" w:hAnsi="Times New Roman" w:cs="Times New Roman"/>
          <w:highlight w:val="none"/>
        </w:rPr>
        <w:t>国外排放标准</w:t>
      </w:r>
      <w:bookmarkEnd w:id="19"/>
      <w:bookmarkEnd w:id="20"/>
    </w:p>
    <w:p w14:paraId="14A6127A">
      <w:pPr>
        <w:pStyle w:val="4"/>
        <w:keepNext w:val="0"/>
        <w:keepLines w:val="0"/>
        <w:pageBreakBefore w:val="0"/>
        <w:widowControl/>
        <w:kinsoku/>
        <w:wordWrap/>
        <w:autoSpaceDE/>
        <w:autoSpaceDN/>
        <w:bidi w:val="0"/>
        <w:rPr>
          <w:rFonts w:hint="default" w:ascii="Times New Roman" w:hAnsi="Times New Roman" w:cs="Times New Roman"/>
          <w:highlight w:val="none"/>
        </w:rPr>
      </w:pPr>
      <w:bookmarkStart w:id="21" w:name="_Toc29127"/>
      <w:bookmarkStart w:id="22" w:name="_Toc120541832"/>
      <w:r>
        <w:rPr>
          <w:rFonts w:hint="default" w:ascii="Times New Roman" w:hAnsi="Times New Roman" w:cs="Times New Roman"/>
          <w:highlight w:val="none"/>
        </w:rPr>
        <w:t>美国</w:t>
      </w:r>
      <w:bookmarkEnd w:id="21"/>
      <w:bookmarkStart w:id="23" w:name="OLE_LINK5"/>
    </w:p>
    <w:p w14:paraId="6020B317">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美国EPA颁布《汽车修补漆挥发性有机化合物排放国家标准（40CFR第59部分）》</w:t>
      </w:r>
      <w:r>
        <w:rPr>
          <w:rFonts w:hint="eastAsia" w:cs="Times New Roman"/>
          <w:highlight w:val="none"/>
          <w:lang w:eastAsia="zh-CN"/>
        </w:rPr>
        <w:t>（</w:t>
      </w:r>
      <w:r>
        <w:rPr>
          <w:rFonts w:hint="default" w:ascii="Times New Roman" w:hAnsi="Times New Roman" w:cs="Times New Roman"/>
          <w:highlight w:val="none"/>
        </w:rPr>
        <w:t xml:space="preserve">National Volatile Organic Compound Emission Standards for Automobile Refinish Coatings </w:t>
      </w:r>
      <w:r>
        <w:rPr>
          <w:rFonts w:hint="eastAsia" w:cs="Times New Roman"/>
          <w:highlight w:val="none"/>
          <w:lang w:eastAsia="zh-CN"/>
        </w:rPr>
        <w:t>（</w:t>
      </w:r>
      <w:r>
        <w:rPr>
          <w:rFonts w:hint="default" w:ascii="Times New Roman" w:hAnsi="Times New Roman" w:cs="Times New Roman"/>
          <w:highlight w:val="none"/>
        </w:rPr>
        <w:t>40CFR Part 59</w:t>
      </w:r>
      <w:r>
        <w:rPr>
          <w:rFonts w:hint="eastAsia" w:cs="Times New Roman"/>
          <w:highlight w:val="none"/>
          <w:lang w:eastAsia="zh-CN"/>
        </w:rPr>
        <w:t>））</w:t>
      </w:r>
      <w:bookmarkEnd w:id="23"/>
      <w:r>
        <w:rPr>
          <w:rFonts w:hint="default" w:ascii="Times New Roman" w:hAnsi="Times New Roman" w:cs="Times New Roman"/>
          <w:highlight w:val="none"/>
        </w:rPr>
        <w:t>，规定了汽修行业中所用涂料含量限值，见表</w:t>
      </w:r>
      <w:r>
        <w:rPr>
          <w:rFonts w:hint="default" w:ascii="Times New Roman" w:hAnsi="Times New Roman" w:cs="Times New Roman"/>
          <w:highlight w:val="none"/>
          <w:lang w:val="en-US" w:eastAsia="zh-CN"/>
        </w:rPr>
        <w:t>3.1</w:t>
      </w:r>
      <w:r>
        <w:rPr>
          <w:rFonts w:hint="default" w:ascii="Times New Roman" w:hAnsi="Times New Roman" w:cs="Times New Roman"/>
          <w:highlight w:val="none"/>
        </w:rPr>
        <w:t>-1。</w:t>
      </w:r>
    </w:p>
    <w:p w14:paraId="315E8279">
      <w:pPr>
        <w:keepNext w:val="0"/>
        <w:keepLines w:val="0"/>
        <w:pageBreakBefore w:val="0"/>
        <w:widowControl/>
        <w:kinsoku/>
        <w:wordWrap/>
        <w:autoSpaceDE/>
        <w:autoSpaceDN/>
        <w:bidi w:val="0"/>
        <w:ind w:left="0" w:leftChars="0" w:firstLine="0" w:firstLineChars="0"/>
        <w:jc w:val="center"/>
        <w:rPr>
          <w:rFonts w:hint="default" w:ascii="Times New Roman" w:hAnsi="Times New Roman" w:cs="Times New Roman"/>
          <w:highlight w:val="none"/>
        </w:rPr>
      </w:pPr>
      <w:r>
        <w:rPr>
          <w:rFonts w:hint="default" w:ascii="Times New Roman" w:hAnsi="Times New Roman" w:cs="Times New Roman"/>
          <w:highlight w:val="none"/>
        </w:rPr>
        <w:t>表</w:t>
      </w:r>
      <w:r>
        <w:rPr>
          <w:rFonts w:hint="default" w:ascii="Times New Roman" w:hAnsi="Times New Roman" w:cs="Times New Roman"/>
          <w:highlight w:val="none"/>
          <w:lang w:val="en-US" w:eastAsia="zh-CN"/>
        </w:rPr>
        <w:t>3.1</w:t>
      </w:r>
      <w:r>
        <w:rPr>
          <w:rFonts w:hint="default" w:ascii="Times New Roman" w:hAnsi="Times New Roman" w:cs="Times New Roman"/>
          <w:highlight w:val="none"/>
        </w:rPr>
        <w:t>-1 美国车辆表面喷涂VOCs含量标准</w:t>
      </w:r>
    </w:p>
    <w:tbl>
      <w:tblPr>
        <w:tblStyle w:val="21"/>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60"/>
        <w:gridCol w:w="4262"/>
      </w:tblGrid>
      <w:tr w14:paraId="63662D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jc w:val="center"/>
        </w:trPr>
        <w:tc>
          <w:tcPr>
            <w:tcW w:w="2499" w:type="pct"/>
            <w:tcBorders>
              <w:top w:val="single" w:color="auto" w:sz="4" w:space="0"/>
              <w:bottom w:val="single" w:color="auto" w:sz="4" w:space="0"/>
            </w:tcBorders>
            <w:noWrap w:val="0"/>
            <w:vAlign w:val="top"/>
          </w:tcPr>
          <w:p w14:paraId="1CCEFEDC">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b/>
                <w:bCs/>
                <w:sz w:val="21"/>
                <w:szCs w:val="21"/>
                <w:highlight w:val="none"/>
              </w:rPr>
            </w:pPr>
            <w:r>
              <w:rPr>
                <w:rFonts w:hint="default" w:ascii="Times New Roman" w:hAnsi="Times New Roman" w:cs="Times New Roman" w:eastAsiaTheme="minorEastAsia"/>
                <w:b/>
                <w:bCs/>
                <w:sz w:val="21"/>
                <w:szCs w:val="21"/>
                <w:highlight w:val="none"/>
              </w:rPr>
              <w:t>涂料类型</w:t>
            </w:r>
          </w:p>
        </w:tc>
        <w:tc>
          <w:tcPr>
            <w:tcW w:w="2500" w:type="pct"/>
            <w:tcBorders>
              <w:top w:val="single" w:color="auto" w:sz="4" w:space="0"/>
              <w:bottom w:val="single" w:color="auto" w:sz="4" w:space="0"/>
            </w:tcBorders>
            <w:noWrap w:val="0"/>
            <w:vAlign w:val="top"/>
          </w:tcPr>
          <w:p w14:paraId="6EDE701E">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b/>
                <w:bCs/>
                <w:sz w:val="21"/>
                <w:szCs w:val="21"/>
                <w:highlight w:val="none"/>
              </w:rPr>
            </w:pPr>
            <w:r>
              <w:rPr>
                <w:rFonts w:hint="default" w:ascii="Times New Roman" w:hAnsi="Times New Roman" w:cs="Times New Roman" w:eastAsiaTheme="minorEastAsia"/>
                <w:b/>
                <w:bCs/>
                <w:sz w:val="21"/>
                <w:szCs w:val="21"/>
                <w:highlight w:val="none"/>
              </w:rPr>
              <w:t>VOCs含量（g/L）</w:t>
            </w:r>
            <w:r>
              <w:rPr>
                <w:rFonts w:hint="default" w:ascii="Times New Roman" w:hAnsi="Times New Roman" w:cs="Times New Roman" w:eastAsiaTheme="minorEastAsia"/>
                <w:b/>
                <w:bCs/>
                <w:sz w:val="21"/>
                <w:szCs w:val="21"/>
                <w:highlight w:val="none"/>
                <w:vertAlign w:val="superscript"/>
              </w:rPr>
              <w:t>a</w:t>
            </w:r>
          </w:p>
        </w:tc>
      </w:tr>
      <w:tr w14:paraId="4D3B6C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99" w:type="pct"/>
            <w:tcBorders>
              <w:top w:val="single" w:color="auto" w:sz="4" w:space="0"/>
            </w:tcBorders>
            <w:noWrap w:val="0"/>
            <w:vAlign w:val="top"/>
          </w:tcPr>
          <w:p w14:paraId="73C405D5">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预处理清洗水</w:t>
            </w:r>
          </w:p>
        </w:tc>
        <w:tc>
          <w:tcPr>
            <w:tcW w:w="2500" w:type="pct"/>
            <w:tcBorders>
              <w:top w:val="single" w:color="auto" w:sz="4" w:space="0"/>
            </w:tcBorders>
            <w:noWrap w:val="0"/>
            <w:vAlign w:val="top"/>
          </w:tcPr>
          <w:p w14:paraId="61144EA6">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780</w:t>
            </w:r>
          </w:p>
        </w:tc>
      </w:tr>
      <w:tr w14:paraId="486ABA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99" w:type="pct"/>
            <w:noWrap w:val="0"/>
            <w:vAlign w:val="top"/>
          </w:tcPr>
          <w:p w14:paraId="4A1D36AC">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溶剂型底漆</w:t>
            </w:r>
          </w:p>
        </w:tc>
        <w:tc>
          <w:tcPr>
            <w:tcW w:w="2500" w:type="pct"/>
            <w:noWrap w:val="0"/>
            <w:vAlign w:val="top"/>
          </w:tcPr>
          <w:p w14:paraId="6E5654A1">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580</w:t>
            </w:r>
          </w:p>
        </w:tc>
      </w:tr>
      <w:tr w14:paraId="4820C2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99" w:type="pct"/>
            <w:noWrap w:val="0"/>
            <w:vAlign w:val="top"/>
          </w:tcPr>
          <w:p w14:paraId="0988985D">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底漆/底漆二道浆</w:t>
            </w:r>
          </w:p>
        </w:tc>
        <w:tc>
          <w:tcPr>
            <w:tcW w:w="2500" w:type="pct"/>
            <w:noWrap w:val="0"/>
            <w:vAlign w:val="top"/>
          </w:tcPr>
          <w:p w14:paraId="774913D8">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575</w:t>
            </w:r>
          </w:p>
        </w:tc>
      </w:tr>
      <w:tr w14:paraId="1875CA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99" w:type="pct"/>
            <w:noWrap w:val="0"/>
            <w:vAlign w:val="top"/>
          </w:tcPr>
          <w:p w14:paraId="3B6BE3E1">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底漆密封</w:t>
            </w:r>
          </w:p>
        </w:tc>
        <w:tc>
          <w:tcPr>
            <w:tcW w:w="2500" w:type="pct"/>
            <w:noWrap w:val="0"/>
            <w:vAlign w:val="top"/>
          </w:tcPr>
          <w:p w14:paraId="7BF855A4">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550</w:t>
            </w:r>
          </w:p>
        </w:tc>
      </w:tr>
      <w:tr w14:paraId="2F6708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99" w:type="pct"/>
            <w:noWrap w:val="0"/>
            <w:vAlign w:val="top"/>
          </w:tcPr>
          <w:p w14:paraId="0906C719">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单级/2级面漆</w:t>
            </w:r>
          </w:p>
        </w:tc>
        <w:tc>
          <w:tcPr>
            <w:tcW w:w="2500" w:type="pct"/>
            <w:noWrap w:val="0"/>
            <w:vAlign w:val="top"/>
          </w:tcPr>
          <w:p w14:paraId="755B618A">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600</w:t>
            </w:r>
          </w:p>
        </w:tc>
      </w:tr>
      <w:tr w14:paraId="0223F3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99" w:type="pct"/>
            <w:tcBorders>
              <w:bottom w:val="single" w:color="auto" w:sz="4" w:space="0"/>
            </w:tcBorders>
            <w:noWrap w:val="0"/>
            <w:vAlign w:val="top"/>
          </w:tcPr>
          <w:p w14:paraId="390FFDD9">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3级或更多级面漆</w:t>
            </w:r>
          </w:p>
        </w:tc>
        <w:tc>
          <w:tcPr>
            <w:tcW w:w="2500" w:type="pct"/>
            <w:tcBorders>
              <w:bottom w:val="single" w:color="auto" w:sz="4" w:space="0"/>
            </w:tcBorders>
            <w:noWrap w:val="0"/>
            <w:vAlign w:val="top"/>
          </w:tcPr>
          <w:p w14:paraId="4D4A891A">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625</w:t>
            </w:r>
          </w:p>
        </w:tc>
      </w:tr>
      <w:tr w14:paraId="1E7D1A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99" w:type="pct"/>
            <w:tcBorders>
              <w:bottom w:val="single" w:color="auto" w:sz="4" w:space="0"/>
            </w:tcBorders>
            <w:noWrap w:val="0"/>
            <w:vAlign w:val="top"/>
          </w:tcPr>
          <w:p w14:paraId="6CAB362D">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特殊涂料</w:t>
            </w:r>
            <w:r>
              <w:rPr>
                <w:rFonts w:hint="default" w:ascii="Times New Roman" w:hAnsi="Times New Roman" w:cs="Times New Roman" w:eastAsiaTheme="minorEastAsia"/>
                <w:sz w:val="21"/>
                <w:szCs w:val="21"/>
                <w:highlight w:val="none"/>
                <w:vertAlign w:val="superscript"/>
              </w:rPr>
              <w:t>b</w:t>
            </w:r>
          </w:p>
        </w:tc>
        <w:tc>
          <w:tcPr>
            <w:tcW w:w="2500" w:type="pct"/>
            <w:tcBorders>
              <w:bottom w:val="single" w:color="auto" w:sz="4" w:space="0"/>
            </w:tcBorders>
            <w:noWrap w:val="0"/>
            <w:vAlign w:val="top"/>
          </w:tcPr>
          <w:p w14:paraId="2E4166A9">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840</w:t>
            </w:r>
          </w:p>
        </w:tc>
      </w:tr>
      <w:tr w14:paraId="7B0318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99" w:type="pct"/>
            <w:tcBorders>
              <w:bottom w:val="single" w:color="auto" w:sz="4" w:space="0"/>
            </w:tcBorders>
            <w:noWrap w:val="0"/>
            <w:vAlign w:val="top"/>
          </w:tcPr>
          <w:p w14:paraId="7E249961">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封填底漆</w:t>
            </w:r>
          </w:p>
        </w:tc>
        <w:tc>
          <w:tcPr>
            <w:tcW w:w="2500" w:type="pct"/>
            <w:tcBorders>
              <w:bottom w:val="single" w:color="auto" w:sz="4" w:space="0"/>
            </w:tcBorders>
            <w:noWrap w:val="0"/>
            <w:vAlign w:val="top"/>
          </w:tcPr>
          <w:p w14:paraId="01EEDEAE">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550</w:t>
            </w:r>
          </w:p>
        </w:tc>
      </w:tr>
    </w:tbl>
    <w:p w14:paraId="4B7DB1F2">
      <w:pPr>
        <w:keepNext w:val="0"/>
        <w:keepLines w:val="0"/>
        <w:pageBreakBefore w:val="0"/>
        <w:widowControl/>
        <w:kinsoku/>
        <w:wordWrap/>
        <w:overflowPunct/>
        <w:topLinePunct w:val="0"/>
        <w:autoSpaceDE/>
        <w:autoSpaceDN/>
        <w:bidi w:val="0"/>
        <w:adjustRightInd/>
        <w:snapToGrid/>
        <w:spacing w:line="240" w:lineRule="auto"/>
        <w:textAlignment w:val="auto"/>
        <w:rPr>
          <w:rFonts w:hint="default" w:ascii="Times New Roman" w:hAnsi="Times New Roman" w:cs="Times New Roman"/>
          <w:sz w:val="18"/>
          <w:szCs w:val="18"/>
          <w:highlight w:val="none"/>
        </w:rPr>
      </w:pPr>
      <w:r>
        <w:rPr>
          <w:rFonts w:hint="default" w:ascii="Times New Roman" w:hAnsi="Times New Roman" w:cs="Times New Roman"/>
          <w:sz w:val="18"/>
          <w:szCs w:val="18"/>
          <w:highlight w:val="none"/>
          <w:vertAlign w:val="superscript"/>
        </w:rPr>
        <w:t>a</w:t>
      </w:r>
      <w:r>
        <w:rPr>
          <w:rFonts w:hint="default" w:ascii="Times New Roman" w:hAnsi="Times New Roman" w:cs="Times New Roman"/>
          <w:sz w:val="18"/>
          <w:szCs w:val="18"/>
          <w:highlight w:val="none"/>
        </w:rPr>
        <w:t xml:space="preserve"> VOCs含量指不含水和豁免化合物的涂料中VOCs总量。</w:t>
      </w:r>
    </w:p>
    <w:p w14:paraId="604C565C">
      <w:pPr>
        <w:keepNext w:val="0"/>
        <w:keepLines w:val="0"/>
        <w:pageBreakBefore w:val="0"/>
        <w:widowControl/>
        <w:kinsoku/>
        <w:wordWrap/>
        <w:overflowPunct/>
        <w:topLinePunct w:val="0"/>
        <w:autoSpaceDE/>
        <w:autoSpaceDN/>
        <w:bidi w:val="0"/>
        <w:adjustRightInd/>
        <w:snapToGrid/>
        <w:spacing w:line="240" w:lineRule="auto"/>
        <w:textAlignment w:val="auto"/>
        <w:rPr>
          <w:rFonts w:hint="default" w:ascii="Times New Roman" w:hAnsi="Times New Roman" w:cs="Times New Roman"/>
          <w:sz w:val="18"/>
          <w:szCs w:val="18"/>
          <w:highlight w:val="none"/>
        </w:rPr>
      </w:pPr>
      <w:r>
        <w:rPr>
          <w:rFonts w:hint="default" w:ascii="Times New Roman" w:hAnsi="Times New Roman" w:cs="Times New Roman"/>
          <w:sz w:val="18"/>
          <w:szCs w:val="18"/>
          <w:highlight w:val="none"/>
          <w:vertAlign w:val="superscript"/>
        </w:rPr>
        <w:t xml:space="preserve">b </w:t>
      </w:r>
      <w:r>
        <w:rPr>
          <w:rFonts w:hint="default" w:ascii="Times New Roman" w:hAnsi="Times New Roman" w:cs="Times New Roman"/>
          <w:sz w:val="18"/>
          <w:szCs w:val="18"/>
          <w:highlight w:val="none"/>
        </w:rPr>
        <w:t>特殊涂料包括助粘剂、防眩光/安全涂料、金属边饰修补涂料、弹性材料、耐冲击涂料、车底橡胶沥青涂料、统一修补混合物和焊接后涂料。</w:t>
      </w:r>
    </w:p>
    <w:p w14:paraId="5A3F96B4">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除此之外，美国加州和南海岸空气管理区等地方法律标准在美国EPA颁布的标准上进一步加严</w:t>
      </w:r>
      <w:r>
        <w:rPr>
          <w:rFonts w:hint="default" w:ascii="Times New Roman" w:hAnsi="Times New Roman" w:cs="Times New Roman"/>
          <w:highlight w:val="none"/>
          <w:lang w:eastAsia="zh-CN"/>
        </w:rPr>
        <w:t>。</w:t>
      </w:r>
      <w:r>
        <w:rPr>
          <w:rFonts w:hint="default" w:ascii="Times New Roman" w:hAnsi="Times New Roman" w:cs="Times New Roman"/>
          <w:highlight w:val="none"/>
        </w:rPr>
        <w:t>加州Automotive Refinishing Operations</w:t>
      </w:r>
      <w:r>
        <w:rPr>
          <w:rFonts w:hint="eastAsia" w:cs="Times New Roman"/>
          <w:highlight w:val="none"/>
          <w:lang w:eastAsia="zh-CN"/>
        </w:rPr>
        <w:t>（</w:t>
      </w:r>
      <w:r>
        <w:rPr>
          <w:rFonts w:hint="default" w:ascii="Times New Roman" w:hAnsi="Times New Roman" w:cs="Times New Roman"/>
          <w:highlight w:val="none"/>
        </w:rPr>
        <w:t>RULE1116</w:t>
      </w:r>
      <w:r>
        <w:rPr>
          <w:rFonts w:hint="eastAsia" w:cs="Times New Roman"/>
          <w:highlight w:val="none"/>
          <w:lang w:eastAsia="zh-CN"/>
        </w:rPr>
        <w:t>）</w:t>
      </w:r>
      <w:r>
        <w:rPr>
          <w:rFonts w:hint="default" w:ascii="Times New Roman" w:hAnsi="Times New Roman" w:cs="Times New Roman"/>
          <w:highlight w:val="none"/>
        </w:rPr>
        <w:t>对涂料中的VOCs含量做了限值规定，见表</w:t>
      </w:r>
      <w:r>
        <w:rPr>
          <w:rFonts w:hint="default" w:ascii="Times New Roman" w:hAnsi="Times New Roman" w:cs="Times New Roman"/>
          <w:highlight w:val="none"/>
          <w:lang w:val="en-US" w:eastAsia="zh-CN"/>
        </w:rPr>
        <w:t>3.1</w:t>
      </w:r>
      <w:r>
        <w:rPr>
          <w:rFonts w:hint="default" w:ascii="Times New Roman" w:hAnsi="Times New Roman" w:cs="Times New Roman"/>
          <w:highlight w:val="none"/>
        </w:rPr>
        <w:t>-2、表</w:t>
      </w:r>
      <w:r>
        <w:rPr>
          <w:rFonts w:hint="default" w:ascii="Times New Roman" w:hAnsi="Times New Roman" w:cs="Times New Roman"/>
          <w:highlight w:val="none"/>
          <w:lang w:val="en-US" w:eastAsia="zh-CN"/>
        </w:rPr>
        <w:t>3.1</w:t>
      </w:r>
      <w:r>
        <w:rPr>
          <w:rFonts w:hint="default" w:ascii="Times New Roman" w:hAnsi="Times New Roman" w:cs="Times New Roman"/>
          <w:highlight w:val="none"/>
        </w:rPr>
        <w:t>-3。</w:t>
      </w:r>
    </w:p>
    <w:p w14:paraId="1FEE309C">
      <w:pPr>
        <w:keepNext w:val="0"/>
        <w:keepLines w:val="0"/>
        <w:pageBreakBefore w:val="0"/>
        <w:widowControl/>
        <w:kinsoku/>
        <w:wordWrap/>
        <w:autoSpaceDE/>
        <w:autoSpaceDN/>
        <w:bidi w:val="0"/>
        <w:ind w:left="0" w:leftChars="0" w:firstLine="0" w:firstLineChars="0"/>
        <w:jc w:val="center"/>
        <w:rPr>
          <w:rFonts w:hint="default" w:ascii="Times New Roman" w:hAnsi="Times New Roman" w:cs="Times New Roman"/>
          <w:highlight w:val="none"/>
        </w:rPr>
      </w:pPr>
      <w:r>
        <w:rPr>
          <w:rFonts w:hint="default" w:ascii="Times New Roman" w:hAnsi="Times New Roman" w:cs="Times New Roman"/>
          <w:highlight w:val="none"/>
        </w:rPr>
        <w:t>表</w:t>
      </w:r>
      <w:r>
        <w:rPr>
          <w:rFonts w:hint="default" w:ascii="Times New Roman" w:hAnsi="Times New Roman" w:cs="Times New Roman"/>
          <w:highlight w:val="none"/>
          <w:lang w:val="en-US" w:eastAsia="zh-CN"/>
        </w:rPr>
        <w:t>3.1</w:t>
      </w:r>
      <w:r>
        <w:rPr>
          <w:rFonts w:hint="default" w:ascii="Times New Roman" w:hAnsi="Times New Roman" w:cs="Times New Roman"/>
          <w:highlight w:val="none"/>
        </w:rPr>
        <w:t>-2 涂料种类和VOCs限值</w:t>
      </w:r>
    </w:p>
    <w:tbl>
      <w:tblPr>
        <w:tblStyle w:val="21"/>
        <w:tblW w:w="5000"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4260"/>
        <w:gridCol w:w="4262"/>
      </w:tblGrid>
      <w:tr w14:paraId="030229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2499" w:type="pct"/>
            <w:noWrap w:val="0"/>
            <w:vAlign w:val="center"/>
          </w:tcPr>
          <w:p w14:paraId="36628990">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b/>
                <w:bCs/>
                <w:sz w:val="21"/>
                <w:szCs w:val="21"/>
                <w:highlight w:val="none"/>
              </w:rPr>
            </w:pPr>
            <w:r>
              <w:rPr>
                <w:rFonts w:hint="default" w:ascii="Times New Roman" w:hAnsi="Times New Roman" w:cs="Times New Roman" w:eastAsiaTheme="minorEastAsia"/>
                <w:b/>
                <w:bCs/>
                <w:sz w:val="21"/>
                <w:szCs w:val="21"/>
                <w:highlight w:val="none"/>
              </w:rPr>
              <w:t>涂料种类</w:t>
            </w:r>
          </w:p>
        </w:tc>
        <w:tc>
          <w:tcPr>
            <w:tcW w:w="2500" w:type="pct"/>
            <w:noWrap w:val="0"/>
            <w:vAlign w:val="center"/>
          </w:tcPr>
          <w:p w14:paraId="5A7B66D0">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b/>
                <w:bCs/>
                <w:sz w:val="21"/>
                <w:szCs w:val="21"/>
                <w:highlight w:val="none"/>
              </w:rPr>
            </w:pPr>
            <w:r>
              <w:rPr>
                <w:rFonts w:hint="default" w:ascii="Times New Roman" w:hAnsi="Times New Roman" w:cs="Times New Roman" w:eastAsiaTheme="minorEastAsia"/>
                <w:b/>
                <w:bCs/>
                <w:sz w:val="21"/>
                <w:szCs w:val="21"/>
                <w:highlight w:val="none"/>
              </w:rPr>
              <w:t>VOCs管理限值g/L（lb/gal）</w:t>
            </w:r>
          </w:p>
        </w:tc>
      </w:tr>
      <w:tr w14:paraId="6DEBD5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2499" w:type="pct"/>
            <w:noWrap w:val="0"/>
            <w:vAlign w:val="center"/>
          </w:tcPr>
          <w:p w14:paraId="441D0F4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助粘剂</w:t>
            </w:r>
          </w:p>
        </w:tc>
        <w:tc>
          <w:tcPr>
            <w:tcW w:w="2500" w:type="pct"/>
            <w:noWrap w:val="0"/>
            <w:vAlign w:val="center"/>
          </w:tcPr>
          <w:p w14:paraId="79AEC17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540（4.5）</w:t>
            </w:r>
          </w:p>
        </w:tc>
      </w:tr>
      <w:tr w14:paraId="6E71E7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2499" w:type="pct"/>
            <w:noWrap w:val="0"/>
            <w:vAlign w:val="center"/>
          </w:tcPr>
          <w:p w14:paraId="7054DA9A">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清漆</w:t>
            </w:r>
          </w:p>
        </w:tc>
        <w:tc>
          <w:tcPr>
            <w:tcW w:w="2500" w:type="pct"/>
            <w:noWrap w:val="0"/>
            <w:vAlign w:val="center"/>
          </w:tcPr>
          <w:p w14:paraId="1E69955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250（2.1）</w:t>
            </w:r>
          </w:p>
        </w:tc>
      </w:tr>
      <w:tr w14:paraId="7426F9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2499" w:type="pct"/>
            <w:noWrap w:val="0"/>
            <w:vAlign w:val="center"/>
          </w:tcPr>
          <w:p w14:paraId="1C706D4E">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色漆</w:t>
            </w:r>
          </w:p>
        </w:tc>
        <w:tc>
          <w:tcPr>
            <w:tcW w:w="2500" w:type="pct"/>
            <w:noWrap w:val="0"/>
            <w:vAlign w:val="center"/>
          </w:tcPr>
          <w:p w14:paraId="7386044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420（3.5）</w:t>
            </w:r>
          </w:p>
        </w:tc>
      </w:tr>
      <w:tr w14:paraId="65B85D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2499" w:type="pct"/>
            <w:noWrap w:val="0"/>
            <w:vAlign w:val="center"/>
          </w:tcPr>
          <w:p w14:paraId="63F9BF3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多彩色漆</w:t>
            </w:r>
          </w:p>
        </w:tc>
        <w:tc>
          <w:tcPr>
            <w:tcW w:w="2500" w:type="pct"/>
            <w:noWrap w:val="0"/>
            <w:vAlign w:val="center"/>
          </w:tcPr>
          <w:p w14:paraId="3AD217EA">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680（5.7）</w:t>
            </w:r>
          </w:p>
        </w:tc>
      </w:tr>
      <w:tr w14:paraId="53D478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2499" w:type="pct"/>
            <w:noWrap w:val="0"/>
            <w:vAlign w:val="center"/>
          </w:tcPr>
          <w:p w14:paraId="0A576FA8">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预处理漆</w:t>
            </w:r>
          </w:p>
        </w:tc>
        <w:tc>
          <w:tcPr>
            <w:tcW w:w="2500" w:type="pct"/>
            <w:noWrap w:val="0"/>
            <w:vAlign w:val="center"/>
          </w:tcPr>
          <w:p w14:paraId="4DCB6B32">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660（5.5）</w:t>
            </w:r>
          </w:p>
        </w:tc>
      </w:tr>
      <w:tr w14:paraId="03E044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2499" w:type="pct"/>
            <w:noWrap w:val="0"/>
            <w:vAlign w:val="center"/>
          </w:tcPr>
          <w:p w14:paraId="56DF9FC0">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底漆</w:t>
            </w:r>
          </w:p>
        </w:tc>
        <w:tc>
          <w:tcPr>
            <w:tcW w:w="2500" w:type="pct"/>
            <w:noWrap w:val="0"/>
            <w:vAlign w:val="center"/>
          </w:tcPr>
          <w:p w14:paraId="481A8CF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250（2.1）</w:t>
            </w:r>
          </w:p>
        </w:tc>
      </w:tr>
      <w:tr w14:paraId="7B72C4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2499" w:type="pct"/>
            <w:noWrap w:val="0"/>
            <w:vAlign w:val="center"/>
          </w:tcPr>
          <w:p w14:paraId="557B3D7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底漆封闭剂</w:t>
            </w:r>
          </w:p>
        </w:tc>
        <w:tc>
          <w:tcPr>
            <w:tcW w:w="2500" w:type="pct"/>
            <w:noWrap w:val="0"/>
            <w:vAlign w:val="center"/>
          </w:tcPr>
          <w:p w14:paraId="383A2EE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250（2.1）</w:t>
            </w:r>
          </w:p>
        </w:tc>
      </w:tr>
      <w:tr w14:paraId="7E6021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2499" w:type="pct"/>
            <w:noWrap w:val="0"/>
            <w:vAlign w:val="center"/>
          </w:tcPr>
          <w:p w14:paraId="19980004">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单级漆</w:t>
            </w:r>
          </w:p>
        </w:tc>
        <w:tc>
          <w:tcPr>
            <w:tcW w:w="2500" w:type="pct"/>
            <w:noWrap w:val="0"/>
            <w:vAlign w:val="center"/>
          </w:tcPr>
          <w:p w14:paraId="46703F10">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340（2.8）</w:t>
            </w:r>
          </w:p>
        </w:tc>
      </w:tr>
      <w:tr w14:paraId="60B41E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2499" w:type="pct"/>
            <w:noWrap w:val="0"/>
            <w:vAlign w:val="center"/>
          </w:tcPr>
          <w:p w14:paraId="6DB81802">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临时保护漆</w:t>
            </w:r>
          </w:p>
        </w:tc>
        <w:tc>
          <w:tcPr>
            <w:tcW w:w="2500" w:type="pct"/>
            <w:noWrap w:val="0"/>
            <w:vAlign w:val="center"/>
          </w:tcPr>
          <w:p w14:paraId="2D5F89F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60（0.5）</w:t>
            </w:r>
          </w:p>
        </w:tc>
      </w:tr>
      <w:tr w14:paraId="150E7D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2499" w:type="pct"/>
            <w:noWrap w:val="0"/>
            <w:vAlign w:val="center"/>
          </w:tcPr>
          <w:p w14:paraId="5FB596BE">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卡车床保护漆</w:t>
            </w:r>
          </w:p>
        </w:tc>
        <w:tc>
          <w:tcPr>
            <w:tcW w:w="2500" w:type="pct"/>
            <w:noWrap w:val="0"/>
            <w:vAlign w:val="center"/>
          </w:tcPr>
          <w:p w14:paraId="08BC7753">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310（2.6）</w:t>
            </w:r>
          </w:p>
        </w:tc>
      </w:tr>
      <w:tr w14:paraId="4F7F1E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2499" w:type="pct"/>
            <w:noWrap w:val="0"/>
            <w:vAlign w:val="center"/>
          </w:tcPr>
          <w:p w14:paraId="11E71EA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车身下方保护漆</w:t>
            </w:r>
          </w:p>
        </w:tc>
        <w:tc>
          <w:tcPr>
            <w:tcW w:w="2500" w:type="pct"/>
            <w:noWrap w:val="0"/>
            <w:vAlign w:val="center"/>
          </w:tcPr>
          <w:p w14:paraId="5C8F0AA1">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430（3.6）</w:t>
            </w:r>
          </w:p>
        </w:tc>
      </w:tr>
      <w:tr w14:paraId="455DAC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2499" w:type="pct"/>
            <w:noWrap w:val="0"/>
            <w:vAlign w:val="center"/>
          </w:tcPr>
          <w:p w14:paraId="07A192B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均一修补漆</w:t>
            </w:r>
          </w:p>
        </w:tc>
        <w:tc>
          <w:tcPr>
            <w:tcW w:w="2500" w:type="pct"/>
            <w:noWrap w:val="0"/>
            <w:vAlign w:val="center"/>
          </w:tcPr>
          <w:p w14:paraId="58DDEC86">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540（4.5）</w:t>
            </w:r>
          </w:p>
        </w:tc>
      </w:tr>
      <w:tr w14:paraId="1E26DC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2499" w:type="pct"/>
            <w:noWrap w:val="0"/>
            <w:vAlign w:val="center"/>
          </w:tcPr>
          <w:p w14:paraId="76003520">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其他类型漆</w:t>
            </w:r>
          </w:p>
        </w:tc>
        <w:tc>
          <w:tcPr>
            <w:tcW w:w="2500" w:type="pct"/>
            <w:noWrap w:val="0"/>
            <w:vAlign w:val="center"/>
          </w:tcPr>
          <w:p w14:paraId="47B93116">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250（2.1）</w:t>
            </w:r>
          </w:p>
        </w:tc>
      </w:tr>
    </w:tbl>
    <w:p w14:paraId="7568ED05">
      <w:pPr>
        <w:keepNext w:val="0"/>
        <w:keepLines w:val="0"/>
        <w:pageBreakBefore w:val="0"/>
        <w:widowControl/>
        <w:kinsoku/>
        <w:wordWrap/>
        <w:autoSpaceDE/>
        <w:autoSpaceDN/>
        <w:bidi w:val="0"/>
        <w:ind w:left="0" w:leftChars="0" w:firstLine="0" w:firstLineChars="0"/>
        <w:jc w:val="center"/>
        <w:rPr>
          <w:rFonts w:hint="default" w:ascii="Times New Roman" w:hAnsi="Times New Roman" w:cs="Times New Roman"/>
          <w:highlight w:val="none"/>
        </w:rPr>
      </w:pPr>
      <w:r>
        <w:rPr>
          <w:rFonts w:hint="default" w:ascii="Times New Roman" w:hAnsi="Times New Roman" w:cs="Times New Roman"/>
          <w:highlight w:val="none"/>
        </w:rPr>
        <w:t>表</w:t>
      </w:r>
      <w:r>
        <w:rPr>
          <w:rFonts w:hint="default" w:ascii="Times New Roman" w:hAnsi="Times New Roman" w:cs="Times New Roman"/>
          <w:highlight w:val="none"/>
          <w:lang w:val="en-US" w:eastAsia="zh-CN"/>
        </w:rPr>
        <w:t>3.1-3</w:t>
      </w:r>
      <w:r>
        <w:rPr>
          <w:rFonts w:hint="default" w:ascii="Times New Roman" w:hAnsi="Times New Roman" w:cs="Times New Roman"/>
          <w:highlight w:val="none"/>
        </w:rPr>
        <w:t xml:space="preserve"> 涂料种类和VOCs限值</w:t>
      </w:r>
    </w:p>
    <w:tbl>
      <w:tblPr>
        <w:tblStyle w:val="21"/>
        <w:tblW w:w="4999"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2839"/>
        <w:gridCol w:w="2840"/>
        <w:gridCol w:w="2841"/>
      </w:tblGrid>
      <w:tr w14:paraId="540094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blHeader/>
        </w:trPr>
        <w:tc>
          <w:tcPr>
            <w:tcW w:w="1666" w:type="pct"/>
            <w:vMerge w:val="restart"/>
            <w:noWrap w:val="0"/>
            <w:vAlign w:val="center"/>
          </w:tcPr>
          <w:p w14:paraId="20A6072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b/>
                <w:bCs/>
                <w:sz w:val="21"/>
                <w:szCs w:val="21"/>
                <w:highlight w:val="none"/>
              </w:rPr>
            </w:pPr>
            <w:r>
              <w:rPr>
                <w:rFonts w:hint="default" w:ascii="Times New Roman" w:hAnsi="Times New Roman" w:cs="Times New Roman" w:eastAsiaTheme="minorEastAsia"/>
                <w:b/>
                <w:bCs/>
                <w:sz w:val="21"/>
                <w:szCs w:val="21"/>
                <w:highlight w:val="none"/>
              </w:rPr>
              <w:t>涂料种类</w:t>
            </w:r>
          </w:p>
        </w:tc>
        <w:tc>
          <w:tcPr>
            <w:tcW w:w="3333" w:type="pct"/>
            <w:gridSpan w:val="2"/>
            <w:noWrap w:val="0"/>
            <w:vAlign w:val="top"/>
          </w:tcPr>
          <w:p w14:paraId="72EA5EA8">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b/>
                <w:bCs/>
                <w:sz w:val="21"/>
                <w:szCs w:val="21"/>
                <w:highlight w:val="none"/>
              </w:rPr>
            </w:pPr>
            <w:r>
              <w:rPr>
                <w:rFonts w:hint="default" w:ascii="Times New Roman" w:hAnsi="Times New Roman" w:cs="Times New Roman" w:eastAsiaTheme="minorEastAsia"/>
                <w:b/>
                <w:bCs/>
                <w:sz w:val="21"/>
                <w:szCs w:val="21"/>
                <w:highlight w:val="none"/>
              </w:rPr>
              <w:t>VOCs管理限值g/L（lb/gal）</w:t>
            </w:r>
          </w:p>
        </w:tc>
      </w:tr>
      <w:tr w14:paraId="35FBC1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blHeader/>
        </w:trPr>
        <w:tc>
          <w:tcPr>
            <w:tcW w:w="1666" w:type="pct"/>
            <w:vMerge w:val="continue"/>
            <w:noWrap w:val="0"/>
            <w:vAlign w:val="top"/>
          </w:tcPr>
          <w:p w14:paraId="20EFB8C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b/>
                <w:bCs/>
                <w:sz w:val="21"/>
                <w:szCs w:val="21"/>
                <w:highlight w:val="none"/>
              </w:rPr>
            </w:pPr>
          </w:p>
        </w:tc>
        <w:tc>
          <w:tcPr>
            <w:tcW w:w="1666" w:type="pct"/>
            <w:noWrap w:val="0"/>
            <w:vAlign w:val="top"/>
          </w:tcPr>
          <w:p w14:paraId="4DB47BCA">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b/>
                <w:bCs/>
                <w:sz w:val="21"/>
                <w:szCs w:val="21"/>
                <w:highlight w:val="none"/>
              </w:rPr>
            </w:pPr>
            <w:r>
              <w:rPr>
                <w:rFonts w:hint="default" w:ascii="Times New Roman" w:hAnsi="Times New Roman" w:cs="Times New Roman" w:eastAsiaTheme="minorEastAsia"/>
                <w:b/>
                <w:bCs/>
                <w:sz w:val="21"/>
                <w:szCs w:val="21"/>
                <w:highlight w:val="none"/>
              </w:rPr>
              <w:t>组1*2011-7-1日前</w:t>
            </w:r>
          </w:p>
        </w:tc>
        <w:tc>
          <w:tcPr>
            <w:tcW w:w="1667" w:type="pct"/>
            <w:noWrap w:val="0"/>
            <w:vAlign w:val="top"/>
          </w:tcPr>
          <w:p w14:paraId="55CA47A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b/>
                <w:bCs/>
                <w:sz w:val="21"/>
                <w:szCs w:val="21"/>
                <w:highlight w:val="none"/>
              </w:rPr>
            </w:pPr>
            <w:r>
              <w:rPr>
                <w:rFonts w:hint="default" w:ascii="Times New Roman" w:hAnsi="Times New Roman" w:cs="Times New Roman" w:eastAsiaTheme="minorEastAsia"/>
                <w:b/>
                <w:bCs/>
                <w:sz w:val="21"/>
                <w:szCs w:val="21"/>
                <w:highlight w:val="none"/>
              </w:rPr>
              <w:t>组2**2011-7-1日前</w:t>
            </w:r>
          </w:p>
        </w:tc>
      </w:tr>
      <w:tr w14:paraId="1314BB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666" w:type="pct"/>
            <w:noWrap w:val="0"/>
            <w:vAlign w:val="top"/>
          </w:tcPr>
          <w:p w14:paraId="4B9BD59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预处理清洗底漆</w:t>
            </w:r>
          </w:p>
        </w:tc>
        <w:tc>
          <w:tcPr>
            <w:tcW w:w="1666" w:type="pct"/>
            <w:noWrap w:val="0"/>
            <w:vAlign w:val="top"/>
          </w:tcPr>
          <w:p w14:paraId="51D77D59">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780（6.5）</w:t>
            </w:r>
          </w:p>
        </w:tc>
        <w:tc>
          <w:tcPr>
            <w:tcW w:w="1667" w:type="pct"/>
            <w:noWrap w:val="0"/>
            <w:vAlign w:val="top"/>
          </w:tcPr>
          <w:p w14:paraId="46476084">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780（6.5）</w:t>
            </w:r>
          </w:p>
        </w:tc>
      </w:tr>
      <w:tr w14:paraId="177272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666" w:type="pct"/>
            <w:noWrap w:val="0"/>
            <w:vAlign w:val="top"/>
          </w:tcPr>
          <w:p w14:paraId="2B251EE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底漆</w:t>
            </w:r>
          </w:p>
        </w:tc>
        <w:tc>
          <w:tcPr>
            <w:tcW w:w="1666" w:type="pct"/>
            <w:noWrap w:val="0"/>
            <w:vAlign w:val="top"/>
          </w:tcPr>
          <w:p w14:paraId="123D0D08">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250（2.1）</w:t>
            </w:r>
          </w:p>
        </w:tc>
        <w:tc>
          <w:tcPr>
            <w:tcW w:w="1667" w:type="pct"/>
            <w:noWrap w:val="0"/>
            <w:vAlign w:val="top"/>
          </w:tcPr>
          <w:p w14:paraId="784BB2C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250（2.1）</w:t>
            </w:r>
          </w:p>
        </w:tc>
      </w:tr>
      <w:tr w14:paraId="29C9DD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666" w:type="pct"/>
            <w:noWrap w:val="0"/>
            <w:vAlign w:val="top"/>
          </w:tcPr>
          <w:p w14:paraId="1DBF1C2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底漆密封</w:t>
            </w:r>
          </w:p>
        </w:tc>
        <w:tc>
          <w:tcPr>
            <w:tcW w:w="1666" w:type="pct"/>
            <w:noWrap w:val="0"/>
            <w:vAlign w:val="top"/>
          </w:tcPr>
          <w:p w14:paraId="0539A9D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250（2.1）</w:t>
            </w:r>
          </w:p>
        </w:tc>
        <w:tc>
          <w:tcPr>
            <w:tcW w:w="1667" w:type="pct"/>
            <w:noWrap w:val="0"/>
            <w:vAlign w:val="top"/>
          </w:tcPr>
          <w:p w14:paraId="4F88C3D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340（2.8）</w:t>
            </w:r>
          </w:p>
        </w:tc>
      </w:tr>
      <w:tr w14:paraId="3EBC7D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666" w:type="pct"/>
            <w:noWrap w:val="0"/>
            <w:vAlign w:val="top"/>
          </w:tcPr>
          <w:p w14:paraId="7BC42986">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面漆</w:t>
            </w:r>
          </w:p>
        </w:tc>
        <w:tc>
          <w:tcPr>
            <w:tcW w:w="1666" w:type="pct"/>
            <w:noWrap w:val="0"/>
            <w:vAlign w:val="top"/>
          </w:tcPr>
          <w:p w14:paraId="0BF6C69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340（2.8）</w:t>
            </w:r>
          </w:p>
        </w:tc>
        <w:tc>
          <w:tcPr>
            <w:tcW w:w="1667" w:type="pct"/>
            <w:noWrap w:val="0"/>
            <w:vAlign w:val="top"/>
          </w:tcPr>
          <w:p w14:paraId="4796EB28">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420（3.5）</w:t>
            </w:r>
          </w:p>
        </w:tc>
      </w:tr>
      <w:tr w14:paraId="056BB1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666" w:type="pct"/>
            <w:noWrap w:val="0"/>
            <w:vAlign w:val="top"/>
          </w:tcPr>
          <w:p w14:paraId="3F6E63E4">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金属面漆</w:t>
            </w:r>
          </w:p>
        </w:tc>
        <w:tc>
          <w:tcPr>
            <w:tcW w:w="1666" w:type="pct"/>
            <w:noWrap w:val="0"/>
            <w:vAlign w:val="top"/>
          </w:tcPr>
          <w:p w14:paraId="42F78DE4">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420（3.5）</w:t>
            </w:r>
          </w:p>
        </w:tc>
        <w:tc>
          <w:tcPr>
            <w:tcW w:w="1667" w:type="pct"/>
            <w:noWrap w:val="0"/>
            <w:vAlign w:val="top"/>
          </w:tcPr>
          <w:p w14:paraId="6C559D6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bookmarkStart w:id="24" w:name="OLE_LINK2"/>
            <w:bookmarkStart w:id="25" w:name="OLE_LINK1"/>
            <w:r>
              <w:rPr>
                <w:rFonts w:hint="default" w:ascii="Times New Roman" w:hAnsi="Times New Roman" w:cs="Times New Roman" w:eastAsiaTheme="minorEastAsia"/>
                <w:sz w:val="21"/>
                <w:szCs w:val="21"/>
                <w:highlight w:val="none"/>
              </w:rPr>
              <w:t>420（3.5）</w:t>
            </w:r>
            <w:bookmarkEnd w:id="24"/>
            <w:bookmarkEnd w:id="25"/>
          </w:p>
        </w:tc>
      </w:tr>
      <w:tr w14:paraId="321A14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666" w:type="pct"/>
            <w:noWrap w:val="0"/>
            <w:vAlign w:val="top"/>
          </w:tcPr>
          <w:p w14:paraId="1EBAF13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特殊性能</w:t>
            </w:r>
          </w:p>
        </w:tc>
        <w:tc>
          <w:tcPr>
            <w:tcW w:w="1666" w:type="pct"/>
            <w:noWrap w:val="0"/>
            <w:vAlign w:val="top"/>
          </w:tcPr>
          <w:p w14:paraId="3A16F0A4">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420（3.5）</w:t>
            </w:r>
          </w:p>
        </w:tc>
        <w:tc>
          <w:tcPr>
            <w:tcW w:w="1667" w:type="pct"/>
            <w:noWrap w:val="0"/>
            <w:vAlign w:val="top"/>
          </w:tcPr>
          <w:p w14:paraId="191D2778">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420（3.5）</w:t>
            </w:r>
          </w:p>
        </w:tc>
      </w:tr>
    </w:tbl>
    <w:p w14:paraId="602CF767">
      <w:pPr>
        <w:keepNext w:val="0"/>
        <w:keepLines w:val="0"/>
        <w:pageBreakBefore w:val="0"/>
        <w:widowControl/>
        <w:kinsoku/>
        <w:wordWrap/>
        <w:overflowPunct/>
        <w:topLinePunct w:val="0"/>
        <w:autoSpaceDE/>
        <w:autoSpaceDN/>
        <w:bidi w:val="0"/>
        <w:adjustRightInd/>
        <w:snapToGrid/>
        <w:spacing w:line="240" w:lineRule="auto"/>
        <w:textAlignment w:val="auto"/>
        <w:rPr>
          <w:rFonts w:hint="default" w:ascii="Times New Roman" w:hAnsi="Times New Roman" w:cs="Times New Roman"/>
          <w:sz w:val="18"/>
          <w:szCs w:val="18"/>
          <w:highlight w:val="none"/>
        </w:rPr>
      </w:pPr>
      <w:r>
        <w:rPr>
          <w:rFonts w:hint="default" w:ascii="Times New Roman" w:hAnsi="Times New Roman" w:cs="Times New Roman"/>
          <w:sz w:val="18"/>
          <w:szCs w:val="18"/>
          <w:highlight w:val="none"/>
        </w:rPr>
        <w:t>*组1：共用运输车和移动设备，包括但不限于：卡车车身、卡车拖车、通用车身、露营挂车罩、移动式起重机、推土机、道路清扫车、高尔夫球车、农用车等不严格要求颜色匹配的。</w:t>
      </w:r>
    </w:p>
    <w:p w14:paraId="75B2F443">
      <w:pPr>
        <w:keepNext w:val="0"/>
        <w:keepLines w:val="0"/>
        <w:pageBreakBefore w:val="0"/>
        <w:widowControl/>
        <w:kinsoku/>
        <w:wordWrap/>
        <w:overflowPunct/>
        <w:topLinePunct w:val="0"/>
        <w:autoSpaceDE/>
        <w:autoSpaceDN/>
        <w:bidi w:val="0"/>
        <w:adjustRightInd/>
        <w:snapToGrid/>
        <w:spacing w:line="240" w:lineRule="auto"/>
        <w:textAlignment w:val="auto"/>
        <w:rPr>
          <w:rFonts w:hint="default" w:ascii="Times New Roman" w:hAnsi="Times New Roman" w:cs="Times New Roman"/>
          <w:sz w:val="18"/>
          <w:szCs w:val="18"/>
          <w:highlight w:val="none"/>
        </w:rPr>
      </w:pPr>
      <w:r>
        <w:rPr>
          <w:rFonts w:hint="default" w:ascii="Times New Roman" w:hAnsi="Times New Roman" w:cs="Times New Roman"/>
          <w:sz w:val="18"/>
          <w:szCs w:val="18"/>
          <w:highlight w:val="none"/>
        </w:rPr>
        <w:t>**组2：私人乘用车：大型/中型卡车和底盘重量超过10000磅的车辆；轻型、中型卡车和总重在10000磅左右的货车，以及组1中要求颜色匹配的车辆。</w:t>
      </w:r>
    </w:p>
    <w:p w14:paraId="4B52E1A5">
      <w:pPr>
        <w:keepNext w:val="0"/>
        <w:keepLines w:val="0"/>
        <w:pageBreakBefore w:val="0"/>
        <w:widowControl/>
        <w:kinsoku/>
        <w:wordWrap/>
        <w:autoSpaceDE/>
        <w:autoSpaceDN/>
        <w:bidi w:val="0"/>
        <w:rPr>
          <w:rFonts w:hint="default" w:ascii="Times New Roman" w:hAnsi="Times New Roman" w:eastAsia="宋体" w:cs="Times New Roman"/>
          <w:highlight w:val="none"/>
          <w:lang w:val="en-US" w:eastAsia="zh-CN"/>
        </w:rPr>
      </w:pPr>
      <w:r>
        <w:rPr>
          <w:rFonts w:hint="default" w:ascii="Times New Roman" w:hAnsi="Times New Roman" w:cs="Times New Roman"/>
          <w:highlight w:val="none"/>
          <w:lang w:eastAsia="zh-CN"/>
        </w:rPr>
        <w:t>美国</w:t>
      </w:r>
      <w:r>
        <w:rPr>
          <w:rFonts w:hint="default" w:ascii="Times New Roman" w:hAnsi="Times New Roman" w:cs="Times New Roman"/>
          <w:highlight w:val="none"/>
        </w:rPr>
        <w:t>南海岸《机动车辆和移动设备非装配线涂装业务》</w:t>
      </w:r>
      <w:r>
        <w:rPr>
          <w:rFonts w:hint="eastAsia" w:cs="Times New Roman"/>
          <w:highlight w:val="none"/>
          <w:lang w:eastAsia="zh-CN"/>
        </w:rPr>
        <w:t>（</w:t>
      </w:r>
      <w:r>
        <w:rPr>
          <w:rFonts w:hint="default" w:ascii="Times New Roman" w:hAnsi="Times New Roman" w:cs="Times New Roman"/>
          <w:highlight w:val="none"/>
        </w:rPr>
        <w:t xml:space="preserve">Scaqmd Motor Vehicle And Mobile Equipment Non-Assembly Line Coating Operations </w:t>
      </w:r>
      <w:r>
        <w:rPr>
          <w:rFonts w:hint="eastAsia" w:cs="Times New Roman"/>
          <w:highlight w:val="none"/>
          <w:lang w:eastAsia="zh-CN"/>
        </w:rPr>
        <w:t>（</w:t>
      </w:r>
      <w:r>
        <w:rPr>
          <w:rFonts w:hint="default" w:ascii="Times New Roman" w:hAnsi="Times New Roman" w:cs="Times New Roman"/>
          <w:highlight w:val="none"/>
        </w:rPr>
        <w:t>Rule 1151</w:t>
      </w:r>
      <w:r>
        <w:rPr>
          <w:rFonts w:hint="eastAsia" w:cs="Times New Roman"/>
          <w:highlight w:val="none"/>
          <w:lang w:eastAsia="zh-CN"/>
        </w:rPr>
        <w:t>））</w:t>
      </w:r>
      <w:r>
        <w:rPr>
          <w:rFonts w:hint="default" w:ascii="Times New Roman" w:hAnsi="Times New Roman" w:cs="Times New Roman"/>
          <w:highlight w:val="none"/>
          <w:lang w:eastAsia="zh-CN"/>
        </w:rPr>
        <w:t>中规定了汽车维修等非装配线涂装作业的涂料</w:t>
      </w:r>
      <w:r>
        <w:rPr>
          <w:rFonts w:hint="default" w:ascii="Times New Roman" w:hAnsi="Times New Roman" w:cs="Times New Roman"/>
          <w:highlight w:val="none"/>
          <w:lang w:val="en-US" w:eastAsia="zh-CN"/>
        </w:rPr>
        <w:t>VOCs含量限值，见</w:t>
      </w:r>
      <w:r>
        <w:rPr>
          <w:rFonts w:hint="default" w:ascii="Times New Roman" w:hAnsi="Times New Roman" w:cs="Times New Roman"/>
          <w:highlight w:val="none"/>
        </w:rPr>
        <w:t>表</w:t>
      </w:r>
      <w:r>
        <w:rPr>
          <w:rFonts w:hint="default" w:ascii="Times New Roman" w:hAnsi="Times New Roman" w:cs="Times New Roman"/>
          <w:highlight w:val="none"/>
          <w:lang w:val="en-US" w:eastAsia="zh-CN"/>
        </w:rPr>
        <w:t>3.1</w:t>
      </w:r>
      <w:r>
        <w:rPr>
          <w:rFonts w:hint="default" w:ascii="Times New Roman" w:hAnsi="Times New Roman" w:cs="Times New Roman"/>
          <w:highlight w:val="none"/>
        </w:rPr>
        <w:t>-4</w:t>
      </w:r>
      <w:r>
        <w:rPr>
          <w:rFonts w:hint="default" w:ascii="Times New Roman" w:hAnsi="Times New Roman" w:cs="Times New Roman"/>
          <w:highlight w:val="none"/>
          <w:lang w:val="en-US" w:eastAsia="zh-CN"/>
        </w:rPr>
        <w:t>。</w:t>
      </w:r>
    </w:p>
    <w:p w14:paraId="36E76779">
      <w:pPr>
        <w:keepNext w:val="0"/>
        <w:keepLines w:val="0"/>
        <w:pageBreakBefore w:val="0"/>
        <w:widowControl/>
        <w:kinsoku/>
        <w:wordWrap/>
        <w:autoSpaceDE/>
        <w:autoSpaceDN/>
        <w:bidi w:val="0"/>
        <w:ind w:left="0" w:leftChars="0" w:firstLine="0" w:firstLineChars="0"/>
        <w:jc w:val="center"/>
        <w:rPr>
          <w:rFonts w:hint="default" w:ascii="Times New Roman" w:hAnsi="Times New Roman" w:cs="Times New Roman"/>
          <w:highlight w:val="none"/>
        </w:rPr>
      </w:pPr>
      <w:r>
        <w:rPr>
          <w:rFonts w:hint="default" w:ascii="Times New Roman" w:hAnsi="Times New Roman" w:cs="Times New Roman"/>
          <w:highlight w:val="none"/>
        </w:rPr>
        <w:t>表</w:t>
      </w:r>
      <w:r>
        <w:rPr>
          <w:rFonts w:hint="default" w:ascii="Times New Roman" w:hAnsi="Times New Roman" w:cs="Times New Roman"/>
          <w:highlight w:val="none"/>
          <w:lang w:val="en-US" w:eastAsia="zh-CN"/>
        </w:rPr>
        <w:t>3.1</w:t>
      </w:r>
      <w:r>
        <w:rPr>
          <w:rFonts w:hint="default" w:ascii="Times New Roman" w:hAnsi="Times New Roman" w:cs="Times New Roman"/>
          <w:highlight w:val="none"/>
        </w:rPr>
        <w:t>-4</w:t>
      </w:r>
      <w:r>
        <w:rPr>
          <w:rFonts w:hint="eastAsia" w:cs="Times New Roman"/>
          <w:highlight w:val="none"/>
          <w:lang w:val="en-US" w:eastAsia="zh-CN"/>
        </w:rPr>
        <w:t xml:space="preserve"> </w:t>
      </w:r>
      <w:r>
        <w:rPr>
          <w:rFonts w:hint="default" w:ascii="Times New Roman" w:hAnsi="Times New Roman" w:cs="Times New Roman"/>
          <w:highlight w:val="none"/>
          <w:lang w:val="en-US" w:eastAsia="zh-CN"/>
        </w:rPr>
        <w:t>涂料中</w:t>
      </w:r>
      <w:r>
        <w:rPr>
          <w:rFonts w:hint="default" w:ascii="Times New Roman" w:hAnsi="Times New Roman" w:cs="Times New Roman"/>
          <w:highlight w:val="none"/>
        </w:rPr>
        <w:t>VOCs</w:t>
      </w:r>
      <w:r>
        <w:rPr>
          <w:rFonts w:hint="default" w:ascii="Times New Roman" w:hAnsi="Times New Roman" w:cs="Times New Roman"/>
          <w:highlight w:val="none"/>
          <w:lang w:eastAsia="zh-CN"/>
        </w:rPr>
        <w:t>含量</w:t>
      </w:r>
      <w:r>
        <w:rPr>
          <w:rFonts w:hint="default" w:ascii="Times New Roman" w:hAnsi="Times New Roman" w:cs="Times New Roman"/>
          <w:highlight w:val="none"/>
        </w:rPr>
        <w:t>限值（2013年5月1日之后的车辆）（g/L去除水和豁免物）</w:t>
      </w:r>
    </w:p>
    <w:tbl>
      <w:tblPr>
        <w:tblStyle w:val="21"/>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49"/>
        <w:gridCol w:w="2211"/>
        <w:gridCol w:w="2059"/>
      </w:tblGrid>
      <w:tr w14:paraId="73BB5C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jc w:val="center"/>
        </w:trPr>
        <w:tc>
          <w:tcPr>
            <w:tcW w:w="2493" w:type="pct"/>
            <w:noWrap w:val="0"/>
            <w:vAlign w:val="top"/>
          </w:tcPr>
          <w:p w14:paraId="08CEC40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b/>
                <w:bCs/>
                <w:sz w:val="21"/>
                <w:szCs w:val="21"/>
                <w:highlight w:val="none"/>
              </w:rPr>
            </w:pPr>
            <w:r>
              <w:rPr>
                <w:rFonts w:hint="default" w:ascii="Times New Roman" w:hAnsi="Times New Roman" w:cs="Times New Roman" w:eastAsiaTheme="minorEastAsia"/>
                <w:b/>
                <w:bCs/>
                <w:sz w:val="21"/>
                <w:szCs w:val="21"/>
                <w:highlight w:val="none"/>
              </w:rPr>
              <w:t>涂料类型</w:t>
            </w:r>
          </w:p>
        </w:tc>
        <w:tc>
          <w:tcPr>
            <w:tcW w:w="1297" w:type="pct"/>
            <w:noWrap w:val="0"/>
            <w:vAlign w:val="top"/>
          </w:tcPr>
          <w:p w14:paraId="1F88E23E">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b/>
                <w:bCs/>
                <w:sz w:val="21"/>
                <w:szCs w:val="21"/>
                <w:highlight w:val="none"/>
              </w:rPr>
            </w:pPr>
            <w:r>
              <w:rPr>
                <w:rFonts w:hint="default" w:ascii="Times New Roman" w:hAnsi="Times New Roman" w:cs="Times New Roman" w:eastAsiaTheme="minorEastAsia"/>
                <w:b/>
                <w:bCs/>
                <w:sz w:val="21"/>
                <w:szCs w:val="21"/>
                <w:highlight w:val="none"/>
              </w:rPr>
              <w:t>g/L</w:t>
            </w:r>
          </w:p>
        </w:tc>
        <w:tc>
          <w:tcPr>
            <w:tcW w:w="1208" w:type="pct"/>
            <w:noWrap w:val="0"/>
            <w:vAlign w:val="top"/>
          </w:tcPr>
          <w:p w14:paraId="3549F611">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b/>
                <w:bCs/>
                <w:sz w:val="21"/>
                <w:szCs w:val="21"/>
                <w:highlight w:val="none"/>
              </w:rPr>
            </w:pPr>
            <w:r>
              <w:rPr>
                <w:rFonts w:hint="default" w:ascii="Times New Roman" w:hAnsi="Times New Roman" w:cs="Times New Roman" w:eastAsiaTheme="minorEastAsia"/>
                <w:b/>
                <w:bCs/>
                <w:sz w:val="21"/>
                <w:szCs w:val="21"/>
                <w:highlight w:val="none"/>
              </w:rPr>
              <w:t>lb/gal</w:t>
            </w:r>
          </w:p>
        </w:tc>
      </w:tr>
      <w:tr w14:paraId="4FADE4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93" w:type="pct"/>
            <w:noWrap w:val="0"/>
            <w:vAlign w:val="top"/>
          </w:tcPr>
          <w:p w14:paraId="6C7B0C4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附着力促进剂</w:t>
            </w:r>
          </w:p>
        </w:tc>
        <w:tc>
          <w:tcPr>
            <w:tcW w:w="1297" w:type="pct"/>
            <w:noWrap w:val="0"/>
            <w:vAlign w:val="top"/>
          </w:tcPr>
          <w:p w14:paraId="113FA4B4">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540</w:t>
            </w:r>
          </w:p>
        </w:tc>
        <w:tc>
          <w:tcPr>
            <w:tcW w:w="1208" w:type="pct"/>
            <w:noWrap w:val="0"/>
            <w:vAlign w:val="top"/>
          </w:tcPr>
          <w:p w14:paraId="4CA8E8C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4.5</w:t>
            </w:r>
          </w:p>
        </w:tc>
      </w:tr>
      <w:tr w14:paraId="274F64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93" w:type="pct"/>
            <w:noWrap w:val="0"/>
            <w:vAlign w:val="top"/>
          </w:tcPr>
          <w:p w14:paraId="73DAC16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清漆</w:t>
            </w:r>
          </w:p>
        </w:tc>
        <w:tc>
          <w:tcPr>
            <w:tcW w:w="1297" w:type="pct"/>
            <w:noWrap w:val="0"/>
            <w:vAlign w:val="top"/>
          </w:tcPr>
          <w:p w14:paraId="0A9F3836">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250</w:t>
            </w:r>
          </w:p>
        </w:tc>
        <w:tc>
          <w:tcPr>
            <w:tcW w:w="1208" w:type="pct"/>
            <w:noWrap w:val="0"/>
            <w:vAlign w:val="top"/>
          </w:tcPr>
          <w:p w14:paraId="26233444">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2.1</w:t>
            </w:r>
          </w:p>
        </w:tc>
      </w:tr>
      <w:tr w14:paraId="12E16D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93" w:type="pct"/>
            <w:noWrap w:val="0"/>
            <w:vAlign w:val="top"/>
          </w:tcPr>
          <w:p w14:paraId="2D7256D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色漆</w:t>
            </w:r>
          </w:p>
        </w:tc>
        <w:tc>
          <w:tcPr>
            <w:tcW w:w="1297" w:type="pct"/>
            <w:noWrap w:val="0"/>
            <w:vAlign w:val="top"/>
          </w:tcPr>
          <w:p w14:paraId="082B37A9">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420</w:t>
            </w:r>
          </w:p>
        </w:tc>
        <w:tc>
          <w:tcPr>
            <w:tcW w:w="1208" w:type="pct"/>
            <w:noWrap w:val="0"/>
            <w:vAlign w:val="top"/>
          </w:tcPr>
          <w:p w14:paraId="0947B4A8">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3.5</w:t>
            </w:r>
          </w:p>
        </w:tc>
      </w:tr>
      <w:tr w14:paraId="1A83A8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93" w:type="pct"/>
            <w:noWrap w:val="0"/>
            <w:vAlign w:val="top"/>
          </w:tcPr>
          <w:p w14:paraId="3B1089A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多色漆</w:t>
            </w:r>
          </w:p>
        </w:tc>
        <w:tc>
          <w:tcPr>
            <w:tcW w:w="1297" w:type="pct"/>
            <w:noWrap w:val="0"/>
            <w:vAlign w:val="top"/>
          </w:tcPr>
          <w:p w14:paraId="718291C9">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680</w:t>
            </w:r>
          </w:p>
        </w:tc>
        <w:tc>
          <w:tcPr>
            <w:tcW w:w="1208" w:type="pct"/>
            <w:noWrap w:val="0"/>
            <w:vAlign w:val="top"/>
          </w:tcPr>
          <w:p w14:paraId="72FEB4A1">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5.7</w:t>
            </w:r>
          </w:p>
        </w:tc>
      </w:tr>
      <w:tr w14:paraId="368D4A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93" w:type="pct"/>
            <w:noWrap w:val="0"/>
            <w:vAlign w:val="top"/>
          </w:tcPr>
          <w:p w14:paraId="26897E9D">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预处理底漆</w:t>
            </w:r>
          </w:p>
        </w:tc>
        <w:tc>
          <w:tcPr>
            <w:tcW w:w="1297" w:type="pct"/>
            <w:noWrap w:val="0"/>
            <w:vAlign w:val="top"/>
          </w:tcPr>
          <w:p w14:paraId="01EEE51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660</w:t>
            </w:r>
          </w:p>
        </w:tc>
        <w:tc>
          <w:tcPr>
            <w:tcW w:w="1208" w:type="pct"/>
            <w:noWrap w:val="0"/>
            <w:vAlign w:val="top"/>
          </w:tcPr>
          <w:p w14:paraId="2BDDDFB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5.5</w:t>
            </w:r>
          </w:p>
        </w:tc>
      </w:tr>
      <w:tr w14:paraId="2AF4EA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93" w:type="pct"/>
            <w:noWrap w:val="0"/>
            <w:vAlign w:val="top"/>
          </w:tcPr>
          <w:p w14:paraId="5A40DC1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底漆</w:t>
            </w:r>
          </w:p>
        </w:tc>
        <w:tc>
          <w:tcPr>
            <w:tcW w:w="1297" w:type="pct"/>
            <w:noWrap w:val="0"/>
            <w:vAlign w:val="top"/>
          </w:tcPr>
          <w:p w14:paraId="23EFFDEE">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250</w:t>
            </w:r>
          </w:p>
        </w:tc>
        <w:tc>
          <w:tcPr>
            <w:tcW w:w="1208" w:type="pct"/>
            <w:noWrap w:val="0"/>
            <w:vAlign w:val="top"/>
          </w:tcPr>
          <w:p w14:paraId="7DB4D858">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2.1</w:t>
            </w:r>
          </w:p>
        </w:tc>
      </w:tr>
      <w:tr w14:paraId="68D885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93" w:type="pct"/>
            <w:noWrap w:val="0"/>
            <w:vAlign w:val="top"/>
          </w:tcPr>
          <w:p w14:paraId="19B90BDA">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密封底漆</w:t>
            </w:r>
          </w:p>
        </w:tc>
        <w:tc>
          <w:tcPr>
            <w:tcW w:w="1297" w:type="pct"/>
            <w:noWrap w:val="0"/>
            <w:vAlign w:val="top"/>
          </w:tcPr>
          <w:p w14:paraId="71176C61">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250</w:t>
            </w:r>
          </w:p>
        </w:tc>
        <w:tc>
          <w:tcPr>
            <w:tcW w:w="1208" w:type="pct"/>
            <w:noWrap w:val="0"/>
            <w:vAlign w:val="top"/>
          </w:tcPr>
          <w:p w14:paraId="562EF5B0">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2.1</w:t>
            </w:r>
          </w:p>
        </w:tc>
      </w:tr>
      <w:tr w14:paraId="172DD9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93" w:type="pct"/>
            <w:noWrap w:val="0"/>
            <w:vAlign w:val="top"/>
          </w:tcPr>
          <w:p w14:paraId="49A26C2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单层涂料</w:t>
            </w:r>
          </w:p>
        </w:tc>
        <w:tc>
          <w:tcPr>
            <w:tcW w:w="1297" w:type="pct"/>
            <w:noWrap w:val="0"/>
            <w:vAlign w:val="top"/>
          </w:tcPr>
          <w:p w14:paraId="2999D82E">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340</w:t>
            </w:r>
          </w:p>
        </w:tc>
        <w:tc>
          <w:tcPr>
            <w:tcW w:w="1208" w:type="pct"/>
            <w:noWrap w:val="0"/>
            <w:vAlign w:val="top"/>
          </w:tcPr>
          <w:p w14:paraId="645CA1F2">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2.8</w:t>
            </w:r>
          </w:p>
        </w:tc>
      </w:tr>
      <w:tr w14:paraId="17E96A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93" w:type="pct"/>
            <w:noWrap w:val="0"/>
            <w:vAlign w:val="top"/>
          </w:tcPr>
          <w:p w14:paraId="0909853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临时保护漆料</w:t>
            </w:r>
          </w:p>
        </w:tc>
        <w:tc>
          <w:tcPr>
            <w:tcW w:w="1297" w:type="pct"/>
            <w:noWrap w:val="0"/>
            <w:vAlign w:val="top"/>
          </w:tcPr>
          <w:p w14:paraId="62BCDC02">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60</w:t>
            </w:r>
          </w:p>
        </w:tc>
        <w:tc>
          <w:tcPr>
            <w:tcW w:w="1208" w:type="pct"/>
            <w:noWrap w:val="0"/>
            <w:vAlign w:val="top"/>
          </w:tcPr>
          <w:p w14:paraId="1270F9C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0.5</w:t>
            </w:r>
          </w:p>
        </w:tc>
      </w:tr>
      <w:tr w14:paraId="0D2D93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93" w:type="pct"/>
            <w:noWrap w:val="0"/>
            <w:vAlign w:val="top"/>
          </w:tcPr>
          <w:p w14:paraId="622F48C6">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卡车底盘衬里涂料</w:t>
            </w:r>
          </w:p>
        </w:tc>
        <w:tc>
          <w:tcPr>
            <w:tcW w:w="1297" w:type="pct"/>
            <w:noWrap w:val="0"/>
            <w:vAlign w:val="top"/>
          </w:tcPr>
          <w:p w14:paraId="57BA408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310</w:t>
            </w:r>
          </w:p>
        </w:tc>
        <w:tc>
          <w:tcPr>
            <w:tcW w:w="1208" w:type="pct"/>
            <w:noWrap w:val="0"/>
            <w:vAlign w:val="top"/>
          </w:tcPr>
          <w:p w14:paraId="40798B6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2.6</w:t>
            </w:r>
          </w:p>
        </w:tc>
      </w:tr>
      <w:tr w14:paraId="33BEEE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93" w:type="pct"/>
            <w:noWrap w:val="0"/>
            <w:vAlign w:val="top"/>
          </w:tcPr>
          <w:p w14:paraId="48B38858">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底盘涂料</w:t>
            </w:r>
          </w:p>
        </w:tc>
        <w:tc>
          <w:tcPr>
            <w:tcW w:w="1297" w:type="pct"/>
            <w:noWrap w:val="0"/>
            <w:vAlign w:val="top"/>
          </w:tcPr>
          <w:p w14:paraId="2EC933F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430</w:t>
            </w:r>
          </w:p>
        </w:tc>
        <w:tc>
          <w:tcPr>
            <w:tcW w:w="1208" w:type="pct"/>
            <w:noWrap w:val="0"/>
            <w:vAlign w:val="top"/>
          </w:tcPr>
          <w:p w14:paraId="07FAD6CE">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3.6</w:t>
            </w:r>
          </w:p>
        </w:tc>
      </w:tr>
      <w:tr w14:paraId="20F0DB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93" w:type="pct"/>
            <w:noWrap w:val="0"/>
            <w:vAlign w:val="top"/>
          </w:tcPr>
          <w:p w14:paraId="5F08873A">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均匀面漆</w:t>
            </w:r>
          </w:p>
        </w:tc>
        <w:tc>
          <w:tcPr>
            <w:tcW w:w="1297" w:type="pct"/>
            <w:noWrap w:val="0"/>
            <w:vAlign w:val="top"/>
          </w:tcPr>
          <w:p w14:paraId="0FD03B8A">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540</w:t>
            </w:r>
          </w:p>
        </w:tc>
        <w:tc>
          <w:tcPr>
            <w:tcW w:w="1208" w:type="pct"/>
            <w:noWrap w:val="0"/>
            <w:vAlign w:val="top"/>
          </w:tcPr>
          <w:p w14:paraId="04595543">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4.5</w:t>
            </w:r>
          </w:p>
        </w:tc>
      </w:tr>
      <w:tr w14:paraId="47B12A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93" w:type="pct"/>
            <w:noWrap w:val="0"/>
            <w:vAlign w:val="top"/>
          </w:tcPr>
          <w:p w14:paraId="32B38E24">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其他涂料</w:t>
            </w:r>
          </w:p>
        </w:tc>
        <w:tc>
          <w:tcPr>
            <w:tcW w:w="1297" w:type="pct"/>
            <w:noWrap w:val="0"/>
            <w:vAlign w:val="top"/>
          </w:tcPr>
          <w:p w14:paraId="0B5A8358">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250</w:t>
            </w:r>
          </w:p>
        </w:tc>
        <w:tc>
          <w:tcPr>
            <w:tcW w:w="1208" w:type="pct"/>
            <w:noWrap w:val="0"/>
            <w:vAlign w:val="top"/>
          </w:tcPr>
          <w:p w14:paraId="456F8D39">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2.1</w:t>
            </w:r>
          </w:p>
        </w:tc>
      </w:tr>
    </w:tbl>
    <w:p w14:paraId="37D4F962">
      <w:pPr>
        <w:keepNext w:val="0"/>
        <w:keepLines w:val="0"/>
        <w:pageBreakBefore w:val="0"/>
        <w:widowControl/>
        <w:kinsoku/>
        <w:wordWrap/>
        <w:autoSpaceDE/>
        <w:autoSpaceDN/>
        <w:bidi w:val="0"/>
        <w:ind w:left="0" w:leftChars="0" w:firstLine="0" w:firstLineChars="0"/>
        <w:rPr>
          <w:rFonts w:hint="default" w:ascii="Times New Roman" w:hAnsi="Times New Roman" w:cs="Times New Roman"/>
          <w:sz w:val="20"/>
          <w:szCs w:val="20"/>
          <w:highlight w:val="none"/>
        </w:rPr>
      </w:pPr>
      <w:r>
        <w:rPr>
          <w:rFonts w:hint="default" w:ascii="Times New Roman" w:hAnsi="Times New Roman" w:cs="Times New Roman"/>
          <w:sz w:val="20"/>
          <w:szCs w:val="20"/>
          <w:highlight w:val="none"/>
          <w:lang w:eastAsia="zh-CN"/>
        </w:rPr>
        <w:t>注：</w:t>
      </w:r>
      <w:r>
        <w:rPr>
          <w:rFonts w:hint="default" w:ascii="Times New Roman" w:hAnsi="Times New Roman" w:cs="Times New Roman"/>
          <w:sz w:val="20"/>
          <w:szCs w:val="20"/>
          <w:highlight w:val="none"/>
        </w:rPr>
        <w:t>豁免化合物包括二氯甲烷、四氯化碳、全氯乙烯、环、支、线性的甲基硅氧烷（VMS）。</w:t>
      </w:r>
    </w:p>
    <w:p w14:paraId="35CD3C41">
      <w:pPr>
        <w:pStyle w:val="4"/>
        <w:keepNext w:val="0"/>
        <w:keepLines w:val="0"/>
        <w:pageBreakBefore w:val="0"/>
        <w:widowControl/>
        <w:kinsoku/>
        <w:wordWrap/>
        <w:autoSpaceDE/>
        <w:autoSpaceDN/>
        <w:bidi w:val="0"/>
        <w:ind w:left="567" w:hanging="567"/>
        <w:rPr>
          <w:rFonts w:hint="default" w:ascii="Times New Roman" w:hAnsi="Times New Roman" w:cs="Times New Roman"/>
          <w:highlight w:val="none"/>
          <w:lang w:val="en-US" w:eastAsia="zh-CN"/>
        </w:rPr>
      </w:pPr>
      <w:bookmarkStart w:id="26" w:name="_Toc13595"/>
      <w:r>
        <w:rPr>
          <w:rFonts w:hint="default" w:ascii="Times New Roman" w:hAnsi="Times New Roman" w:cs="Times New Roman"/>
          <w:highlight w:val="none"/>
          <w:lang w:val="en-US" w:eastAsia="zh-CN"/>
        </w:rPr>
        <w:t>欧盟</w:t>
      </w:r>
      <w:bookmarkEnd w:id="26"/>
    </w:p>
    <w:p w14:paraId="2BF626B0">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欧盟《关于限制挥发性有机化合物排放的第2004/42/EC号指令》</w:t>
      </w:r>
      <w:r>
        <w:rPr>
          <w:rFonts w:hint="eastAsia" w:cs="Times New Roman"/>
          <w:highlight w:val="none"/>
          <w:lang w:eastAsia="zh-CN"/>
        </w:rPr>
        <w:t>（</w:t>
      </w:r>
      <w:r>
        <w:rPr>
          <w:rFonts w:hint="default" w:ascii="Times New Roman" w:hAnsi="Times New Roman" w:cs="Times New Roman"/>
          <w:highlight w:val="none"/>
        </w:rPr>
        <w:t>Directive 2004/42/EC of the European Parliament and of the Council of 21 April 2004 on the limitation of emissions of volatile organic compounds</w:t>
      </w:r>
      <w:r>
        <w:rPr>
          <w:rFonts w:hint="eastAsia" w:cs="Times New Roman"/>
          <w:highlight w:val="none"/>
          <w:lang w:eastAsia="zh-CN"/>
        </w:rPr>
        <w:t>）</w:t>
      </w:r>
      <w:r>
        <w:rPr>
          <w:rFonts w:hint="default" w:ascii="Times New Roman" w:hAnsi="Times New Roman" w:cs="Times New Roman"/>
          <w:highlight w:val="none"/>
        </w:rPr>
        <w:t>规定了</w:t>
      </w:r>
      <w:r>
        <w:rPr>
          <w:rFonts w:hint="default" w:ascii="Times New Roman" w:hAnsi="Times New Roman" w:cs="Times New Roman"/>
          <w:highlight w:val="none"/>
          <w:lang w:eastAsia="zh-CN"/>
        </w:rPr>
        <w:t>汽车维修行业相关原辅料的</w:t>
      </w:r>
      <w:r>
        <w:rPr>
          <w:rFonts w:hint="default" w:ascii="Times New Roman" w:hAnsi="Times New Roman" w:cs="Times New Roman"/>
          <w:highlight w:val="none"/>
        </w:rPr>
        <w:t>VOCs</w:t>
      </w:r>
      <w:r>
        <w:rPr>
          <w:rFonts w:hint="default" w:ascii="Times New Roman" w:hAnsi="Times New Roman" w:cs="Times New Roman"/>
          <w:highlight w:val="none"/>
          <w:lang w:eastAsia="zh-CN"/>
        </w:rPr>
        <w:t>含量限值</w:t>
      </w:r>
      <w:r>
        <w:rPr>
          <w:rFonts w:hint="default" w:ascii="Times New Roman" w:hAnsi="Times New Roman" w:cs="Times New Roman"/>
          <w:highlight w:val="none"/>
        </w:rPr>
        <w:t>，最新的版本修订于2019年7月。</w:t>
      </w:r>
    </w:p>
    <w:p w14:paraId="6B61AB4B">
      <w:pPr>
        <w:keepNext w:val="0"/>
        <w:keepLines w:val="0"/>
        <w:pageBreakBefore w:val="0"/>
        <w:widowControl/>
        <w:kinsoku/>
        <w:wordWrap/>
        <w:autoSpaceDE/>
        <w:autoSpaceDN/>
        <w:bidi w:val="0"/>
        <w:ind w:left="0" w:leftChars="0" w:firstLine="0" w:firstLineChars="0"/>
        <w:jc w:val="center"/>
        <w:rPr>
          <w:rFonts w:hint="default" w:ascii="Times New Roman" w:hAnsi="Times New Roman" w:cs="Times New Roman"/>
          <w:highlight w:val="none"/>
        </w:rPr>
      </w:pPr>
      <w:r>
        <w:rPr>
          <w:rFonts w:hint="default" w:ascii="Times New Roman" w:hAnsi="Times New Roman" w:cs="Times New Roman"/>
          <w:highlight w:val="none"/>
        </w:rPr>
        <w:t>表</w:t>
      </w:r>
      <w:r>
        <w:rPr>
          <w:rFonts w:hint="default" w:ascii="Times New Roman" w:hAnsi="Times New Roman" w:cs="Times New Roman"/>
          <w:highlight w:val="none"/>
          <w:lang w:val="en-US" w:eastAsia="zh-CN"/>
        </w:rPr>
        <w:t>3.1</w:t>
      </w:r>
      <w:r>
        <w:rPr>
          <w:rFonts w:hint="default" w:ascii="Times New Roman" w:hAnsi="Times New Roman" w:cs="Times New Roman"/>
          <w:highlight w:val="none"/>
        </w:rPr>
        <w:t>-</w:t>
      </w:r>
      <w:r>
        <w:rPr>
          <w:rFonts w:hint="eastAsia" w:ascii="Times New Roman" w:hAnsi="Times New Roman" w:cs="Times New Roman"/>
          <w:highlight w:val="none"/>
          <w:lang w:val="en-US" w:eastAsia="zh-CN"/>
        </w:rPr>
        <w:t>5</w:t>
      </w:r>
      <w:r>
        <w:rPr>
          <w:rFonts w:hint="default" w:ascii="Times New Roman" w:hAnsi="Times New Roman" w:cs="Times New Roman"/>
          <w:highlight w:val="none"/>
        </w:rPr>
        <w:t xml:space="preserve"> 汽修</w:t>
      </w:r>
      <w:r>
        <w:rPr>
          <w:rFonts w:hint="default" w:ascii="Times New Roman" w:hAnsi="Times New Roman" w:cs="Times New Roman"/>
          <w:highlight w:val="none"/>
          <w:lang w:eastAsia="zh-CN"/>
        </w:rPr>
        <w:t>行业相关原辅料的</w:t>
      </w:r>
      <w:r>
        <w:rPr>
          <w:rFonts w:hint="default" w:ascii="Times New Roman" w:hAnsi="Times New Roman" w:cs="Times New Roman"/>
          <w:highlight w:val="none"/>
        </w:rPr>
        <w:t>VOCs</w:t>
      </w:r>
      <w:r>
        <w:rPr>
          <w:rFonts w:hint="default" w:ascii="Times New Roman" w:hAnsi="Times New Roman" w:cs="Times New Roman"/>
          <w:highlight w:val="none"/>
          <w:lang w:eastAsia="zh-CN"/>
        </w:rPr>
        <w:t>含量</w:t>
      </w:r>
      <w:r>
        <w:rPr>
          <w:rFonts w:hint="default" w:ascii="Times New Roman" w:hAnsi="Times New Roman" w:cs="Times New Roman"/>
          <w:highlight w:val="none"/>
        </w:rPr>
        <w:t>限值</w:t>
      </w:r>
    </w:p>
    <w:tbl>
      <w:tblPr>
        <w:tblStyle w:val="21"/>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12"/>
        <w:gridCol w:w="1962"/>
        <w:gridCol w:w="4022"/>
        <w:gridCol w:w="1723"/>
      </w:tblGrid>
      <w:tr w14:paraId="7970F0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jc w:val="center"/>
        </w:trPr>
        <w:tc>
          <w:tcPr>
            <w:tcW w:w="477" w:type="pct"/>
            <w:noWrap w:val="0"/>
            <w:vAlign w:val="center"/>
          </w:tcPr>
          <w:p w14:paraId="22859802">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b/>
                <w:bCs/>
                <w:sz w:val="21"/>
                <w:szCs w:val="21"/>
                <w:highlight w:val="none"/>
              </w:rPr>
            </w:pPr>
            <w:r>
              <w:rPr>
                <w:rFonts w:hint="default" w:ascii="Times New Roman" w:hAnsi="Times New Roman" w:cs="Times New Roman" w:eastAsiaTheme="minorEastAsia"/>
                <w:b/>
                <w:bCs/>
                <w:sz w:val="21"/>
                <w:szCs w:val="21"/>
                <w:highlight w:val="none"/>
              </w:rPr>
              <w:t>序号</w:t>
            </w:r>
          </w:p>
        </w:tc>
        <w:tc>
          <w:tcPr>
            <w:tcW w:w="1151" w:type="pct"/>
            <w:noWrap w:val="0"/>
            <w:vAlign w:val="center"/>
          </w:tcPr>
          <w:p w14:paraId="76AFEFD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b/>
                <w:bCs/>
                <w:sz w:val="21"/>
                <w:szCs w:val="21"/>
                <w:highlight w:val="none"/>
              </w:rPr>
            </w:pPr>
            <w:r>
              <w:rPr>
                <w:rFonts w:hint="default" w:ascii="Times New Roman" w:hAnsi="Times New Roman" w:cs="Times New Roman" w:eastAsiaTheme="minorEastAsia"/>
                <w:b/>
                <w:bCs/>
                <w:sz w:val="21"/>
                <w:szCs w:val="21"/>
                <w:highlight w:val="none"/>
              </w:rPr>
              <w:t>产品子类别</w:t>
            </w:r>
          </w:p>
        </w:tc>
        <w:tc>
          <w:tcPr>
            <w:tcW w:w="2360" w:type="pct"/>
            <w:noWrap w:val="0"/>
            <w:vAlign w:val="center"/>
          </w:tcPr>
          <w:p w14:paraId="0C08430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b/>
                <w:bCs/>
                <w:sz w:val="21"/>
                <w:szCs w:val="21"/>
                <w:highlight w:val="none"/>
              </w:rPr>
            </w:pPr>
            <w:r>
              <w:rPr>
                <w:rFonts w:hint="default" w:ascii="Times New Roman" w:hAnsi="Times New Roman" w:cs="Times New Roman" w:eastAsiaTheme="minorEastAsia"/>
                <w:b/>
                <w:bCs/>
                <w:sz w:val="21"/>
                <w:szCs w:val="21"/>
                <w:highlight w:val="none"/>
              </w:rPr>
              <w:t>类型</w:t>
            </w:r>
          </w:p>
        </w:tc>
        <w:tc>
          <w:tcPr>
            <w:tcW w:w="1011" w:type="pct"/>
            <w:noWrap w:val="0"/>
            <w:vAlign w:val="center"/>
          </w:tcPr>
          <w:p w14:paraId="41A6588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b/>
                <w:bCs/>
                <w:sz w:val="21"/>
                <w:szCs w:val="21"/>
                <w:highlight w:val="none"/>
              </w:rPr>
            </w:pPr>
            <w:r>
              <w:rPr>
                <w:rFonts w:hint="default" w:ascii="Times New Roman" w:hAnsi="Times New Roman" w:cs="Times New Roman" w:eastAsiaTheme="minorEastAsia"/>
                <w:b/>
                <w:bCs/>
                <w:sz w:val="21"/>
                <w:szCs w:val="21"/>
                <w:highlight w:val="none"/>
              </w:rPr>
              <w:t>VOCs(g/</w:t>
            </w:r>
            <w:r>
              <w:rPr>
                <w:rFonts w:hint="default" w:ascii="Times New Roman" w:hAnsi="Times New Roman" w:cs="Times New Roman" w:eastAsiaTheme="minorEastAsia"/>
                <w:b/>
                <w:bCs/>
                <w:sz w:val="21"/>
                <w:szCs w:val="21"/>
                <w:highlight w:val="none"/>
                <w:lang w:val="en-US" w:eastAsia="zh-CN"/>
              </w:rPr>
              <w:t>L</w:t>
            </w:r>
            <w:r>
              <w:rPr>
                <w:rFonts w:hint="default" w:ascii="Times New Roman" w:hAnsi="Times New Roman" w:cs="Times New Roman" w:eastAsiaTheme="minorEastAsia"/>
                <w:b/>
                <w:bCs/>
                <w:sz w:val="21"/>
                <w:szCs w:val="21"/>
                <w:highlight w:val="none"/>
              </w:rPr>
              <w:t>(*))</w:t>
            </w:r>
          </w:p>
          <w:p w14:paraId="21E7B688">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b/>
                <w:bCs/>
                <w:sz w:val="21"/>
                <w:szCs w:val="21"/>
                <w:highlight w:val="none"/>
              </w:rPr>
            </w:pPr>
            <w:r>
              <w:rPr>
                <w:rFonts w:hint="default" w:ascii="Times New Roman" w:hAnsi="Times New Roman" w:cs="Times New Roman" w:eastAsiaTheme="minorEastAsia"/>
                <w:b/>
                <w:bCs/>
                <w:sz w:val="21"/>
                <w:szCs w:val="21"/>
                <w:highlight w:val="none"/>
              </w:rPr>
              <w:t>(2007.1.1)</w:t>
            </w:r>
          </w:p>
        </w:tc>
      </w:tr>
      <w:tr w14:paraId="327601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477" w:type="pct"/>
            <w:vMerge w:val="restart"/>
            <w:noWrap w:val="0"/>
            <w:vAlign w:val="center"/>
          </w:tcPr>
          <w:p w14:paraId="7EBC1F31">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1</w:t>
            </w:r>
          </w:p>
        </w:tc>
        <w:tc>
          <w:tcPr>
            <w:tcW w:w="1151" w:type="pct"/>
            <w:vMerge w:val="restart"/>
            <w:noWrap w:val="0"/>
            <w:vAlign w:val="center"/>
          </w:tcPr>
          <w:p w14:paraId="25A8CD2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准备和清洁</w:t>
            </w:r>
          </w:p>
        </w:tc>
        <w:tc>
          <w:tcPr>
            <w:tcW w:w="2360" w:type="pct"/>
            <w:noWrap w:val="0"/>
            <w:vAlign w:val="center"/>
          </w:tcPr>
          <w:p w14:paraId="3FF23F5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预处理</w:t>
            </w:r>
          </w:p>
        </w:tc>
        <w:tc>
          <w:tcPr>
            <w:tcW w:w="1011" w:type="pct"/>
            <w:vMerge w:val="restart"/>
            <w:noWrap w:val="0"/>
            <w:vAlign w:val="center"/>
          </w:tcPr>
          <w:p w14:paraId="47D4805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850</w:t>
            </w:r>
          </w:p>
          <w:p w14:paraId="17752EC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200</w:t>
            </w:r>
          </w:p>
        </w:tc>
      </w:tr>
      <w:tr w14:paraId="05A654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477" w:type="pct"/>
            <w:vMerge w:val="continue"/>
            <w:noWrap w:val="0"/>
            <w:vAlign w:val="center"/>
          </w:tcPr>
          <w:p w14:paraId="79DEA1D6">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p>
        </w:tc>
        <w:tc>
          <w:tcPr>
            <w:tcW w:w="1151" w:type="pct"/>
            <w:vMerge w:val="continue"/>
            <w:noWrap w:val="0"/>
            <w:vAlign w:val="center"/>
          </w:tcPr>
          <w:p w14:paraId="2FF01C48">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p>
        </w:tc>
        <w:tc>
          <w:tcPr>
            <w:tcW w:w="2360" w:type="pct"/>
            <w:noWrap w:val="0"/>
            <w:vAlign w:val="center"/>
          </w:tcPr>
          <w:p w14:paraId="5BEE498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清洁</w:t>
            </w:r>
          </w:p>
        </w:tc>
        <w:tc>
          <w:tcPr>
            <w:tcW w:w="1011" w:type="pct"/>
            <w:vMerge w:val="continue"/>
            <w:noWrap w:val="0"/>
            <w:vAlign w:val="center"/>
          </w:tcPr>
          <w:p w14:paraId="4299935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p>
        </w:tc>
      </w:tr>
      <w:tr w14:paraId="308729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77" w:type="pct"/>
            <w:noWrap w:val="0"/>
            <w:vAlign w:val="center"/>
          </w:tcPr>
          <w:p w14:paraId="74745D49">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2</w:t>
            </w:r>
          </w:p>
        </w:tc>
        <w:tc>
          <w:tcPr>
            <w:tcW w:w="1151" w:type="pct"/>
            <w:noWrap w:val="0"/>
            <w:vAlign w:val="center"/>
          </w:tcPr>
          <w:p w14:paraId="3BA6B431">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车身填充/腻子</w:t>
            </w:r>
          </w:p>
        </w:tc>
        <w:tc>
          <w:tcPr>
            <w:tcW w:w="2360" w:type="pct"/>
            <w:noWrap w:val="0"/>
            <w:vAlign w:val="center"/>
          </w:tcPr>
          <w:p w14:paraId="4141EE4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所有类型</w:t>
            </w:r>
          </w:p>
        </w:tc>
        <w:tc>
          <w:tcPr>
            <w:tcW w:w="1011" w:type="pct"/>
            <w:noWrap w:val="0"/>
            <w:vAlign w:val="center"/>
          </w:tcPr>
          <w:p w14:paraId="3BB397E9">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250</w:t>
            </w:r>
          </w:p>
        </w:tc>
      </w:tr>
      <w:tr w14:paraId="043823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77" w:type="pct"/>
            <w:noWrap w:val="0"/>
            <w:vAlign w:val="center"/>
          </w:tcPr>
          <w:p w14:paraId="3AE5D30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3</w:t>
            </w:r>
          </w:p>
        </w:tc>
        <w:tc>
          <w:tcPr>
            <w:tcW w:w="1151" w:type="pct"/>
            <w:noWrap w:val="0"/>
            <w:vAlign w:val="center"/>
          </w:tcPr>
          <w:p w14:paraId="6E06525E">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底漆</w:t>
            </w:r>
          </w:p>
        </w:tc>
        <w:tc>
          <w:tcPr>
            <w:tcW w:w="2360" w:type="pct"/>
            <w:noWrap w:val="0"/>
            <w:vAlign w:val="center"/>
          </w:tcPr>
          <w:p w14:paraId="45EFF76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表面修正/填充和普通(金属)底漆</w:t>
            </w:r>
          </w:p>
          <w:p w14:paraId="79F40A4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洗涤底漆</w:t>
            </w:r>
          </w:p>
        </w:tc>
        <w:tc>
          <w:tcPr>
            <w:tcW w:w="1011" w:type="pct"/>
            <w:noWrap w:val="0"/>
            <w:vAlign w:val="center"/>
          </w:tcPr>
          <w:p w14:paraId="35164BA9">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540</w:t>
            </w:r>
          </w:p>
          <w:p w14:paraId="632CFBD3">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780</w:t>
            </w:r>
          </w:p>
        </w:tc>
      </w:tr>
      <w:tr w14:paraId="72916A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77" w:type="pct"/>
            <w:noWrap w:val="0"/>
            <w:vAlign w:val="center"/>
          </w:tcPr>
          <w:p w14:paraId="03439B92">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4</w:t>
            </w:r>
          </w:p>
        </w:tc>
        <w:tc>
          <w:tcPr>
            <w:tcW w:w="1151" w:type="pct"/>
            <w:noWrap w:val="0"/>
            <w:vAlign w:val="center"/>
          </w:tcPr>
          <w:p w14:paraId="2ADCC1F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面漆</w:t>
            </w:r>
          </w:p>
        </w:tc>
        <w:tc>
          <w:tcPr>
            <w:tcW w:w="2360" w:type="pct"/>
            <w:noWrap w:val="0"/>
            <w:vAlign w:val="center"/>
          </w:tcPr>
          <w:p w14:paraId="29CAD136">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所有类型</w:t>
            </w:r>
          </w:p>
        </w:tc>
        <w:tc>
          <w:tcPr>
            <w:tcW w:w="1011" w:type="pct"/>
            <w:noWrap w:val="0"/>
            <w:vAlign w:val="center"/>
          </w:tcPr>
          <w:p w14:paraId="7C5BC52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420</w:t>
            </w:r>
          </w:p>
        </w:tc>
      </w:tr>
      <w:tr w14:paraId="4D5C81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77" w:type="pct"/>
            <w:noWrap w:val="0"/>
            <w:vAlign w:val="center"/>
          </w:tcPr>
          <w:p w14:paraId="714433B8">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5</w:t>
            </w:r>
          </w:p>
        </w:tc>
        <w:tc>
          <w:tcPr>
            <w:tcW w:w="1151" w:type="pct"/>
            <w:noWrap w:val="0"/>
            <w:vAlign w:val="center"/>
          </w:tcPr>
          <w:p w14:paraId="426F0FC4">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特殊罩光漆</w:t>
            </w:r>
          </w:p>
        </w:tc>
        <w:tc>
          <w:tcPr>
            <w:tcW w:w="2360" w:type="pct"/>
            <w:noWrap w:val="0"/>
            <w:vAlign w:val="center"/>
          </w:tcPr>
          <w:p w14:paraId="6501419A">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所有类型</w:t>
            </w:r>
          </w:p>
        </w:tc>
        <w:tc>
          <w:tcPr>
            <w:tcW w:w="1011" w:type="pct"/>
            <w:noWrap w:val="0"/>
            <w:vAlign w:val="center"/>
          </w:tcPr>
          <w:p w14:paraId="40F76AE3">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840</w:t>
            </w:r>
          </w:p>
        </w:tc>
      </w:tr>
    </w:tbl>
    <w:p w14:paraId="10821506">
      <w:pPr>
        <w:keepNext w:val="0"/>
        <w:keepLines w:val="0"/>
        <w:pageBreakBefore w:val="0"/>
        <w:widowControl/>
        <w:kinsoku/>
        <w:wordWrap/>
        <w:autoSpaceDE/>
        <w:autoSpaceDN/>
        <w:bidi w:val="0"/>
        <w:spacing w:line="360" w:lineRule="auto"/>
        <w:jc w:val="left"/>
        <w:rPr>
          <w:rFonts w:hint="default" w:ascii="Times New Roman" w:hAnsi="Times New Roman" w:cs="Times New Roman"/>
          <w:sz w:val="18"/>
          <w:szCs w:val="18"/>
          <w:highlight w:val="none"/>
        </w:rPr>
      </w:pPr>
      <w:r>
        <w:rPr>
          <w:rFonts w:hint="default" w:ascii="Times New Roman" w:hAnsi="Times New Roman" w:cs="Times New Roman"/>
          <w:sz w:val="18"/>
          <w:szCs w:val="18"/>
          <w:highlight w:val="none"/>
        </w:rPr>
        <w:t>(*)g/</w:t>
      </w:r>
      <w:r>
        <w:rPr>
          <w:rFonts w:hint="default" w:ascii="Times New Roman" w:hAnsi="Times New Roman" w:cs="Times New Roman"/>
          <w:sz w:val="18"/>
          <w:szCs w:val="18"/>
          <w:highlight w:val="none"/>
          <w:lang w:val="en-US" w:eastAsia="zh-CN"/>
        </w:rPr>
        <w:t>L</w:t>
      </w:r>
      <w:r>
        <w:rPr>
          <w:rFonts w:hint="default" w:ascii="Times New Roman" w:hAnsi="Times New Roman" w:cs="Times New Roman"/>
          <w:sz w:val="18"/>
          <w:szCs w:val="18"/>
          <w:highlight w:val="none"/>
        </w:rPr>
        <w:t>除了（a）类，产品中的水含量都要扣除</w:t>
      </w:r>
    </w:p>
    <w:p w14:paraId="3B6E0AD4">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此外，在《关于工业排放的指令》</w:t>
      </w:r>
      <w:r>
        <w:rPr>
          <w:rFonts w:hint="eastAsia" w:cs="Times New Roman"/>
          <w:highlight w:val="none"/>
          <w:lang w:eastAsia="zh-CN"/>
        </w:rPr>
        <w:t>（</w:t>
      </w:r>
      <w:r>
        <w:rPr>
          <w:rFonts w:hint="default" w:ascii="Times New Roman" w:hAnsi="Times New Roman" w:cs="Times New Roman"/>
          <w:highlight w:val="none"/>
        </w:rPr>
        <w:t>Directive 2010/75/EU of the European Parliament and of the Council of 24 November 2010 on industrial emissions</w:t>
      </w:r>
      <w:r>
        <w:rPr>
          <w:rFonts w:hint="eastAsia" w:cs="Times New Roman"/>
          <w:highlight w:val="none"/>
          <w:lang w:eastAsia="zh-CN"/>
        </w:rPr>
        <w:t>）</w:t>
      </w:r>
      <w:r>
        <w:rPr>
          <w:rFonts w:hint="default" w:ascii="Times New Roman" w:hAnsi="Times New Roman" w:cs="Times New Roman"/>
          <w:highlight w:val="none"/>
          <w:lang w:eastAsia="zh-CN"/>
        </w:rPr>
        <w:t>中</w:t>
      </w:r>
      <w:r>
        <w:rPr>
          <w:rFonts w:hint="default" w:ascii="Times New Roman" w:hAnsi="Times New Roman" w:cs="Times New Roman"/>
          <w:highlight w:val="none"/>
        </w:rPr>
        <w:t>对</w:t>
      </w:r>
      <w:r>
        <w:rPr>
          <w:rFonts w:hint="default" w:ascii="Times New Roman" w:hAnsi="Times New Roman" w:cs="Times New Roman"/>
          <w:highlight w:val="none"/>
          <w:lang w:eastAsia="zh-CN"/>
        </w:rPr>
        <w:t>车辆涂层和修补过程</w:t>
      </w:r>
      <w:r>
        <w:rPr>
          <w:rFonts w:hint="default" w:ascii="Times New Roman" w:hAnsi="Times New Roman" w:cs="Times New Roman"/>
          <w:highlight w:val="none"/>
        </w:rPr>
        <w:t>的排放做出了限值要求</w:t>
      </w:r>
      <w:r>
        <w:rPr>
          <w:rFonts w:hint="default" w:ascii="Times New Roman" w:hAnsi="Times New Roman" w:cs="Times New Roman"/>
          <w:highlight w:val="none"/>
          <w:lang w:eastAsia="zh-CN"/>
        </w:rPr>
        <w:t>，详见</w:t>
      </w:r>
      <w:r>
        <w:rPr>
          <w:rFonts w:hint="default" w:ascii="Times New Roman" w:hAnsi="Times New Roman" w:cs="Times New Roman"/>
          <w:highlight w:val="none"/>
          <w:lang w:val="en-US" w:eastAsia="zh-CN"/>
        </w:rPr>
        <w:t>表3.1-</w:t>
      </w:r>
      <w:r>
        <w:rPr>
          <w:rFonts w:hint="eastAsia" w:ascii="Times New Roman" w:hAnsi="Times New Roman" w:cs="Times New Roman"/>
          <w:highlight w:val="none"/>
          <w:lang w:val="en-US" w:eastAsia="zh-CN"/>
        </w:rPr>
        <w:t>6</w:t>
      </w:r>
      <w:r>
        <w:rPr>
          <w:rFonts w:hint="default" w:ascii="Times New Roman" w:hAnsi="Times New Roman" w:cs="Times New Roman"/>
          <w:highlight w:val="none"/>
        </w:rPr>
        <w:t>。</w:t>
      </w:r>
    </w:p>
    <w:p w14:paraId="5D48F985">
      <w:pPr>
        <w:keepNext w:val="0"/>
        <w:keepLines w:val="0"/>
        <w:pageBreakBefore w:val="0"/>
        <w:widowControl/>
        <w:kinsoku/>
        <w:wordWrap/>
        <w:autoSpaceDE/>
        <w:autoSpaceDN/>
        <w:bidi w:val="0"/>
        <w:ind w:left="0" w:leftChars="0" w:firstLine="0" w:firstLineChars="0"/>
        <w:jc w:val="center"/>
        <w:rPr>
          <w:rFonts w:hint="default" w:ascii="Times New Roman" w:hAnsi="Times New Roman" w:cs="Times New Roman"/>
          <w:highlight w:val="none"/>
        </w:rPr>
      </w:pPr>
      <w:r>
        <w:rPr>
          <w:rFonts w:hint="default" w:ascii="Times New Roman" w:hAnsi="Times New Roman" w:cs="Times New Roman"/>
          <w:highlight w:val="none"/>
        </w:rPr>
        <w:t>表</w:t>
      </w:r>
      <w:r>
        <w:rPr>
          <w:rFonts w:hint="default" w:ascii="Times New Roman" w:hAnsi="Times New Roman" w:cs="Times New Roman"/>
          <w:highlight w:val="none"/>
          <w:lang w:val="en-US" w:eastAsia="zh-CN"/>
        </w:rPr>
        <w:t>3.1</w:t>
      </w:r>
      <w:r>
        <w:rPr>
          <w:rFonts w:hint="default" w:ascii="Times New Roman" w:hAnsi="Times New Roman" w:cs="Times New Roman"/>
          <w:highlight w:val="none"/>
        </w:rPr>
        <w:t>-</w:t>
      </w:r>
      <w:r>
        <w:rPr>
          <w:rFonts w:hint="eastAsia" w:ascii="Times New Roman" w:hAnsi="Times New Roman" w:cs="Times New Roman"/>
          <w:highlight w:val="none"/>
          <w:lang w:val="en-US" w:eastAsia="zh-CN"/>
        </w:rPr>
        <w:t>6</w:t>
      </w:r>
      <w:r>
        <w:rPr>
          <w:rFonts w:hint="default" w:ascii="Times New Roman" w:hAnsi="Times New Roman" w:cs="Times New Roman"/>
          <w:highlight w:val="none"/>
        </w:rPr>
        <w:t xml:space="preserve"> 汽修行业排放要求</w:t>
      </w:r>
    </w:p>
    <w:tbl>
      <w:tblPr>
        <w:tblStyle w:val="21"/>
        <w:tblW w:w="4998"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950"/>
        <w:gridCol w:w="1701"/>
        <w:gridCol w:w="1558"/>
        <w:gridCol w:w="1984"/>
        <w:gridCol w:w="1326"/>
      </w:tblGrid>
      <w:tr w14:paraId="6EDDEC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1144" w:type="pct"/>
            <w:noWrap w:val="0"/>
            <w:vAlign w:val="center"/>
          </w:tcPr>
          <w:p w14:paraId="257E2769">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b/>
                <w:bCs/>
                <w:sz w:val="21"/>
                <w:szCs w:val="21"/>
                <w:highlight w:val="none"/>
              </w:rPr>
            </w:pPr>
            <w:r>
              <w:rPr>
                <w:rFonts w:hint="default" w:ascii="Times New Roman" w:hAnsi="Times New Roman" w:cs="Times New Roman" w:eastAsiaTheme="minorEastAsia"/>
                <w:b/>
                <w:bCs/>
                <w:sz w:val="21"/>
                <w:szCs w:val="21"/>
                <w:highlight w:val="none"/>
                <w:lang w:eastAsia="zh-CN"/>
              </w:rPr>
              <w:t>类别</w:t>
            </w:r>
            <w:r>
              <w:rPr>
                <w:rFonts w:hint="eastAsia" w:cs="Times New Roman" w:eastAsiaTheme="minorEastAsia"/>
                <w:b/>
                <w:bCs/>
                <w:sz w:val="21"/>
                <w:szCs w:val="21"/>
                <w:highlight w:val="none"/>
                <w:lang w:eastAsia="zh-CN"/>
              </w:rPr>
              <w:t>（</w:t>
            </w:r>
            <w:r>
              <w:rPr>
                <w:rFonts w:hint="default" w:ascii="Times New Roman" w:hAnsi="Times New Roman" w:cs="Times New Roman" w:eastAsiaTheme="minorEastAsia"/>
                <w:b/>
                <w:bCs/>
                <w:sz w:val="21"/>
                <w:szCs w:val="21"/>
                <w:highlight w:val="none"/>
              </w:rPr>
              <w:t>溶剂消耗阈值 吨/年</w:t>
            </w:r>
            <w:r>
              <w:rPr>
                <w:rFonts w:hint="eastAsia" w:cs="Times New Roman" w:eastAsiaTheme="minorEastAsia"/>
                <w:b/>
                <w:bCs/>
                <w:sz w:val="21"/>
                <w:szCs w:val="21"/>
                <w:highlight w:val="none"/>
                <w:lang w:eastAsia="zh-CN"/>
              </w:rPr>
              <w:t>）</w:t>
            </w:r>
          </w:p>
        </w:tc>
        <w:tc>
          <w:tcPr>
            <w:tcW w:w="998" w:type="pct"/>
            <w:noWrap w:val="0"/>
            <w:vAlign w:val="center"/>
          </w:tcPr>
          <w:p w14:paraId="0931384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b/>
                <w:bCs/>
                <w:sz w:val="21"/>
                <w:szCs w:val="21"/>
                <w:highlight w:val="none"/>
              </w:rPr>
            </w:pPr>
            <w:r>
              <w:rPr>
                <w:rFonts w:hint="default" w:ascii="Times New Roman" w:hAnsi="Times New Roman" w:cs="Times New Roman" w:eastAsiaTheme="minorEastAsia"/>
                <w:b/>
                <w:bCs/>
                <w:sz w:val="21"/>
                <w:szCs w:val="21"/>
                <w:highlight w:val="none"/>
              </w:rPr>
              <w:t>溶剂消耗阈值</w:t>
            </w:r>
          </w:p>
          <w:p w14:paraId="2FC327AE">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b/>
                <w:bCs/>
                <w:sz w:val="21"/>
                <w:szCs w:val="21"/>
                <w:highlight w:val="none"/>
              </w:rPr>
            </w:pPr>
            <w:r>
              <w:rPr>
                <w:rFonts w:hint="eastAsia" w:cs="Times New Roman" w:eastAsiaTheme="minorEastAsia"/>
                <w:b/>
                <w:bCs/>
                <w:sz w:val="21"/>
                <w:szCs w:val="21"/>
                <w:highlight w:val="none"/>
                <w:lang w:eastAsia="zh-CN"/>
              </w:rPr>
              <w:t>（</w:t>
            </w:r>
            <w:r>
              <w:rPr>
                <w:rFonts w:hint="default" w:ascii="Times New Roman" w:hAnsi="Times New Roman" w:cs="Times New Roman" w:eastAsiaTheme="minorEastAsia"/>
                <w:b/>
                <w:bCs/>
                <w:sz w:val="21"/>
                <w:szCs w:val="21"/>
                <w:highlight w:val="none"/>
              </w:rPr>
              <w:t>吨/年</w:t>
            </w:r>
            <w:r>
              <w:rPr>
                <w:rFonts w:hint="eastAsia" w:cs="Times New Roman" w:eastAsiaTheme="minorEastAsia"/>
                <w:b/>
                <w:bCs/>
                <w:sz w:val="21"/>
                <w:szCs w:val="21"/>
                <w:highlight w:val="none"/>
                <w:lang w:eastAsia="zh-CN"/>
              </w:rPr>
              <w:t>）</w:t>
            </w:r>
          </w:p>
        </w:tc>
        <w:tc>
          <w:tcPr>
            <w:tcW w:w="914" w:type="pct"/>
            <w:noWrap w:val="0"/>
            <w:vAlign w:val="center"/>
          </w:tcPr>
          <w:p w14:paraId="52052C7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b/>
                <w:bCs/>
                <w:sz w:val="21"/>
                <w:szCs w:val="21"/>
                <w:highlight w:val="none"/>
              </w:rPr>
            </w:pPr>
            <w:r>
              <w:rPr>
                <w:rFonts w:hint="default" w:ascii="Times New Roman" w:hAnsi="Times New Roman" w:cs="Times New Roman" w:eastAsiaTheme="minorEastAsia"/>
                <w:b/>
                <w:bCs/>
                <w:sz w:val="21"/>
                <w:szCs w:val="21"/>
                <w:highlight w:val="none"/>
              </w:rPr>
              <w:t>排放限值</w:t>
            </w:r>
          </w:p>
          <w:p w14:paraId="5F365D44">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b/>
                <w:bCs/>
                <w:sz w:val="21"/>
                <w:szCs w:val="21"/>
                <w:highlight w:val="none"/>
              </w:rPr>
            </w:pPr>
            <w:r>
              <w:rPr>
                <w:rFonts w:hint="eastAsia" w:cs="Times New Roman" w:eastAsiaTheme="minorEastAsia"/>
                <w:b/>
                <w:bCs/>
                <w:sz w:val="21"/>
                <w:szCs w:val="21"/>
                <w:highlight w:val="none"/>
                <w:lang w:eastAsia="zh-CN"/>
              </w:rPr>
              <w:t>（</w:t>
            </w:r>
            <w:r>
              <w:rPr>
                <w:rFonts w:hint="default" w:ascii="Times New Roman" w:hAnsi="Times New Roman" w:cs="Times New Roman" w:eastAsiaTheme="minorEastAsia"/>
                <w:b/>
                <w:bCs/>
                <w:sz w:val="21"/>
                <w:szCs w:val="21"/>
                <w:highlight w:val="none"/>
              </w:rPr>
              <w:t>mg C/Nm</w:t>
            </w:r>
            <w:r>
              <w:rPr>
                <w:rFonts w:hint="default" w:ascii="Times New Roman" w:hAnsi="Times New Roman" w:cs="Times New Roman" w:eastAsiaTheme="minorEastAsia"/>
                <w:b/>
                <w:bCs/>
                <w:sz w:val="21"/>
                <w:szCs w:val="21"/>
                <w:highlight w:val="none"/>
                <w:vertAlign w:val="superscript"/>
              </w:rPr>
              <w:t>3</w:t>
            </w:r>
            <w:r>
              <w:rPr>
                <w:rFonts w:hint="eastAsia" w:cs="Times New Roman" w:eastAsiaTheme="minorEastAsia"/>
                <w:b/>
                <w:bCs/>
                <w:sz w:val="21"/>
                <w:szCs w:val="21"/>
                <w:highlight w:val="none"/>
                <w:lang w:eastAsia="zh-CN"/>
              </w:rPr>
              <w:t>）</w:t>
            </w:r>
          </w:p>
        </w:tc>
        <w:tc>
          <w:tcPr>
            <w:tcW w:w="1164" w:type="pct"/>
            <w:noWrap w:val="0"/>
            <w:vAlign w:val="center"/>
          </w:tcPr>
          <w:p w14:paraId="6F947958">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b/>
                <w:bCs/>
                <w:sz w:val="21"/>
                <w:szCs w:val="21"/>
                <w:highlight w:val="none"/>
              </w:rPr>
            </w:pPr>
            <w:r>
              <w:rPr>
                <w:rFonts w:hint="default" w:ascii="Times New Roman" w:hAnsi="Times New Roman" w:cs="Times New Roman" w:eastAsiaTheme="minorEastAsia"/>
                <w:b/>
                <w:bCs/>
                <w:sz w:val="21"/>
                <w:szCs w:val="21"/>
                <w:highlight w:val="none"/>
              </w:rPr>
              <w:t>逸散性排放限值</w:t>
            </w:r>
          </w:p>
          <w:p w14:paraId="0836AD89">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b/>
                <w:bCs/>
                <w:sz w:val="21"/>
                <w:szCs w:val="21"/>
                <w:highlight w:val="none"/>
              </w:rPr>
            </w:pPr>
            <w:r>
              <w:rPr>
                <w:rFonts w:hint="default" w:ascii="Times New Roman" w:hAnsi="Times New Roman" w:cs="Times New Roman" w:eastAsiaTheme="minorEastAsia"/>
                <w:b/>
                <w:bCs/>
                <w:sz w:val="21"/>
                <w:szCs w:val="21"/>
                <w:highlight w:val="none"/>
              </w:rPr>
              <w:t>溶剂输入百分比</w:t>
            </w:r>
          </w:p>
        </w:tc>
        <w:tc>
          <w:tcPr>
            <w:tcW w:w="778" w:type="pct"/>
            <w:noWrap w:val="0"/>
            <w:vAlign w:val="center"/>
          </w:tcPr>
          <w:p w14:paraId="40E925F1">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b/>
                <w:bCs/>
                <w:sz w:val="21"/>
                <w:szCs w:val="21"/>
                <w:highlight w:val="none"/>
              </w:rPr>
            </w:pPr>
            <w:r>
              <w:rPr>
                <w:rFonts w:hint="default" w:ascii="Times New Roman" w:hAnsi="Times New Roman" w:cs="Times New Roman" w:eastAsiaTheme="minorEastAsia"/>
                <w:b/>
                <w:bCs/>
                <w:sz w:val="21"/>
                <w:szCs w:val="21"/>
                <w:highlight w:val="none"/>
              </w:rPr>
              <w:t>特殊条款</w:t>
            </w:r>
          </w:p>
        </w:tc>
      </w:tr>
      <w:tr w14:paraId="0DF1F9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144" w:type="pct"/>
            <w:noWrap w:val="0"/>
            <w:vAlign w:val="center"/>
          </w:tcPr>
          <w:p w14:paraId="78E4FA3D">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车辆涂层(＜15)</w:t>
            </w:r>
          </w:p>
        </w:tc>
        <w:tc>
          <w:tcPr>
            <w:tcW w:w="998" w:type="pct"/>
            <w:noWrap w:val="0"/>
            <w:vAlign w:val="center"/>
          </w:tcPr>
          <w:p w14:paraId="5A2151F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＞0</w:t>
            </w:r>
          </w:p>
        </w:tc>
        <w:tc>
          <w:tcPr>
            <w:tcW w:w="914" w:type="pct"/>
            <w:noWrap w:val="0"/>
            <w:vAlign w:val="center"/>
          </w:tcPr>
          <w:p w14:paraId="5F3B9BCD">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50</w:t>
            </w:r>
          </w:p>
        </w:tc>
        <w:tc>
          <w:tcPr>
            <w:tcW w:w="1164" w:type="pct"/>
            <w:noWrap w:val="0"/>
            <w:vAlign w:val="center"/>
          </w:tcPr>
          <w:p w14:paraId="111BC84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25</w:t>
            </w:r>
          </w:p>
        </w:tc>
        <w:tc>
          <w:tcPr>
            <w:tcW w:w="778" w:type="pct"/>
            <w:noWrap w:val="0"/>
            <w:vAlign w:val="center"/>
          </w:tcPr>
          <w:p w14:paraId="0408D76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15分钟测量平均值</w:t>
            </w:r>
          </w:p>
        </w:tc>
      </w:tr>
      <w:tr w14:paraId="09F86C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144" w:type="pct"/>
            <w:noWrap w:val="0"/>
            <w:vAlign w:val="center"/>
          </w:tcPr>
          <w:p w14:paraId="0E96A186">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车辆修补</w:t>
            </w:r>
          </w:p>
        </w:tc>
        <w:tc>
          <w:tcPr>
            <w:tcW w:w="998" w:type="pct"/>
            <w:noWrap w:val="0"/>
            <w:vAlign w:val="center"/>
          </w:tcPr>
          <w:p w14:paraId="0AC031A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5</w:t>
            </w:r>
          </w:p>
        </w:tc>
        <w:tc>
          <w:tcPr>
            <w:tcW w:w="914" w:type="pct"/>
            <w:noWrap w:val="0"/>
            <w:vAlign w:val="center"/>
          </w:tcPr>
          <w:p w14:paraId="3D068498">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50</w:t>
            </w:r>
          </w:p>
        </w:tc>
        <w:tc>
          <w:tcPr>
            <w:tcW w:w="1164" w:type="pct"/>
            <w:noWrap w:val="0"/>
            <w:vAlign w:val="center"/>
          </w:tcPr>
          <w:p w14:paraId="33D8E1D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25</w:t>
            </w:r>
          </w:p>
        </w:tc>
        <w:tc>
          <w:tcPr>
            <w:tcW w:w="778" w:type="pct"/>
            <w:noWrap w:val="0"/>
            <w:vAlign w:val="center"/>
          </w:tcPr>
          <w:p w14:paraId="25DF1ED6">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15分钟测量平均值</w:t>
            </w:r>
          </w:p>
        </w:tc>
      </w:tr>
    </w:tbl>
    <w:p w14:paraId="723B35E5">
      <w:pPr>
        <w:pStyle w:val="4"/>
        <w:keepNext w:val="0"/>
        <w:keepLines w:val="0"/>
        <w:pageBreakBefore w:val="0"/>
        <w:widowControl/>
        <w:kinsoku/>
        <w:wordWrap/>
        <w:autoSpaceDE/>
        <w:autoSpaceDN/>
        <w:bidi w:val="0"/>
        <w:ind w:left="567" w:hanging="567"/>
        <w:rPr>
          <w:rFonts w:hint="default" w:ascii="Times New Roman" w:hAnsi="Times New Roman" w:cs="Times New Roman"/>
          <w:highlight w:val="none"/>
          <w:lang w:val="en-US" w:eastAsia="zh-CN"/>
        </w:rPr>
      </w:pPr>
      <w:bookmarkStart w:id="27" w:name="_Toc19547"/>
      <w:r>
        <w:rPr>
          <w:rFonts w:hint="default" w:ascii="Times New Roman" w:hAnsi="Times New Roman" w:cs="Times New Roman"/>
          <w:highlight w:val="none"/>
          <w:lang w:val="en-US" w:eastAsia="zh-CN"/>
        </w:rPr>
        <w:t>英国</w:t>
      </w:r>
      <w:bookmarkEnd w:id="27"/>
    </w:p>
    <w:p w14:paraId="1785C10E">
      <w:pPr>
        <w:keepNext w:val="0"/>
        <w:keepLines w:val="0"/>
        <w:pageBreakBefore w:val="0"/>
        <w:widowControl/>
        <w:kinsoku/>
        <w:wordWrap/>
        <w:autoSpaceDE/>
        <w:autoSpaceDN/>
        <w:bidi w:val="0"/>
        <w:rPr>
          <w:rFonts w:hint="default" w:ascii="Times New Roman" w:hAnsi="Times New Roman" w:eastAsia="宋体" w:cs="Times New Roman"/>
          <w:highlight w:val="none"/>
          <w:lang w:val="en-US" w:eastAsia="zh-CN"/>
        </w:rPr>
      </w:pPr>
      <w:r>
        <w:rPr>
          <w:rFonts w:hint="default" w:ascii="Times New Roman" w:hAnsi="Times New Roman" w:cs="Times New Roman"/>
          <w:highlight w:val="none"/>
        </w:rPr>
        <w:t>英国</w:t>
      </w:r>
      <w:r>
        <w:rPr>
          <w:rFonts w:hint="default" w:ascii="Times New Roman" w:hAnsi="Times New Roman" w:cs="Times New Roman"/>
          <w:highlight w:val="none"/>
          <w:lang w:eastAsia="zh-CN"/>
        </w:rPr>
        <w:t>发布的</w:t>
      </w:r>
      <w:r>
        <w:rPr>
          <w:rFonts w:hint="default" w:ascii="Times New Roman" w:hAnsi="Times New Roman" w:cs="Times New Roman"/>
          <w:highlight w:val="none"/>
        </w:rPr>
        <w:t>《2012年涂料、清漆和车辆修补产品中的挥发性有机化合物法规》</w:t>
      </w:r>
      <w:r>
        <w:rPr>
          <w:rFonts w:hint="eastAsia" w:cs="Times New Roman"/>
          <w:highlight w:val="none"/>
          <w:lang w:eastAsia="zh-CN"/>
        </w:rPr>
        <w:t>（</w:t>
      </w:r>
      <w:r>
        <w:rPr>
          <w:rFonts w:hint="default" w:ascii="Times New Roman" w:hAnsi="Times New Roman" w:cs="Times New Roman"/>
          <w:highlight w:val="none"/>
        </w:rPr>
        <w:t>The Volatile Organic Compounds in Paints</w:t>
      </w:r>
      <w:r>
        <w:rPr>
          <w:rFonts w:hint="eastAsia" w:cs="Times New Roman"/>
          <w:highlight w:val="none"/>
          <w:lang w:val="en-US" w:eastAsia="zh-CN"/>
        </w:rPr>
        <w:t>,</w:t>
      </w:r>
      <w:r>
        <w:rPr>
          <w:rFonts w:hint="default" w:ascii="Times New Roman" w:hAnsi="Times New Roman" w:cs="Times New Roman"/>
          <w:highlight w:val="none"/>
        </w:rPr>
        <w:t>Varnishes and Vehicle Refinishing Products Regulations 2012</w:t>
      </w:r>
      <w:r>
        <w:rPr>
          <w:rFonts w:hint="eastAsia" w:cs="Times New Roman"/>
          <w:highlight w:val="none"/>
          <w:lang w:eastAsia="zh-CN"/>
        </w:rPr>
        <w:t>）</w:t>
      </w:r>
      <w:r>
        <w:rPr>
          <w:rFonts w:hint="default" w:ascii="Times New Roman" w:hAnsi="Times New Roman" w:cs="Times New Roman"/>
          <w:highlight w:val="none"/>
        </w:rPr>
        <w:t>规定了汽车修补产品（即用型）VOCs含量限值，</w:t>
      </w:r>
      <w:r>
        <w:rPr>
          <w:rFonts w:hint="default" w:ascii="Times New Roman" w:hAnsi="Times New Roman" w:cs="Times New Roman"/>
          <w:highlight w:val="none"/>
          <w:lang w:eastAsia="zh-CN"/>
        </w:rPr>
        <w:t>见表</w:t>
      </w:r>
      <w:r>
        <w:rPr>
          <w:rFonts w:hint="default" w:ascii="Times New Roman" w:hAnsi="Times New Roman" w:cs="Times New Roman"/>
          <w:highlight w:val="none"/>
          <w:lang w:val="en-US" w:eastAsia="zh-CN"/>
        </w:rPr>
        <w:t>3.1-</w:t>
      </w:r>
      <w:r>
        <w:rPr>
          <w:rFonts w:hint="eastAsia" w:ascii="Times New Roman" w:hAnsi="Times New Roman" w:cs="Times New Roman"/>
          <w:highlight w:val="none"/>
          <w:lang w:val="en-US" w:eastAsia="zh-CN"/>
        </w:rPr>
        <w:t>7</w:t>
      </w:r>
      <w:r>
        <w:rPr>
          <w:rFonts w:hint="default" w:ascii="Times New Roman" w:hAnsi="Times New Roman" w:cs="Times New Roman"/>
          <w:highlight w:val="none"/>
          <w:lang w:val="en-US" w:eastAsia="zh-CN"/>
        </w:rPr>
        <w:t>。</w:t>
      </w:r>
    </w:p>
    <w:p w14:paraId="0AC55B68">
      <w:pPr>
        <w:keepNext w:val="0"/>
        <w:keepLines w:val="0"/>
        <w:pageBreakBefore w:val="0"/>
        <w:widowControl/>
        <w:kinsoku/>
        <w:wordWrap/>
        <w:autoSpaceDE/>
        <w:autoSpaceDN/>
        <w:bidi w:val="0"/>
        <w:ind w:left="0" w:leftChars="0" w:firstLine="0" w:firstLineChars="0"/>
        <w:jc w:val="center"/>
        <w:rPr>
          <w:rFonts w:hint="default" w:ascii="Times New Roman" w:hAnsi="Times New Roman" w:cs="Times New Roman"/>
          <w:highlight w:val="none"/>
          <w:lang w:val="en-US" w:eastAsia="zh-CN"/>
        </w:rPr>
      </w:pPr>
      <w:r>
        <w:rPr>
          <w:rFonts w:hint="default" w:ascii="Times New Roman" w:hAnsi="Times New Roman" w:cs="Times New Roman"/>
          <w:highlight w:val="none"/>
          <w:lang w:val="en-US" w:eastAsia="zh-CN"/>
        </w:rPr>
        <w:t>表3.1-</w:t>
      </w:r>
      <w:r>
        <w:rPr>
          <w:rFonts w:hint="eastAsia" w:ascii="Times New Roman" w:hAnsi="Times New Roman" w:cs="Times New Roman"/>
          <w:highlight w:val="none"/>
          <w:lang w:val="en-US" w:eastAsia="zh-CN"/>
        </w:rPr>
        <w:t>7</w:t>
      </w:r>
      <w:r>
        <w:rPr>
          <w:rFonts w:hint="default" w:ascii="Times New Roman" w:hAnsi="Times New Roman" w:cs="Times New Roman"/>
          <w:highlight w:val="none"/>
          <w:lang w:val="en-US" w:eastAsia="zh-CN"/>
        </w:rPr>
        <w:t xml:space="preserve"> </w:t>
      </w:r>
      <w:r>
        <w:rPr>
          <w:rFonts w:hint="default" w:ascii="Times New Roman" w:hAnsi="Times New Roman" w:cs="Times New Roman"/>
          <w:highlight w:val="none"/>
        </w:rPr>
        <w:t>汽车修补产品</w:t>
      </w:r>
      <w:r>
        <w:rPr>
          <w:rFonts w:hint="default" w:ascii="Times New Roman" w:hAnsi="Times New Roman" w:cs="Times New Roman"/>
          <w:highlight w:val="none"/>
          <w:lang w:val="en-US" w:eastAsia="zh-CN"/>
        </w:rPr>
        <w:t>VOCs限值要求</w:t>
      </w:r>
    </w:p>
    <w:tbl>
      <w:tblPr>
        <w:tblStyle w:val="21"/>
        <w:tblW w:w="49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4"/>
        <w:gridCol w:w="2057"/>
        <w:gridCol w:w="4214"/>
        <w:gridCol w:w="1395"/>
      </w:tblGrid>
      <w:tr w14:paraId="7F0388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jc w:val="center"/>
        </w:trPr>
        <w:tc>
          <w:tcPr>
            <w:tcW w:w="501" w:type="pct"/>
            <w:noWrap w:val="0"/>
            <w:vAlign w:val="center"/>
          </w:tcPr>
          <w:p w14:paraId="7F6FCD52">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b/>
                <w:bCs/>
                <w:sz w:val="21"/>
                <w:szCs w:val="21"/>
                <w:highlight w:val="none"/>
              </w:rPr>
            </w:pPr>
            <w:r>
              <w:rPr>
                <w:rFonts w:hint="default" w:ascii="Times New Roman" w:hAnsi="Times New Roman" w:cs="Times New Roman" w:eastAsiaTheme="minorEastAsia"/>
                <w:b/>
                <w:bCs/>
                <w:sz w:val="21"/>
                <w:szCs w:val="21"/>
                <w:highlight w:val="none"/>
              </w:rPr>
              <w:t>序号</w:t>
            </w:r>
          </w:p>
        </w:tc>
        <w:tc>
          <w:tcPr>
            <w:tcW w:w="1207" w:type="pct"/>
            <w:noWrap w:val="0"/>
            <w:vAlign w:val="center"/>
          </w:tcPr>
          <w:p w14:paraId="52DAE4F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b/>
                <w:bCs/>
                <w:sz w:val="21"/>
                <w:szCs w:val="21"/>
                <w:highlight w:val="none"/>
              </w:rPr>
            </w:pPr>
            <w:r>
              <w:rPr>
                <w:rFonts w:hint="default" w:ascii="Times New Roman" w:hAnsi="Times New Roman" w:cs="Times New Roman" w:eastAsiaTheme="minorEastAsia"/>
                <w:b/>
                <w:bCs/>
                <w:sz w:val="21"/>
                <w:szCs w:val="21"/>
                <w:highlight w:val="none"/>
              </w:rPr>
              <w:t>产品子类别</w:t>
            </w:r>
          </w:p>
        </w:tc>
        <w:tc>
          <w:tcPr>
            <w:tcW w:w="2472" w:type="pct"/>
            <w:noWrap w:val="0"/>
            <w:vAlign w:val="center"/>
          </w:tcPr>
          <w:p w14:paraId="669561B1">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b/>
                <w:bCs/>
                <w:sz w:val="21"/>
                <w:szCs w:val="21"/>
                <w:highlight w:val="none"/>
              </w:rPr>
            </w:pPr>
            <w:r>
              <w:rPr>
                <w:rFonts w:hint="default" w:ascii="Times New Roman" w:hAnsi="Times New Roman" w:cs="Times New Roman" w:eastAsiaTheme="minorEastAsia"/>
                <w:b/>
                <w:bCs/>
                <w:sz w:val="21"/>
                <w:szCs w:val="21"/>
                <w:highlight w:val="none"/>
              </w:rPr>
              <w:t>类型</w:t>
            </w:r>
          </w:p>
        </w:tc>
        <w:tc>
          <w:tcPr>
            <w:tcW w:w="818" w:type="pct"/>
            <w:noWrap w:val="0"/>
            <w:vAlign w:val="center"/>
          </w:tcPr>
          <w:p w14:paraId="0156780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b/>
                <w:bCs/>
                <w:sz w:val="21"/>
                <w:szCs w:val="21"/>
                <w:highlight w:val="none"/>
              </w:rPr>
            </w:pPr>
            <w:r>
              <w:rPr>
                <w:rFonts w:hint="default" w:ascii="Times New Roman" w:hAnsi="Times New Roman" w:cs="Times New Roman" w:eastAsiaTheme="minorEastAsia"/>
                <w:b/>
                <w:bCs/>
                <w:sz w:val="21"/>
                <w:szCs w:val="21"/>
                <w:highlight w:val="none"/>
              </w:rPr>
              <w:t>VOC</w:t>
            </w:r>
            <w:r>
              <w:rPr>
                <w:rFonts w:hint="eastAsia" w:cs="Times New Roman" w:eastAsiaTheme="minorEastAsia"/>
                <w:b/>
                <w:bCs/>
                <w:sz w:val="21"/>
                <w:szCs w:val="21"/>
                <w:highlight w:val="none"/>
                <w:lang w:eastAsia="zh-CN"/>
              </w:rPr>
              <w:t>（</w:t>
            </w:r>
            <w:r>
              <w:rPr>
                <w:rFonts w:hint="default" w:ascii="Times New Roman" w:hAnsi="Times New Roman" w:cs="Times New Roman" w:eastAsiaTheme="minorEastAsia"/>
                <w:b/>
                <w:bCs/>
                <w:sz w:val="21"/>
                <w:szCs w:val="21"/>
                <w:highlight w:val="none"/>
              </w:rPr>
              <w:t>g/</w:t>
            </w:r>
            <w:r>
              <w:rPr>
                <w:rFonts w:hint="default" w:ascii="Times New Roman" w:hAnsi="Times New Roman" w:cs="Times New Roman" w:eastAsiaTheme="minorEastAsia"/>
                <w:b/>
                <w:bCs/>
                <w:sz w:val="21"/>
                <w:szCs w:val="21"/>
                <w:highlight w:val="none"/>
                <w:lang w:val="en-US" w:eastAsia="zh-CN"/>
              </w:rPr>
              <w:t>L</w:t>
            </w:r>
            <w:r>
              <w:rPr>
                <w:rFonts w:hint="eastAsia" w:cs="Times New Roman" w:eastAsiaTheme="minorEastAsia"/>
                <w:b/>
                <w:bCs/>
                <w:sz w:val="21"/>
                <w:szCs w:val="21"/>
                <w:highlight w:val="none"/>
                <w:lang w:eastAsia="zh-CN"/>
              </w:rPr>
              <w:t>）</w:t>
            </w:r>
          </w:p>
        </w:tc>
      </w:tr>
      <w:tr w14:paraId="5E6429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501" w:type="pct"/>
            <w:vMerge w:val="restart"/>
            <w:noWrap w:val="0"/>
            <w:vAlign w:val="center"/>
          </w:tcPr>
          <w:p w14:paraId="648C3BB0">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1</w:t>
            </w:r>
          </w:p>
        </w:tc>
        <w:tc>
          <w:tcPr>
            <w:tcW w:w="1207" w:type="pct"/>
            <w:vMerge w:val="restart"/>
            <w:noWrap w:val="0"/>
            <w:vAlign w:val="center"/>
          </w:tcPr>
          <w:p w14:paraId="4384443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准备和清洁</w:t>
            </w:r>
          </w:p>
        </w:tc>
        <w:tc>
          <w:tcPr>
            <w:tcW w:w="2472" w:type="pct"/>
            <w:noWrap w:val="0"/>
            <w:vAlign w:val="center"/>
          </w:tcPr>
          <w:p w14:paraId="14BA29DA">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预处理</w:t>
            </w:r>
          </w:p>
        </w:tc>
        <w:tc>
          <w:tcPr>
            <w:tcW w:w="818" w:type="pct"/>
            <w:vMerge w:val="restart"/>
            <w:noWrap w:val="0"/>
            <w:vAlign w:val="center"/>
          </w:tcPr>
          <w:p w14:paraId="0B7CE238">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850</w:t>
            </w:r>
          </w:p>
          <w:p w14:paraId="3891FF30">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200</w:t>
            </w:r>
          </w:p>
        </w:tc>
      </w:tr>
      <w:tr w14:paraId="7B72B6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501" w:type="pct"/>
            <w:vMerge w:val="continue"/>
            <w:noWrap w:val="0"/>
            <w:vAlign w:val="center"/>
          </w:tcPr>
          <w:p w14:paraId="43AD4710">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p>
        </w:tc>
        <w:tc>
          <w:tcPr>
            <w:tcW w:w="1207" w:type="pct"/>
            <w:vMerge w:val="continue"/>
            <w:noWrap w:val="0"/>
            <w:vAlign w:val="center"/>
          </w:tcPr>
          <w:p w14:paraId="0E716721">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p>
        </w:tc>
        <w:tc>
          <w:tcPr>
            <w:tcW w:w="2472" w:type="pct"/>
            <w:noWrap w:val="0"/>
            <w:vAlign w:val="center"/>
          </w:tcPr>
          <w:p w14:paraId="62440133">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清洁</w:t>
            </w:r>
          </w:p>
        </w:tc>
        <w:tc>
          <w:tcPr>
            <w:tcW w:w="818" w:type="pct"/>
            <w:vMerge w:val="continue"/>
            <w:noWrap w:val="0"/>
            <w:vAlign w:val="center"/>
          </w:tcPr>
          <w:p w14:paraId="5C789F3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p>
        </w:tc>
      </w:tr>
      <w:tr w14:paraId="737F0E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01" w:type="pct"/>
            <w:noWrap w:val="0"/>
            <w:vAlign w:val="center"/>
          </w:tcPr>
          <w:p w14:paraId="0C96BF14">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2</w:t>
            </w:r>
          </w:p>
        </w:tc>
        <w:tc>
          <w:tcPr>
            <w:tcW w:w="1207" w:type="pct"/>
            <w:noWrap w:val="0"/>
            <w:vAlign w:val="center"/>
          </w:tcPr>
          <w:p w14:paraId="2751C50A">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车身填充/腻子</w:t>
            </w:r>
          </w:p>
        </w:tc>
        <w:tc>
          <w:tcPr>
            <w:tcW w:w="2472" w:type="pct"/>
            <w:noWrap w:val="0"/>
            <w:vAlign w:val="center"/>
          </w:tcPr>
          <w:p w14:paraId="634532E3">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所有类型</w:t>
            </w:r>
          </w:p>
        </w:tc>
        <w:tc>
          <w:tcPr>
            <w:tcW w:w="818" w:type="pct"/>
            <w:noWrap w:val="0"/>
            <w:vAlign w:val="center"/>
          </w:tcPr>
          <w:p w14:paraId="7B8E42F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250</w:t>
            </w:r>
          </w:p>
        </w:tc>
      </w:tr>
      <w:tr w14:paraId="730D8E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01" w:type="pct"/>
            <w:noWrap w:val="0"/>
            <w:vAlign w:val="center"/>
          </w:tcPr>
          <w:p w14:paraId="34F28DD4">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3</w:t>
            </w:r>
          </w:p>
        </w:tc>
        <w:tc>
          <w:tcPr>
            <w:tcW w:w="1207" w:type="pct"/>
            <w:noWrap w:val="0"/>
            <w:vAlign w:val="center"/>
          </w:tcPr>
          <w:p w14:paraId="0ED72C9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底漆</w:t>
            </w:r>
          </w:p>
        </w:tc>
        <w:tc>
          <w:tcPr>
            <w:tcW w:w="2472" w:type="pct"/>
            <w:noWrap w:val="0"/>
            <w:vAlign w:val="center"/>
          </w:tcPr>
          <w:p w14:paraId="469B60A3">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表面修正/填充和普通(金属)底漆</w:t>
            </w:r>
          </w:p>
          <w:p w14:paraId="618EEF90">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洗涤底漆</w:t>
            </w:r>
          </w:p>
        </w:tc>
        <w:tc>
          <w:tcPr>
            <w:tcW w:w="818" w:type="pct"/>
            <w:noWrap w:val="0"/>
            <w:vAlign w:val="center"/>
          </w:tcPr>
          <w:p w14:paraId="382C2C64">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540</w:t>
            </w:r>
          </w:p>
          <w:p w14:paraId="1D9D7A1E">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780</w:t>
            </w:r>
          </w:p>
        </w:tc>
      </w:tr>
      <w:tr w14:paraId="01025E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01" w:type="pct"/>
            <w:noWrap w:val="0"/>
            <w:vAlign w:val="center"/>
          </w:tcPr>
          <w:p w14:paraId="6B243259">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4</w:t>
            </w:r>
          </w:p>
        </w:tc>
        <w:tc>
          <w:tcPr>
            <w:tcW w:w="1207" w:type="pct"/>
            <w:noWrap w:val="0"/>
            <w:vAlign w:val="center"/>
          </w:tcPr>
          <w:p w14:paraId="6438E8D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面漆</w:t>
            </w:r>
          </w:p>
        </w:tc>
        <w:tc>
          <w:tcPr>
            <w:tcW w:w="2472" w:type="pct"/>
            <w:noWrap w:val="0"/>
            <w:vAlign w:val="center"/>
          </w:tcPr>
          <w:p w14:paraId="180E63D2">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所有类型</w:t>
            </w:r>
          </w:p>
        </w:tc>
        <w:tc>
          <w:tcPr>
            <w:tcW w:w="818" w:type="pct"/>
            <w:noWrap w:val="0"/>
            <w:vAlign w:val="center"/>
          </w:tcPr>
          <w:p w14:paraId="4E44845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420</w:t>
            </w:r>
          </w:p>
        </w:tc>
      </w:tr>
      <w:tr w14:paraId="1D08B3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01" w:type="pct"/>
            <w:noWrap w:val="0"/>
            <w:vAlign w:val="center"/>
          </w:tcPr>
          <w:p w14:paraId="49B8EAF2">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5</w:t>
            </w:r>
          </w:p>
        </w:tc>
        <w:tc>
          <w:tcPr>
            <w:tcW w:w="1207" w:type="pct"/>
            <w:noWrap w:val="0"/>
            <w:vAlign w:val="center"/>
          </w:tcPr>
          <w:p w14:paraId="333D2A54">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特殊罩光漆</w:t>
            </w:r>
          </w:p>
        </w:tc>
        <w:tc>
          <w:tcPr>
            <w:tcW w:w="2472" w:type="pct"/>
            <w:noWrap w:val="0"/>
            <w:vAlign w:val="center"/>
          </w:tcPr>
          <w:p w14:paraId="3F71A8A1">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所有类型</w:t>
            </w:r>
          </w:p>
        </w:tc>
        <w:tc>
          <w:tcPr>
            <w:tcW w:w="818" w:type="pct"/>
            <w:noWrap w:val="0"/>
            <w:vAlign w:val="center"/>
          </w:tcPr>
          <w:p w14:paraId="1EC4CFC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840</w:t>
            </w:r>
          </w:p>
        </w:tc>
      </w:tr>
    </w:tbl>
    <w:p w14:paraId="5E6A6820">
      <w:pPr>
        <w:keepNext w:val="0"/>
        <w:keepLines w:val="0"/>
        <w:pageBreakBefore w:val="0"/>
        <w:widowControl/>
        <w:kinsoku/>
        <w:wordWrap/>
        <w:overflowPunct/>
        <w:topLinePunct w:val="0"/>
        <w:autoSpaceDE/>
        <w:autoSpaceDN/>
        <w:bidi w:val="0"/>
        <w:adjustRightInd/>
        <w:snapToGrid/>
        <w:spacing w:line="240" w:lineRule="auto"/>
        <w:textAlignment w:val="auto"/>
        <w:rPr>
          <w:rFonts w:hint="default" w:ascii="Times New Roman" w:hAnsi="Times New Roman" w:cs="Times New Roman"/>
          <w:sz w:val="18"/>
          <w:szCs w:val="18"/>
          <w:highlight w:val="none"/>
        </w:rPr>
      </w:pPr>
      <w:r>
        <w:rPr>
          <w:rFonts w:hint="default" w:ascii="Times New Roman" w:hAnsi="Times New Roman" w:cs="Times New Roman"/>
          <w:sz w:val="18"/>
          <w:szCs w:val="18"/>
          <w:highlight w:val="none"/>
        </w:rPr>
        <w:t>注：本要求不适用于使用修补材料的车辆原始涂层；拖车或半拖车的涂层；老式或历史车辆的涂层；在具有污染防治许可证的装置中使用车辆修补产品。除预备产品和清洁产品外，计算中须扣除即用型产品的含水量。</w:t>
      </w:r>
    </w:p>
    <w:p w14:paraId="66D74142">
      <w:pPr>
        <w:keepNext w:val="0"/>
        <w:keepLines w:val="0"/>
        <w:pageBreakBefore w:val="0"/>
        <w:widowControl/>
        <w:kinsoku/>
        <w:wordWrap/>
        <w:autoSpaceDE/>
        <w:autoSpaceDN/>
        <w:bidi w:val="0"/>
        <w:rPr>
          <w:rFonts w:hint="default" w:ascii="Times New Roman" w:hAnsi="Times New Roman" w:eastAsia="宋体" w:cs="Times New Roman"/>
          <w:highlight w:val="none"/>
          <w:lang w:eastAsia="zh-CN"/>
        </w:rPr>
      </w:pPr>
      <w:r>
        <w:rPr>
          <w:rFonts w:hint="default" w:ascii="Times New Roman" w:hAnsi="Times New Roman" w:cs="Times New Roman"/>
          <w:highlight w:val="none"/>
        </w:rPr>
        <w:t>根据英国《污染防治条例》</w:t>
      </w:r>
      <w:r>
        <w:rPr>
          <w:rFonts w:hint="eastAsia" w:cs="Times New Roman"/>
          <w:highlight w:val="none"/>
          <w:lang w:eastAsia="zh-CN"/>
        </w:rPr>
        <w:t>（</w:t>
      </w:r>
      <w:r>
        <w:rPr>
          <w:rFonts w:hint="default" w:ascii="Times New Roman" w:hAnsi="Times New Roman" w:cs="Times New Roman"/>
          <w:highlight w:val="none"/>
        </w:rPr>
        <w:t>Pollution Prevention and Control Regulations</w:t>
      </w:r>
      <w:r>
        <w:rPr>
          <w:rFonts w:hint="eastAsia" w:cs="Times New Roman"/>
          <w:highlight w:val="none"/>
          <w:lang w:eastAsia="zh-CN"/>
        </w:rPr>
        <w:t>）</w:t>
      </w:r>
      <w:r>
        <w:rPr>
          <w:rFonts w:hint="default" w:ascii="Times New Roman" w:hAnsi="Times New Roman" w:cs="Times New Roman"/>
          <w:highlight w:val="none"/>
        </w:rPr>
        <w:t>的要求，对于溶剂排放活动，</w:t>
      </w:r>
      <w:r>
        <w:rPr>
          <w:rFonts w:hint="default" w:ascii="Times New Roman" w:hAnsi="Times New Roman" w:cs="Times New Roman"/>
          <w:highlight w:val="none"/>
          <w:lang w:val="en-US" w:eastAsia="zh-CN"/>
        </w:rPr>
        <w:t>汽车维修</w:t>
      </w:r>
      <w:r>
        <w:rPr>
          <w:rFonts w:hint="default" w:ascii="Times New Roman" w:hAnsi="Times New Roman" w:cs="Times New Roman"/>
          <w:highlight w:val="none"/>
        </w:rPr>
        <w:t>行业溶剂消耗阈值为0.5吨/年，超过该阈值则需要接受监管部门的管控。《地方空气污染防治条例》</w:t>
      </w:r>
      <w:r>
        <w:rPr>
          <w:rFonts w:hint="eastAsia" w:cs="Times New Roman"/>
          <w:highlight w:val="none"/>
          <w:lang w:eastAsia="zh-CN"/>
        </w:rPr>
        <w:t>（</w:t>
      </w:r>
      <w:r>
        <w:rPr>
          <w:rFonts w:hint="default" w:ascii="Times New Roman" w:hAnsi="Times New Roman" w:cs="Times New Roman"/>
          <w:highlight w:val="none"/>
        </w:rPr>
        <w:t>Local Air Pollution Prevention and Control</w:t>
      </w:r>
      <w:r>
        <w:rPr>
          <w:rFonts w:hint="eastAsia" w:cs="Times New Roman"/>
          <w:highlight w:val="none"/>
          <w:lang w:eastAsia="zh-CN"/>
        </w:rPr>
        <w:t>）</w:t>
      </w:r>
      <w:r>
        <w:rPr>
          <w:rFonts w:hint="default" w:ascii="Times New Roman" w:hAnsi="Times New Roman" w:cs="Times New Roman"/>
          <w:highlight w:val="none"/>
          <w:lang w:eastAsia="zh-CN"/>
        </w:rPr>
        <w:t>还</w:t>
      </w:r>
      <w:r>
        <w:rPr>
          <w:rFonts w:hint="default" w:ascii="Times New Roman" w:hAnsi="Times New Roman" w:cs="Times New Roman"/>
          <w:highlight w:val="none"/>
        </w:rPr>
        <w:t>规定</w:t>
      </w:r>
      <w:r>
        <w:rPr>
          <w:rFonts w:hint="default" w:ascii="Times New Roman" w:hAnsi="Times New Roman" w:cs="Times New Roman"/>
          <w:highlight w:val="none"/>
          <w:lang w:eastAsia="zh-CN"/>
        </w:rPr>
        <w:t>了汽车维修</w:t>
      </w:r>
      <w:r>
        <w:rPr>
          <w:rFonts w:hint="default" w:ascii="Times New Roman" w:hAnsi="Times New Roman" w:cs="Times New Roman"/>
          <w:highlight w:val="none"/>
        </w:rPr>
        <w:t>工艺过程中</w:t>
      </w:r>
      <w:r>
        <w:rPr>
          <w:rFonts w:hint="default" w:ascii="Times New Roman" w:hAnsi="Times New Roman" w:cs="Times New Roman"/>
          <w:highlight w:val="none"/>
          <w:lang w:eastAsia="zh-CN"/>
        </w:rPr>
        <w:t>除</w:t>
      </w:r>
      <w:r>
        <w:rPr>
          <w:rFonts w:hint="default" w:ascii="Times New Roman" w:hAnsi="Times New Roman" w:cs="Times New Roman"/>
          <w:highlight w:val="none"/>
          <w:lang w:val="en-US" w:eastAsia="zh-CN"/>
        </w:rPr>
        <w:t>VOCs之外的其他污染物的</w:t>
      </w:r>
      <w:r>
        <w:rPr>
          <w:rFonts w:hint="default" w:ascii="Times New Roman" w:hAnsi="Times New Roman" w:cs="Times New Roman"/>
          <w:highlight w:val="none"/>
        </w:rPr>
        <w:t>排放限值</w:t>
      </w:r>
      <w:r>
        <w:rPr>
          <w:rFonts w:hint="default" w:ascii="Times New Roman" w:hAnsi="Times New Roman" w:cs="Times New Roman"/>
          <w:highlight w:val="none"/>
          <w:lang w:eastAsia="zh-CN"/>
        </w:rPr>
        <w:t>，见下表。</w:t>
      </w:r>
    </w:p>
    <w:p w14:paraId="4225FFC2">
      <w:pPr>
        <w:keepNext w:val="0"/>
        <w:keepLines w:val="0"/>
        <w:pageBreakBefore w:val="0"/>
        <w:widowControl/>
        <w:kinsoku/>
        <w:wordWrap/>
        <w:autoSpaceDE/>
        <w:autoSpaceDN/>
        <w:bidi w:val="0"/>
        <w:ind w:left="0" w:leftChars="0" w:firstLine="0" w:firstLineChars="0"/>
        <w:jc w:val="center"/>
        <w:rPr>
          <w:rFonts w:hint="default" w:ascii="Times New Roman" w:hAnsi="Times New Roman" w:cs="Times New Roman"/>
          <w:highlight w:val="none"/>
        </w:rPr>
      </w:pPr>
      <w:r>
        <w:rPr>
          <w:rFonts w:hint="default" w:ascii="Times New Roman" w:hAnsi="Times New Roman" w:cs="Times New Roman"/>
          <w:highlight w:val="none"/>
        </w:rPr>
        <w:t>表</w:t>
      </w:r>
      <w:r>
        <w:rPr>
          <w:rFonts w:hint="default" w:ascii="Times New Roman" w:hAnsi="Times New Roman" w:cs="Times New Roman"/>
          <w:highlight w:val="none"/>
          <w:lang w:val="en-US" w:eastAsia="zh-CN"/>
        </w:rPr>
        <w:t>3.1</w:t>
      </w:r>
      <w:r>
        <w:rPr>
          <w:rFonts w:hint="default" w:ascii="Times New Roman" w:hAnsi="Times New Roman" w:cs="Times New Roman"/>
          <w:highlight w:val="none"/>
        </w:rPr>
        <w:t>-</w:t>
      </w:r>
      <w:r>
        <w:rPr>
          <w:rFonts w:hint="eastAsia" w:ascii="Times New Roman" w:hAnsi="Times New Roman" w:cs="Times New Roman"/>
          <w:highlight w:val="none"/>
          <w:lang w:val="en-US" w:eastAsia="zh-CN"/>
        </w:rPr>
        <w:t xml:space="preserve">8 </w:t>
      </w:r>
      <w:r>
        <w:rPr>
          <w:rFonts w:hint="default" w:ascii="Times New Roman" w:hAnsi="Times New Roman" w:cs="Times New Roman"/>
          <w:highlight w:val="none"/>
        </w:rPr>
        <w:t xml:space="preserve"> non-VOCs的排放限值和监测要求</w:t>
      </w:r>
    </w:p>
    <w:tbl>
      <w:tblPr>
        <w:tblStyle w:val="21"/>
        <w:tblW w:w="4998"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150"/>
        <w:gridCol w:w="2456"/>
        <w:gridCol w:w="1984"/>
        <w:gridCol w:w="1220"/>
        <w:gridCol w:w="1709"/>
      </w:tblGrid>
      <w:tr w14:paraId="3E55C3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22" w:hRule="atLeast"/>
          <w:tblHeader/>
          <w:jc w:val="center"/>
        </w:trPr>
        <w:tc>
          <w:tcPr>
            <w:tcW w:w="675" w:type="pct"/>
            <w:noWrap w:val="0"/>
            <w:vAlign w:val="center"/>
          </w:tcPr>
          <w:p w14:paraId="10398DC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b/>
                <w:bCs/>
                <w:sz w:val="21"/>
                <w:szCs w:val="21"/>
                <w:highlight w:val="none"/>
              </w:rPr>
            </w:pPr>
            <w:r>
              <w:rPr>
                <w:rFonts w:hint="default" w:ascii="Times New Roman" w:hAnsi="Times New Roman" w:cs="Times New Roman" w:eastAsiaTheme="minorEastAsia"/>
                <w:b/>
                <w:bCs/>
                <w:sz w:val="21"/>
                <w:szCs w:val="21"/>
                <w:highlight w:val="none"/>
              </w:rPr>
              <w:t>污染物项目</w:t>
            </w:r>
          </w:p>
        </w:tc>
        <w:tc>
          <w:tcPr>
            <w:tcW w:w="1441" w:type="pct"/>
            <w:noWrap w:val="0"/>
            <w:vAlign w:val="center"/>
          </w:tcPr>
          <w:p w14:paraId="29C68683">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b/>
                <w:bCs/>
                <w:sz w:val="21"/>
                <w:szCs w:val="21"/>
                <w:highlight w:val="none"/>
              </w:rPr>
            </w:pPr>
            <w:r>
              <w:rPr>
                <w:rFonts w:hint="default" w:ascii="Times New Roman" w:hAnsi="Times New Roman" w:cs="Times New Roman" w:eastAsiaTheme="minorEastAsia"/>
                <w:b/>
                <w:bCs/>
                <w:sz w:val="21"/>
                <w:szCs w:val="21"/>
                <w:highlight w:val="none"/>
              </w:rPr>
              <w:t>排放源</w:t>
            </w:r>
          </w:p>
        </w:tc>
        <w:tc>
          <w:tcPr>
            <w:tcW w:w="1164" w:type="pct"/>
            <w:noWrap w:val="0"/>
            <w:vAlign w:val="center"/>
          </w:tcPr>
          <w:p w14:paraId="52D25D01">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b/>
                <w:bCs/>
                <w:sz w:val="21"/>
                <w:szCs w:val="21"/>
                <w:highlight w:val="none"/>
              </w:rPr>
            </w:pPr>
            <w:r>
              <w:rPr>
                <w:rFonts w:hint="default" w:ascii="Times New Roman" w:hAnsi="Times New Roman" w:cs="Times New Roman" w:eastAsiaTheme="minorEastAsia"/>
                <w:b/>
                <w:bCs/>
                <w:sz w:val="21"/>
                <w:szCs w:val="21"/>
                <w:highlight w:val="none"/>
              </w:rPr>
              <w:t>排放限值/条款</w:t>
            </w:r>
          </w:p>
        </w:tc>
        <w:tc>
          <w:tcPr>
            <w:tcW w:w="716" w:type="pct"/>
            <w:noWrap w:val="0"/>
            <w:vAlign w:val="center"/>
          </w:tcPr>
          <w:p w14:paraId="430C57FA">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b/>
                <w:bCs/>
                <w:sz w:val="21"/>
                <w:szCs w:val="21"/>
                <w:highlight w:val="none"/>
              </w:rPr>
            </w:pPr>
            <w:r>
              <w:rPr>
                <w:rFonts w:hint="default" w:ascii="Times New Roman" w:hAnsi="Times New Roman" w:cs="Times New Roman" w:eastAsiaTheme="minorEastAsia"/>
                <w:b/>
                <w:bCs/>
                <w:sz w:val="21"/>
                <w:szCs w:val="21"/>
                <w:highlight w:val="none"/>
              </w:rPr>
              <w:t>监测方法</w:t>
            </w:r>
          </w:p>
        </w:tc>
        <w:tc>
          <w:tcPr>
            <w:tcW w:w="1001" w:type="pct"/>
            <w:noWrap w:val="0"/>
            <w:vAlign w:val="center"/>
          </w:tcPr>
          <w:p w14:paraId="2763D2E6">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b/>
                <w:bCs/>
                <w:sz w:val="21"/>
                <w:szCs w:val="21"/>
                <w:highlight w:val="none"/>
              </w:rPr>
            </w:pPr>
            <w:r>
              <w:rPr>
                <w:rFonts w:hint="default" w:ascii="Times New Roman" w:hAnsi="Times New Roman" w:cs="Times New Roman" w:eastAsiaTheme="minorEastAsia"/>
                <w:b/>
                <w:bCs/>
                <w:sz w:val="21"/>
                <w:szCs w:val="21"/>
                <w:highlight w:val="none"/>
              </w:rPr>
              <w:t>监测频率</w:t>
            </w:r>
          </w:p>
        </w:tc>
      </w:tr>
      <w:tr w14:paraId="299963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675" w:type="pct"/>
            <w:vMerge w:val="restart"/>
            <w:noWrap w:val="0"/>
            <w:vAlign w:val="center"/>
          </w:tcPr>
          <w:p w14:paraId="7C201C39">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颗粒物</w:t>
            </w:r>
          </w:p>
        </w:tc>
        <w:tc>
          <w:tcPr>
            <w:tcW w:w="1441" w:type="pct"/>
            <w:noWrap w:val="0"/>
            <w:vAlign w:val="center"/>
          </w:tcPr>
          <w:p w14:paraId="313746C8">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喷漆房</w:t>
            </w:r>
          </w:p>
        </w:tc>
        <w:tc>
          <w:tcPr>
            <w:tcW w:w="1164" w:type="pct"/>
            <w:noWrap w:val="0"/>
            <w:vAlign w:val="center"/>
          </w:tcPr>
          <w:p w14:paraId="3471B9A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bookmarkStart w:id="28" w:name="OLE_LINK4"/>
            <w:r>
              <w:rPr>
                <w:rFonts w:hint="default" w:ascii="Times New Roman" w:hAnsi="Times New Roman" w:cs="Times New Roman" w:eastAsiaTheme="minorEastAsia"/>
                <w:sz w:val="21"/>
                <w:szCs w:val="21"/>
                <w:highlight w:val="none"/>
              </w:rPr>
              <w:t>10mg/Nm</w:t>
            </w:r>
            <w:r>
              <w:rPr>
                <w:rFonts w:hint="default" w:ascii="Times New Roman" w:hAnsi="Times New Roman" w:cs="Times New Roman" w:eastAsiaTheme="minorEastAsia"/>
                <w:sz w:val="21"/>
                <w:szCs w:val="21"/>
                <w:highlight w:val="none"/>
                <w:vertAlign w:val="superscript"/>
              </w:rPr>
              <w:t>3</w:t>
            </w:r>
            <w:bookmarkEnd w:id="28"/>
          </w:p>
        </w:tc>
        <w:tc>
          <w:tcPr>
            <w:tcW w:w="716" w:type="pct"/>
            <w:vMerge w:val="restart"/>
            <w:noWrap w:val="0"/>
            <w:vAlign w:val="center"/>
          </w:tcPr>
          <w:p w14:paraId="1E746993">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指南测试方法</w:t>
            </w:r>
          </w:p>
        </w:tc>
        <w:tc>
          <w:tcPr>
            <w:tcW w:w="1001" w:type="pct"/>
            <w:vMerge w:val="restart"/>
            <w:noWrap w:val="0"/>
            <w:vAlign w:val="center"/>
          </w:tcPr>
          <w:p w14:paraId="1A972C46">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1年1次</w:t>
            </w:r>
          </w:p>
        </w:tc>
      </w:tr>
      <w:tr w14:paraId="724EC6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675" w:type="pct"/>
            <w:vMerge w:val="continue"/>
            <w:noWrap w:val="0"/>
            <w:vAlign w:val="center"/>
          </w:tcPr>
          <w:p w14:paraId="0B04FAB3">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p>
        </w:tc>
        <w:tc>
          <w:tcPr>
            <w:tcW w:w="1441" w:type="pct"/>
            <w:noWrap w:val="0"/>
            <w:vAlign w:val="center"/>
          </w:tcPr>
          <w:p w14:paraId="795D8136">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打磨设备和其他源（除喷漆房）</w:t>
            </w:r>
          </w:p>
        </w:tc>
        <w:tc>
          <w:tcPr>
            <w:tcW w:w="1164" w:type="pct"/>
            <w:noWrap w:val="0"/>
            <w:vAlign w:val="center"/>
          </w:tcPr>
          <w:p w14:paraId="0C4F9ED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50mg/Nm</w:t>
            </w:r>
            <w:r>
              <w:rPr>
                <w:rFonts w:hint="default" w:ascii="Times New Roman" w:hAnsi="Times New Roman" w:cs="Times New Roman" w:eastAsiaTheme="minorEastAsia"/>
                <w:sz w:val="21"/>
                <w:szCs w:val="21"/>
                <w:highlight w:val="none"/>
                <w:vertAlign w:val="superscript"/>
              </w:rPr>
              <w:t>3</w:t>
            </w:r>
            <w:r>
              <w:rPr>
                <w:rFonts w:hint="default" w:ascii="Times New Roman" w:hAnsi="Times New Roman" w:cs="Times New Roman" w:eastAsiaTheme="minorEastAsia"/>
                <w:sz w:val="21"/>
                <w:szCs w:val="21"/>
                <w:highlight w:val="none"/>
              </w:rPr>
              <w:t>（15分钟平均值）</w:t>
            </w:r>
          </w:p>
        </w:tc>
        <w:tc>
          <w:tcPr>
            <w:tcW w:w="716" w:type="pct"/>
            <w:vMerge w:val="continue"/>
            <w:noWrap w:val="0"/>
            <w:vAlign w:val="center"/>
          </w:tcPr>
          <w:p w14:paraId="3670E65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p>
        </w:tc>
        <w:tc>
          <w:tcPr>
            <w:tcW w:w="1001" w:type="pct"/>
            <w:vMerge w:val="continue"/>
            <w:noWrap w:val="0"/>
            <w:vAlign w:val="center"/>
          </w:tcPr>
          <w:p w14:paraId="39408246">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p>
        </w:tc>
      </w:tr>
      <w:tr w14:paraId="565A89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675" w:type="pct"/>
            <w:vMerge w:val="restart"/>
            <w:noWrap w:val="0"/>
            <w:vAlign w:val="center"/>
          </w:tcPr>
          <w:p w14:paraId="4D337929">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SO</w:t>
            </w:r>
            <w:r>
              <w:rPr>
                <w:rFonts w:hint="default" w:ascii="Times New Roman" w:hAnsi="Times New Roman" w:cs="Times New Roman" w:eastAsiaTheme="minorEastAsia"/>
                <w:sz w:val="21"/>
                <w:szCs w:val="21"/>
                <w:highlight w:val="none"/>
                <w:vertAlign w:val="subscript"/>
              </w:rPr>
              <w:t>2</w:t>
            </w:r>
          </w:p>
        </w:tc>
        <w:tc>
          <w:tcPr>
            <w:tcW w:w="1441" w:type="pct"/>
            <w:noWrap w:val="0"/>
            <w:vAlign w:val="center"/>
          </w:tcPr>
          <w:p w14:paraId="3C3CFDB6">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所有使用重质燃料油或其他的活动</w:t>
            </w:r>
          </w:p>
        </w:tc>
        <w:tc>
          <w:tcPr>
            <w:tcW w:w="1164" w:type="pct"/>
            <w:noWrap w:val="0"/>
            <w:vAlign w:val="center"/>
          </w:tcPr>
          <w:p w14:paraId="50958EE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1%wt/wt硫分</w:t>
            </w:r>
          </w:p>
        </w:tc>
        <w:tc>
          <w:tcPr>
            <w:tcW w:w="1718" w:type="pct"/>
            <w:gridSpan w:val="2"/>
            <w:vMerge w:val="restart"/>
            <w:noWrap w:val="0"/>
            <w:vAlign w:val="center"/>
          </w:tcPr>
          <w:p w14:paraId="272F03F8">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燃料的硫含量由Sulphur Content of Liquid Fuels Regulations规管</w:t>
            </w:r>
          </w:p>
        </w:tc>
      </w:tr>
      <w:tr w14:paraId="0F0274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675" w:type="pct"/>
            <w:vMerge w:val="continue"/>
            <w:noWrap w:val="0"/>
            <w:vAlign w:val="top"/>
          </w:tcPr>
          <w:p w14:paraId="12C20EDC">
            <w:pPr>
              <w:keepNext w:val="0"/>
              <w:keepLines w:val="0"/>
              <w:pageBreakBefore w:val="0"/>
              <w:widowControl/>
              <w:kinsoku/>
              <w:wordWrap/>
              <w:autoSpaceDE/>
              <w:autoSpaceDN/>
              <w:bidi w:val="0"/>
              <w:spacing w:line="360" w:lineRule="auto"/>
              <w:jc w:val="left"/>
              <w:rPr>
                <w:rFonts w:hint="default" w:ascii="Times New Roman" w:hAnsi="Times New Roman" w:eastAsia="仿宋_GB2312" w:cs="Times New Roman"/>
                <w:sz w:val="24"/>
                <w:szCs w:val="24"/>
                <w:highlight w:val="none"/>
              </w:rPr>
            </w:pPr>
          </w:p>
        </w:tc>
        <w:tc>
          <w:tcPr>
            <w:tcW w:w="1441" w:type="pct"/>
            <w:noWrap w:val="0"/>
            <w:vAlign w:val="top"/>
          </w:tcPr>
          <w:p w14:paraId="3C23521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所有使用轻质柴油的活动</w:t>
            </w:r>
          </w:p>
        </w:tc>
        <w:tc>
          <w:tcPr>
            <w:tcW w:w="1164" w:type="pct"/>
            <w:noWrap w:val="0"/>
            <w:vAlign w:val="center"/>
          </w:tcPr>
          <w:p w14:paraId="0938466D">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0.1%wt/wt硫分</w:t>
            </w:r>
          </w:p>
        </w:tc>
        <w:tc>
          <w:tcPr>
            <w:tcW w:w="1718" w:type="pct"/>
            <w:gridSpan w:val="2"/>
            <w:vMerge w:val="continue"/>
            <w:noWrap w:val="0"/>
            <w:vAlign w:val="top"/>
          </w:tcPr>
          <w:p w14:paraId="59A188E6">
            <w:pPr>
              <w:keepNext w:val="0"/>
              <w:keepLines w:val="0"/>
              <w:pageBreakBefore w:val="0"/>
              <w:widowControl/>
              <w:kinsoku/>
              <w:wordWrap/>
              <w:autoSpaceDE/>
              <w:autoSpaceDN/>
              <w:bidi w:val="0"/>
              <w:spacing w:line="360" w:lineRule="auto"/>
              <w:jc w:val="left"/>
              <w:rPr>
                <w:rFonts w:hint="default" w:ascii="Times New Roman" w:hAnsi="Times New Roman" w:eastAsia="仿宋_GB2312" w:cs="Times New Roman"/>
                <w:sz w:val="24"/>
                <w:szCs w:val="24"/>
                <w:highlight w:val="none"/>
              </w:rPr>
            </w:pPr>
          </w:p>
        </w:tc>
      </w:tr>
    </w:tbl>
    <w:p w14:paraId="5CA02255">
      <w:pPr>
        <w:pStyle w:val="3"/>
        <w:keepNext w:val="0"/>
        <w:keepLines w:val="0"/>
        <w:pageBreakBefore w:val="0"/>
        <w:widowControl/>
        <w:kinsoku/>
        <w:wordWrap/>
        <w:autoSpaceDE/>
        <w:autoSpaceDN/>
        <w:bidi w:val="0"/>
        <w:rPr>
          <w:rFonts w:hint="default" w:ascii="Times New Roman" w:hAnsi="Times New Roman" w:cs="Times New Roman"/>
          <w:highlight w:val="none"/>
        </w:rPr>
      </w:pPr>
      <w:bookmarkStart w:id="29" w:name="_Toc23896"/>
      <w:r>
        <w:rPr>
          <w:rFonts w:hint="default" w:ascii="Times New Roman" w:hAnsi="Times New Roman" w:cs="Times New Roman"/>
          <w:highlight w:val="none"/>
        </w:rPr>
        <w:t>国内排放标准</w:t>
      </w:r>
      <w:bookmarkEnd w:id="22"/>
      <w:bookmarkEnd w:id="29"/>
    </w:p>
    <w:p w14:paraId="0B454838">
      <w:pPr>
        <w:pStyle w:val="4"/>
        <w:keepNext w:val="0"/>
        <w:keepLines w:val="0"/>
        <w:pageBreakBefore w:val="0"/>
        <w:widowControl/>
        <w:kinsoku/>
        <w:wordWrap/>
        <w:autoSpaceDE/>
        <w:autoSpaceDN/>
        <w:bidi w:val="0"/>
        <w:rPr>
          <w:rFonts w:hint="default" w:ascii="Times New Roman" w:hAnsi="Times New Roman" w:cs="Times New Roman"/>
          <w:highlight w:val="none"/>
          <w:lang w:val="en-US" w:eastAsia="zh-CN"/>
        </w:rPr>
      </w:pPr>
      <w:bookmarkStart w:id="30" w:name="_Toc30427"/>
      <w:r>
        <w:rPr>
          <w:rFonts w:hint="default" w:ascii="Times New Roman" w:hAnsi="Times New Roman" w:cs="Times New Roman"/>
          <w:highlight w:val="none"/>
          <w:lang w:val="en-US" w:eastAsia="zh-CN"/>
        </w:rPr>
        <w:t>国家</w:t>
      </w:r>
      <w:bookmarkEnd w:id="30"/>
    </w:p>
    <w:p w14:paraId="488DC964">
      <w:pPr>
        <w:keepNext w:val="0"/>
        <w:keepLines w:val="0"/>
        <w:pageBreakBefore w:val="0"/>
        <w:widowControl/>
        <w:kinsoku/>
        <w:wordWrap/>
        <w:autoSpaceDE/>
        <w:autoSpaceDN/>
        <w:bidi w:val="0"/>
        <w:spacing w:line="360" w:lineRule="auto"/>
        <w:ind w:firstLine="480" w:firstLineChars="200"/>
        <w:rPr>
          <w:rFonts w:hint="default" w:ascii="Times New Roman" w:hAnsi="Times New Roman" w:cs="Times New Roman"/>
          <w:highlight w:val="none"/>
          <w:lang w:eastAsia="zh-CN"/>
        </w:rPr>
      </w:pPr>
      <w:r>
        <w:rPr>
          <w:rFonts w:hint="default" w:ascii="Times New Roman" w:hAnsi="Times New Roman" w:cs="Times New Roman"/>
          <w:kern w:val="0"/>
          <w:sz w:val="24"/>
          <w:highlight w:val="none"/>
          <w:lang w:eastAsia="zh-CN"/>
        </w:rPr>
        <w:t>国家层面汽车维修大气有关标准主要为含量限值</w:t>
      </w:r>
      <w:r>
        <w:rPr>
          <w:rFonts w:hint="default" w:ascii="Times New Roman" w:hAnsi="Times New Roman" w:cs="Times New Roman"/>
          <w:kern w:val="0"/>
          <w:sz w:val="24"/>
          <w:highlight w:val="none"/>
          <w:lang w:val="en-US" w:eastAsia="zh-CN"/>
        </w:rPr>
        <w:t>标准，</w:t>
      </w:r>
      <w:r>
        <w:rPr>
          <w:rFonts w:hint="default" w:ascii="Times New Roman" w:hAnsi="Times New Roman" w:cs="Times New Roman"/>
          <w:kern w:val="0"/>
          <w:sz w:val="24"/>
          <w:highlight w:val="none"/>
          <w:lang w:eastAsia="zh-CN"/>
        </w:rPr>
        <w:t>尚无大气污染物排放标准，</w:t>
      </w:r>
      <w:r>
        <w:rPr>
          <w:rFonts w:hint="eastAsia" w:cs="Times New Roman"/>
          <w:kern w:val="0"/>
          <w:sz w:val="24"/>
          <w:highlight w:val="none"/>
          <w:lang w:val="en-US" w:eastAsia="zh-CN"/>
        </w:rPr>
        <w:t>含量限值标准包括</w:t>
      </w:r>
      <w:r>
        <w:rPr>
          <w:rFonts w:hint="default" w:ascii="Times New Roman" w:hAnsi="Times New Roman" w:cs="Times New Roman"/>
          <w:kern w:val="0"/>
          <w:sz w:val="24"/>
          <w:highlight w:val="none"/>
        </w:rPr>
        <w:t>《车辆涂料中有害物质限量》（GB 24409</w:t>
      </w:r>
      <w:r>
        <w:rPr>
          <w:rFonts w:hint="eastAsia" w:ascii="Times New Roman" w:hAnsi="Times New Roman" w:cs="Times New Roman"/>
          <w:kern w:val="0"/>
          <w:sz w:val="24"/>
          <w:highlight w:val="none"/>
          <w:lang w:val="en-US" w:eastAsia="zh-CN"/>
        </w:rPr>
        <w:t>—</w:t>
      </w:r>
      <w:r>
        <w:rPr>
          <w:rFonts w:hint="default" w:ascii="Times New Roman" w:hAnsi="Times New Roman" w:cs="Times New Roman"/>
          <w:kern w:val="0"/>
          <w:sz w:val="24"/>
          <w:highlight w:val="none"/>
        </w:rPr>
        <w:t>2020）</w:t>
      </w:r>
      <w:r>
        <w:rPr>
          <w:rFonts w:hint="default" w:ascii="Times New Roman" w:hAnsi="Times New Roman" w:cs="Times New Roman"/>
          <w:kern w:val="0"/>
          <w:sz w:val="24"/>
          <w:highlight w:val="none"/>
          <w:lang w:eastAsia="zh-CN"/>
        </w:rPr>
        <w:t>（</w:t>
      </w:r>
      <w:r>
        <w:rPr>
          <w:rFonts w:hint="default" w:ascii="Times New Roman" w:hAnsi="Times New Roman" w:cs="Times New Roman"/>
          <w:kern w:val="0"/>
          <w:sz w:val="24"/>
          <w:highlight w:val="none"/>
          <w:lang w:val="en-US" w:eastAsia="zh-CN"/>
        </w:rPr>
        <w:t>以下简称</w:t>
      </w:r>
      <w:r>
        <w:rPr>
          <w:rFonts w:hint="default" w:ascii="Times New Roman" w:hAnsi="Times New Roman" w:cs="Times New Roman"/>
          <w:kern w:val="0"/>
          <w:sz w:val="24"/>
          <w:highlight w:val="none"/>
        </w:rPr>
        <w:t>GB 24409</w:t>
      </w:r>
      <w:r>
        <w:rPr>
          <w:rFonts w:hint="default" w:ascii="Times New Roman" w:hAnsi="Times New Roman" w:cs="Times New Roman"/>
          <w:kern w:val="0"/>
          <w:sz w:val="24"/>
          <w:highlight w:val="none"/>
          <w:lang w:eastAsia="zh-CN"/>
        </w:rPr>
        <w:t>）</w:t>
      </w:r>
      <w:r>
        <w:rPr>
          <w:rFonts w:hint="default" w:ascii="Times New Roman" w:hAnsi="Times New Roman" w:cs="Times New Roman"/>
          <w:sz w:val="24"/>
          <w:highlight w:val="none"/>
        </w:rPr>
        <w:t>《清洗剂挥发性有机化合物含量限值》（GB 38508</w:t>
      </w:r>
      <w:r>
        <w:rPr>
          <w:rFonts w:hint="eastAsia" w:ascii="Times New Roman" w:hAnsi="Times New Roman" w:cs="Times New Roman"/>
          <w:sz w:val="24"/>
          <w:highlight w:val="none"/>
          <w:lang w:eastAsia="zh-CN"/>
        </w:rPr>
        <w:t>—</w:t>
      </w:r>
      <w:r>
        <w:rPr>
          <w:rFonts w:hint="default" w:ascii="Times New Roman" w:hAnsi="Times New Roman" w:cs="Times New Roman"/>
          <w:sz w:val="24"/>
          <w:highlight w:val="none"/>
        </w:rPr>
        <w:t>2020）</w:t>
      </w:r>
      <w:r>
        <w:rPr>
          <w:rFonts w:hint="default" w:ascii="Times New Roman" w:hAnsi="Times New Roman" w:cs="Times New Roman"/>
          <w:kern w:val="0"/>
          <w:sz w:val="24"/>
          <w:highlight w:val="none"/>
          <w:lang w:eastAsia="zh-CN"/>
        </w:rPr>
        <w:t>（</w:t>
      </w:r>
      <w:r>
        <w:rPr>
          <w:rFonts w:hint="default" w:ascii="Times New Roman" w:hAnsi="Times New Roman" w:cs="Times New Roman"/>
          <w:kern w:val="0"/>
          <w:sz w:val="24"/>
          <w:highlight w:val="none"/>
          <w:lang w:val="en-US" w:eastAsia="zh-CN"/>
        </w:rPr>
        <w:t>以下简称</w:t>
      </w:r>
      <w:r>
        <w:rPr>
          <w:rFonts w:hint="default" w:ascii="Times New Roman" w:hAnsi="Times New Roman" w:cs="Times New Roman"/>
          <w:kern w:val="0"/>
          <w:sz w:val="24"/>
          <w:highlight w:val="none"/>
        </w:rPr>
        <w:t xml:space="preserve">GB </w:t>
      </w:r>
      <w:r>
        <w:rPr>
          <w:rFonts w:hint="default" w:ascii="Times New Roman" w:hAnsi="Times New Roman" w:cs="Times New Roman"/>
          <w:kern w:val="0"/>
          <w:sz w:val="24"/>
          <w:highlight w:val="none"/>
          <w:lang w:val="en-US" w:eastAsia="zh-CN"/>
        </w:rPr>
        <w:t>38508</w:t>
      </w:r>
      <w:r>
        <w:rPr>
          <w:rFonts w:hint="default" w:ascii="Times New Roman" w:hAnsi="Times New Roman" w:cs="Times New Roman"/>
          <w:kern w:val="0"/>
          <w:sz w:val="24"/>
          <w:highlight w:val="none"/>
          <w:lang w:eastAsia="zh-CN"/>
        </w:rPr>
        <w:t>）</w:t>
      </w:r>
      <w:r>
        <w:rPr>
          <w:rFonts w:hint="default" w:ascii="Times New Roman" w:hAnsi="Times New Roman" w:cs="Times New Roman"/>
          <w:sz w:val="24"/>
          <w:highlight w:val="none"/>
        </w:rPr>
        <w:t>《低挥发性有机化合物含量涂料产品技术要求》（GB/T 38597</w:t>
      </w:r>
      <w:r>
        <w:rPr>
          <w:rFonts w:hint="eastAsia" w:ascii="Times New Roman" w:hAnsi="Times New Roman" w:cs="Times New Roman"/>
          <w:sz w:val="24"/>
          <w:highlight w:val="none"/>
          <w:lang w:eastAsia="zh-CN"/>
        </w:rPr>
        <w:t>—</w:t>
      </w:r>
      <w:r>
        <w:rPr>
          <w:rFonts w:hint="default" w:ascii="Times New Roman" w:hAnsi="Times New Roman" w:cs="Times New Roman"/>
          <w:sz w:val="24"/>
          <w:highlight w:val="none"/>
        </w:rPr>
        <w:t>2020）</w:t>
      </w:r>
      <w:r>
        <w:rPr>
          <w:rFonts w:hint="default" w:ascii="Times New Roman" w:hAnsi="Times New Roman" w:cs="Times New Roman"/>
          <w:kern w:val="0"/>
          <w:sz w:val="24"/>
          <w:highlight w:val="none"/>
          <w:lang w:eastAsia="zh-CN"/>
        </w:rPr>
        <w:t>（</w:t>
      </w:r>
      <w:r>
        <w:rPr>
          <w:rFonts w:hint="default" w:ascii="Times New Roman" w:hAnsi="Times New Roman" w:cs="Times New Roman"/>
          <w:kern w:val="0"/>
          <w:sz w:val="24"/>
          <w:highlight w:val="none"/>
          <w:lang w:val="en-US" w:eastAsia="zh-CN"/>
        </w:rPr>
        <w:t>以下简称</w:t>
      </w:r>
      <w:r>
        <w:rPr>
          <w:rFonts w:hint="default" w:ascii="Times New Roman" w:hAnsi="Times New Roman" w:cs="Times New Roman"/>
          <w:kern w:val="0"/>
          <w:sz w:val="24"/>
          <w:highlight w:val="none"/>
        </w:rPr>
        <w:t>GB</w:t>
      </w:r>
      <w:r>
        <w:rPr>
          <w:rFonts w:hint="default" w:ascii="Times New Roman" w:hAnsi="Times New Roman" w:cs="Times New Roman"/>
          <w:kern w:val="0"/>
          <w:sz w:val="24"/>
          <w:highlight w:val="none"/>
          <w:lang w:val="en-US" w:eastAsia="zh-CN"/>
        </w:rPr>
        <w:t>/T</w:t>
      </w:r>
      <w:r>
        <w:rPr>
          <w:rFonts w:hint="default" w:ascii="Times New Roman" w:hAnsi="Times New Roman" w:cs="Times New Roman"/>
          <w:kern w:val="0"/>
          <w:sz w:val="24"/>
          <w:highlight w:val="none"/>
        </w:rPr>
        <w:t xml:space="preserve"> </w:t>
      </w:r>
      <w:r>
        <w:rPr>
          <w:rFonts w:hint="default" w:ascii="Times New Roman" w:hAnsi="Times New Roman" w:cs="Times New Roman"/>
          <w:sz w:val="24"/>
          <w:highlight w:val="none"/>
        </w:rPr>
        <w:t>38597</w:t>
      </w:r>
      <w:r>
        <w:rPr>
          <w:rFonts w:hint="default" w:ascii="Times New Roman" w:hAnsi="Times New Roman" w:cs="Times New Roman"/>
          <w:kern w:val="0"/>
          <w:sz w:val="24"/>
          <w:highlight w:val="none"/>
          <w:lang w:eastAsia="zh-CN"/>
        </w:rPr>
        <w:t>）</w:t>
      </w:r>
      <w:r>
        <w:rPr>
          <w:rFonts w:hint="default" w:ascii="Times New Roman" w:hAnsi="Times New Roman" w:cs="Times New Roman"/>
          <w:kern w:val="0"/>
          <w:sz w:val="24"/>
          <w:highlight w:val="none"/>
        </w:rPr>
        <w:t>，</w:t>
      </w:r>
      <w:r>
        <w:rPr>
          <w:rFonts w:hint="eastAsia" w:cs="Times New Roman"/>
          <w:kern w:val="0"/>
          <w:sz w:val="24"/>
          <w:highlight w:val="none"/>
          <w:lang w:val="en-US" w:eastAsia="zh-CN"/>
        </w:rPr>
        <w:t>以及</w:t>
      </w:r>
      <w:r>
        <w:rPr>
          <w:rFonts w:hint="eastAsia" w:cs="Times New Roman"/>
          <w:b w:val="0"/>
          <w:bCs w:val="0"/>
          <w:highlight w:val="none"/>
          <w:lang w:val="en-US" w:eastAsia="zh-CN"/>
        </w:rPr>
        <w:t>国家最新发布的《涂料中有害物质限量第2部分：工业涂料》（</w:t>
      </w:r>
      <w:r>
        <w:rPr>
          <w:rFonts w:hint="default" w:ascii="Times New Roman" w:hAnsi="Times New Roman" w:cs="Times New Roman"/>
          <w:b w:val="0"/>
          <w:bCs w:val="0"/>
          <w:color w:val="auto"/>
          <w:highlight w:val="none"/>
          <w:lang w:val="en-US" w:eastAsia="zh-CN"/>
        </w:rPr>
        <w:t>GB 30981.2</w:t>
      </w:r>
      <w:r>
        <w:rPr>
          <w:rFonts w:hint="eastAsia" w:cs="Times New Roman"/>
          <w:b w:val="0"/>
          <w:bCs w:val="0"/>
          <w:color w:val="auto"/>
          <w:highlight w:val="none"/>
          <w:lang w:val="en-US" w:eastAsia="zh-CN"/>
        </w:rPr>
        <w:t>-2025</w:t>
      </w:r>
      <w:r>
        <w:rPr>
          <w:rFonts w:hint="eastAsia" w:cs="Times New Roman"/>
          <w:b w:val="0"/>
          <w:bCs w:val="0"/>
          <w:highlight w:val="none"/>
          <w:lang w:val="en-US" w:eastAsia="zh-CN"/>
        </w:rPr>
        <w:t>）（以下简称</w:t>
      </w:r>
      <w:r>
        <w:rPr>
          <w:rFonts w:hint="default" w:ascii="Times New Roman" w:hAnsi="Times New Roman" w:cs="Times New Roman"/>
          <w:b w:val="0"/>
          <w:bCs w:val="0"/>
          <w:color w:val="auto"/>
          <w:highlight w:val="none"/>
          <w:lang w:val="en-US" w:eastAsia="zh-CN"/>
        </w:rPr>
        <w:t>GB 30981.2</w:t>
      </w:r>
      <w:r>
        <w:rPr>
          <w:rFonts w:hint="eastAsia" w:cs="Times New Roman"/>
          <w:b w:val="0"/>
          <w:bCs w:val="0"/>
          <w:highlight w:val="none"/>
          <w:lang w:val="en-US" w:eastAsia="zh-CN"/>
        </w:rPr>
        <w:t>）将替代GB 24409等标准并于2026年6月1日实施，以上标准</w:t>
      </w:r>
      <w:r>
        <w:rPr>
          <w:rFonts w:hint="default" w:ascii="Times New Roman" w:hAnsi="Times New Roman" w:cs="Times New Roman"/>
          <w:kern w:val="0"/>
          <w:sz w:val="24"/>
          <w:highlight w:val="none"/>
        </w:rPr>
        <w:t>明确了</w:t>
      </w:r>
      <w:r>
        <w:rPr>
          <w:rFonts w:hint="default" w:ascii="Times New Roman" w:hAnsi="Times New Roman" w:cs="Times New Roman"/>
          <w:sz w:val="24"/>
          <w:highlight w:val="none"/>
        </w:rPr>
        <w:t>汽车修补涂料、清洗剂的VOCs含量限值</w:t>
      </w:r>
      <w:r>
        <w:rPr>
          <w:rFonts w:hint="default" w:ascii="Times New Roman" w:hAnsi="Times New Roman" w:cs="Times New Roman"/>
          <w:sz w:val="24"/>
          <w:highlight w:val="none"/>
          <w:lang w:eastAsia="zh-CN"/>
        </w:rPr>
        <w:t>要求</w:t>
      </w:r>
      <w:r>
        <w:rPr>
          <w:rFonts w:hint="default" w:ascii="Times New Roman" w:hAnsi="Times New Roman" w:cs="Times New Roman"/>
          <w:highlight w:val="none"/>
          <w:lang w:eastAsia="zh-CN"/>
        </w:rPr>
        <w:t>。</w:t>
      </w:r>
    </w:p>
    <w:p w14:paraId="6833FA97">
      <w:pPr>
        <w:pStyle w:val="4"/>
        <w:keepNext w:val="0"/>
        <w:keepLines w:val="0"/>
        <w:pageBreakBefore w:val="0"/>
        <w:widowControl/>
        <w:kinsoku/>
        <w:wordWrap/>
        <w:autoSpaceDE/>
        <w:autoSpaceDN/>
        <w:bidi w:val="0"/>
        <w:rPr>
          <w:rFonts w:hint="default" w:ascii="Times New Roman" w:hAnsi="Times New Roman" w:cs="Times New Roman"/>
          <w:highlight w:val="none"/>
          <w:lang w:val="en-US" w:eastAsia="zh-CN"/>
        </w:rPr>
      </w:pPr>
      <w:bookmarkStart w:id="31" w:name="_Toc4816"/>
      <w:bookmarkStart w:id="32" w:name="_Toc3836"/>
      <w:r>
        <w:rPr>
          <w:rFonts w:hint="default" w:ascii="Times New Roman" w:hAnsi="Times New Roman" w:cs="Times New Roman"/>
          <w:highlight w:val="none"/>
          <w:lang w:val="en-US" w:eastAsia="zh-CN"/>
        </w:rPr>
        <w:t>香港特别行政区</w:t>
      </w:r>
      <w:bookmarkEnd w:id="31"/>
      <w:bookmarkEnd w:id="32"/>
    </w:p>
    <w:p w14:paraId="1949A9E4">
      <w:pPr>
        <w:keepNext w:val="0"/>
        <w:keepLines w:val="0"/>
        <w:pageBreakBefore w:val="0"/>
        <w:widowControl/>
        <w:kinsoku/>
        <w:wordWrap/>
        <w:autoSpaceDE/>
        <w:autoSpaceDN/>
        <w:bidi w:val="0"/>
        <w:spacing w:line="360" w:lineRule="auto"/>
        <w:ind w:firstLine="480" w:firstLineChars="200"/>
        <w:rPr>
          <w:rFonts w:hint="default" w:ascii="Times New Roman" w:hAnsi="Times New Roman" w:cs="Times New Roman"/>
          <w:sz w:val="24"/>
          <w:highlight w:val="none"/>
        </w:rPr>
      </w:pPr>
      <w:r>
        <w:rPr>
          <w:rFonts w:hint="default" w:ascii="Times New Roman" w:hAnsi="Times New Roman" w:cs="Times New Roman"/>
          <w:sz w:val="24"/>
          <w:highlight w:val="none"/>
        </w:rPr>
        <w:t>香港环境保护署2011年2月发布</w:t>
      </w:r>
      <w:r>
        <w:rPr>
          <w:rFonts w:hint="eastAsia" w:cs="Times New Roman"/>
          <w:sz w:val="24"/>
          <w:highlight w:val="none"/>
          <w:lang w:eastAsia="zh-CN"/>
        </w:rPr>
        <w:t>“</w:t>
      </w:r>
      <w:r>
        <w:rPr>
          <w:rFonts w:hint="default" w:ascii="Times New Roman" w:hAnsi="Times New Roman" w:cs="Times New Roman"/>
          <w:sz w:val="24"/>
          <w:highlight w:val="none"/>
        </w:rPr>
        <w:t>应用含低挥发性有机化合物及水溶性汽车修补漆所需设备技术指引</w:t>
      </w:r>
      <w:r>
        <w:rPr>
          <w:rFonts w:hint="eastAsia" w:cs="Times New Roman"/>
          <w:sz w:val="24"/>
          <w:highlight w:val="none"/>
          <w:lang w:eastAsia="zh-CN"/>
        </w:rPr>
        <w:t>”</w:t>
      </w:r>
      <w:r>
        <w:rPr>
          <w:rFonts w:hint="default" w:ascii="Times New Roman" w:hAnsi="Times New Roman" w:cs="Times New Roman"/>
          <w:sz w:val="24"/>
          <w:highlight w:val="none"/>
        </w:rPr>
        <w:t>，要求</w:t>
      </w:r>
      <w:r>
        <w:rPr>
          <w:rFonts w:hint="default" w:ascii="Times New Roman" w:hAnsi="Times New Roman" w:cs="Times New Roman"/>
          <w:sz w:val="24"/>
          <w:highlight w:val="none"/>
          <w:lang w:eastAsia="zh-CN"/>
        </w:rPr>
        <w:t>汽车维修</w:t>
      </w:r>
      <w:r>
        <w:rPr>
          <w:rFonts w:hint="default" w:ascii="Times New Roman" w:hAnsi="Times New Roman" w:cs="Times New Roman"/>
          <w:sz w:val="24"/>
          <w:highlight w:val="none"/>
        </w:rPr>
        <w:t>行业应符合《空气污染管制（挥发性有机化合物）规例》中</w:t>
      </w:r>
      <w:r>
        <w:rPr>
          <w:rFonts w:hint="eastAsia" w:cs="Times New Roman"/>
          <w:sz w:val="24"/>
          <w:highlight w:val="none"/>
          <w:lang w:val="en-US" w:eastAsia="zh-CN"/>
        </w:rPr>
        <w:t>汽</w:t>
      </w:r>
      <w:r>
        <w:rPr>
          <w:rFonts w:hint="default" w:ascii="Times New Roman" w:hAnsi="Times New Roman" w:cs="Times New Roman"/>
          <w:sz w:val="24"/>
          <w:highlight w:val="none"/>
        </w:rPr>
        <w:t>车修补漆中</w:t>
      </w:r>
      <w:r>
        <w:rPr>
          <w:rFonts w:hint="default" w:ascii="Times New Roman" w:hAnsi="Times New Roman" w:cs="Times New Roman"/>
          <w:sz w:val="24"/>
          <w:highlight w:val="none"/>
          <w:lang w:val="en-US" w:eastAsia="zh-CN"/>
        </w:rPr>
        <w:t>VOCs</w:t>
      </w:r>
      <w:r>
        <w:rPr>
          <w:rFonts w:hint="default" w:ascii="Times New Roman" w:hAnsi="Times New Roman" w:cs="Times New Roman"/>
          <w:sz w:val="24"/>
          <w:highlight w:val="none"/>
        </w:rPr>
        <w:t>含量的禁令及规定。</w:t>
      </w:r>
    </w:p>
    <w:p w14:paraId="676B7E7E">
      <w:pPr>
        <w:keepNext w:val="0"/>
        <w:keepLines w:val="0"/>
        <w:pageBreakBefore w:val="0"/>
        <w:widowControl/>
        <w:kinsoku/>
        <w:wordWrap/>
        <w:autoSpaceDE/>
        <w:autoSpaceDN/>
        <w:bidi w:val="0"/>
        <w:ind w:left="0" w:leftChars="0" w:firstLine="0" w:firstLineChars="0"/>
        <w:jc w:val="center"/>
        <w:rPr>
          <w:rFonts w:hint="default" w:ascii="Times New Roman" w:hAnsi="Times New Roman" w:cs="Times New Roman"/>
          <w:highlight w:val="none"/>
        </w:rPr>
      </w:pPr>
      <w:r>
        <w:rPr>
          <w:rFonts w:hint="default" w:ascii="Times New Roman" w:hAnsi="Times New Roman" w:cs="Times New Roman"/>
          <w:highlight w:val="none"/>
        </w:rPr>
        <w:t>表3</w:t>
      </w:r>
      <w:r>
        <w:rPr>
          <w:rFonts w:hint="default" w:ascii="Times New Roman" w:hAnsi="Times New Roman" w:cs="Times New Roman"/>
          <w:highlight w:val="none"/>
          <w:lang w:val="en-US" w:eastAsia="zh-CN"/>
        </w:rPr>
        <w:t>.2</w:t>
      </w:r>
      <w:r>
        <w:rPr>
          <w:rFonts w:hint="default" w:ascii="Times New Roman" w:hAnsi="Times New Roman" w:cs="Times New Roman"/>
          <w:highlight w:val="none"/>
        </w:rPr>
        <w:t>-</w:t>
      </w:r>
      <w:r>
        <w:rPr>
          <w:rFonts w:hint="eastAsia" w:ascii="Times New Roman" w:hAnsi="Times New Roman" w:cs="Times New Roman"/>
          <w:highlight w:val="none"/>
          <w:lang w:val="en-US" w:eastAsia="zh-CN"/>
        </w:rPr>
        <w:t>1</w:t>
      </w:r>
      <w:r>
        <w:rPr>
          <w:rFonts w:hint="default" w:ascii="Times New Roman" w:hAnsi="Times New Roman" w:cs="Times New Roman"/>
          <w:highlight w:val="none"/>
        </w:rPr>
        <w:t xml:space="preserve"> 香港汽车修补涂料</w:t>
      </w:r>
      <w:r>
        <w:rPr>
          <w:rFonts w:hint="default" w:ascii="Times New Roman" w:hAnsi="Times New Roman" w:cs="Times New Roman"/>
          <w:highlight w:val="none"/>
          <w:lang w:eastAsia="zh-CN"/>
        </w:rPr>
        <w:t>VOCs</w:t>
      </w:r>
      <w:r>
        <w:rPr>
          <w:rFonts w:hint="default" w:ascii="Times New Roman" w:hAnsi="Times New Roman" w:cs="Times New Roman"/>
          <w:highlight w:val="none"/>
        </w:rPr>
        <w:t>含量限值</w:t>
      </w:r>
    </w:p>
    <w:tbl>
      <w:tblPr>
        <w:tblStyle w:val="21"/>
        <w:tblW w:w="850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3"/>
        <w:gridCol w:w="3985"/>
        <w:gridCol w:w="3837"/>
      </w:tblGrid>
      <w:tr w14:paraId="69C59B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jc w:val="center"/>
        </w:trPr>
        <w:tc>
          <w:tcPr>
            <w:tcW w:w="648" w:type="dxa"/>
          </w:tcPr>
          <w:p w14:paraId="0851A94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b/>
                <w:bCs/>
                <w:sz w:val="21"/>
                <w:szCs w:val="21"/>
                <w:highlight w:val="none"/>
              </w:rPr>
            </w:pPr>
            <w:r>
              <w:rPr>
                <w:rFonts w:hint="default" w:ascii="Times New Roman" w:hAnsi="Times New Roman" w:cs="Times New Roman" w:eastAsiaTheme="minorEastAsia"/>
                <w:b/>
                <w:bCs/>
                <w:sz w:val="21"/>
                <w:szCs w:val="21"/>
                <w:highlight w:val="none"/>
              </w:rPr>
              <w:t>序号</w:t>
            </w:r>
          </w:p>
        </w:tc>
        <w:tc>
          <w:tcPr>
            <w:tcW w:w="3780" w:type="dxa"/>
          </w:tcPr>
          <w:p w14:paraId="7D02DED3">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b/>
                <w:bCs/>
                <w:sz w:val="21"/>
                <w:szCs w:val="21"/>
                <w:highlight w:val="none"/>
              </w:rPr>
            </w:pPr>
            <w:r>
              <w:rPr>
                <w:rFonts w:hint="default" w:ascii="Times New Roman" w:hAnsi="Times New Roman" w:cs="Times New Roman" w:eastAsiaTheme="minorEastAsia"/>
                <w:b/>
                <w:bCs/>
                <w:sz w:val="21"/>
                <w:szCs w:val="21"/>
                <w:highlight w:val="none"/>
              </w:rPr>
              <w:t>受规管汽车修补涂料</w:t>
            </w:r>
          </w:p>
        </w:tc>
        <w:tc>
          <w:tcPr>
            <w:tcW w:w="3639" w:type="dxa"/>
          </w:tcPr>
          <w:p w14:paraId="0931862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cs="Times New Roman" w:eastAsiaTheme="minorEastAsia"/>
                <w:b/>
                <w:bCs/>
                <w:sz w:val="21"/>
                <w:szCs w:val="21"/>
                <w:highlight w:val="none"/>
                <w:lang w:eastAsia="zh-CN"/>
              </w:rPr>
            </w:pPr>
            <w:r>
              <w:rPr>
                <w:rFonts w:hint="default" w:ascii="Times New Roman" w:hAnsi="Times New Roman" w:cs="Times New Roman" w:eastAsiaTheme="minorEastAsia"/>
                <w:b/>
                <w:bCs/>
                <w:sz w:val="21"/>
                <w:szCs w:val="21"/>
                <w:highlight w:val="none"/>
                <w:lang w:val="en-US" w:eastAsia="zh-CN"/>
              </w:rPr>
              <w:t>VOCs</w:t>
            </w:r>
            <w:r>
              <w:rPr>
                <w:rFonts w:hint="default" w:ascii="Times New Roman" w:hAnsi="Times New Roman" w:cs="Times New Roman" w:eastAsiaTheme="minorEastAsia"/>
                <w:b/>
                <w:bCs/>
                <w:sz w:val="21"/>
                <w:szCs w:val="21"/>
                <w:highlight w:val="none"/>
              </w:rPr>
              <w:t>含量的最高限值g/</w:t>
            </w:r>
            <w:r>
              <w:rPr>
                <w:rFonts w:hint="eastAsia" w:cs="Times New Roman" w:eastAsiaTheme="minorEastAsia"/>
                <w:b/>
                <w:bCs/>
                <w:sz w:val="21"/>
                <w:szCs w:val="21"/>
                <w:highlight w:val="none"/>
                <w:lang w:val="en-US" w:eastAsia="zh-CN"/>
              </w:rPr>
              <w:t>L</w:t>
            </w:r>
          </w:p>
        </w:tc>
      </w:tr>
      <w:tr w14:paraId="2EC1E3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8" w:type="dxa"/>
          </w:tcPr>
          <w:p w14:paraId="1E985279">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1</w:t>
            </w:r>
          </w:p>
        </w:tc>
        <w:tc>
          <w:tcPr>
            <w:tcW w:w="3780" w:type="dxa"/>
          </w:tcPr>
          <w:p w14:paraId="389E075D">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黏合促进剂</w:t>
            </w:r>
          </w:p>
        </w:tc>
        <w:tc>
          <w:tcPr>
            <w:tcW w:w="3639" w:type="dxa"/>
          </w:tcPr>
          <w:p w14:paraId="2EB07D2E">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840</w:t>
            </w:r>
          </w:p>
        </w:tc>
      </w:tr>
      <w:tr w14:paraId="526135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8" w:type="dxa"/>
          </w:tcPr>
          <w:p w14:paraId="27FB6C1A">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2</w:t>
            </w:r>
          </w:p>
        </w:tc>
        <w:tc>
          <w:tcPr>
            <w:tcW w:w="3780" w:type="dxa"/>
          </w:tcPr>
          <w:p w14:paraId="0F885CA3">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透明涂料（非亚光装饰）</w:t>
            </w:r>
          </w:p>
        </w:tc>
        <w:tc>
          <w:tcPr>
            <w:tcW w:w="3639" w:type="dxa"/>
          </w:tcPr>
          <w:p w14:paraId="67C7106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420</w:t>
            </w:r>
          </w:p>
        </w:tc>
      </w:tr>
      <w:tr w14:paraId="64057C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8" w:type="dxa"/>
          </w:tcPr>
          <w:p w14:paraId="6D775478">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3</w:t>
            </w:r>
          </w:p>
        </w:tc>
        <w:tc>
          <w:tcPr>
            <w:tcW w:w="3780" w:type="dxa"/>
          </w:tcPr>
          <w:p w14:paraId="1036249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透明涂料（亚光装饰）</w:t>
            </w:r>
          </w:p>
        </w:tc>
        <w:tc>
          <w:tcPr>
            <w:tcW w:w="3639" w:type="dxa"/>
          </w:tcPr>
          <w:p w14:paraId="43E75CF6">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840</w:t>
            </w:r>
          </w:p>
        </w:tc>
      </w:tr>
      <w:tr w14:paraId="0943D7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8" w:type="dxa"/>
          </w:tcPr>
          <w:p w14:paraId="7F3E3910">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4</w:t>
            </w:r>
          </w:p>
        </w:tc>
        <w:tc>
          <w:tcPr>
            <w:tcW w:w="3780" w:type="dxa"/>
          </w:tcPr>
          <w:p w14:paraId="515740DA">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彩色涂料</w:t>
            </w:r>
          </w:p>
        </w:tc>
        <w:tc>
          <w:tcPr>
            <w:tcW w:w="3639" w:type="dxa"/>
          </w:tcPr>
          <w:p w14:paraId="0B0E195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420</w:t>
            </w:r>
          </w:p>
        </w:tc>
      </w:tr>
      <w:tr w14:paraId="660906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8" w:type="dxa"/>
          </w:tcPr>
          <w:p w14:paraId="0B5EC6A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5</w:t>
            </w:r>
          </w:p>
        </w:tc>
        <w:tc>
          <w:tcPr>
            <w:tcW w:w="3780" w:type="dxa"/>
          </w:tcPr>
          <w:p w14:paraId="3B223994">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多彩涂料</w:t>
            </w:r>
          </w:p>
        </w:tc>
        <w:tc>
          <w:tcPr>
            <w:tcW w:w="3639" w:type="dxa"/>
          </w:tcPr>
          <w:p w14:paraId="6DBABCF3">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680</w:t>
            </w:r>
          </w:p>
        </w:tc>
      </w:tr>
      <w:tr w14:paraId="55AA13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8" w:type="dxa"/>
          </w:tcPr>
          <w:p w14:paraId="30EA4699">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6</w:t>
            </w:r>
          </w:p>
        </w:tc>
        <w:tc>
          <w:tcPr>
            <w:tcW w:w="3780" w:type="dxa"/>
          </w:tcPr>
          <w:p w14:paraId="2CAF97C6">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预处理涂料</w:t>
            </w:r>
          </w:p>
        </w:tc>
        <w:tc>
          <w:tcPr>
            <w:tcW w:w="3639" w:type="dxa"/>
          </w:tcPr>
          <w:p w14:paraId="676F95EE">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780</w:t>
            </w:r>
          </w:p>
        </w:tc>
      </w:tr>
      <w:tr w14:paraId="5C4C05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8" w:type="dxa"/>
          </w:tcPr>
          <w:p w14:paraId="744410B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7</w:t>
            </w:r>
          </w:p>
        </w:tc>
        <w:tc>
          <w:tcPr>
            <w:tcW w:w="3780" w:type="dxa"/>
          </w:tcPr>
          <w:p w14:paraId="2BB25453">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底漆</w:t>
            </w:r>
          </w:p>
        </w:tc>
        <w:tc>
          <w:tcPr>
            <w:tcW w:w="3639" w:type="dxa"/>
          </w:tcPr>
          <w:p w14:paraId="7CA4F586">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540</w:t>
            </w:r>
          </w:p>
        </w:tc>
      </w:tr>
      <w:tr w14:paraId="6B3B87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8" w:type="dxa"/>
          </w:tcPr>
          <w:p w14:paraId="18E81EF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8</w:t>
            </w:r>
          </w:p>
        </w:tc>
        <w:tc>
          <w:tcPr>
            <w:tcW w:w="3780" w:type="dxa"/>
          </w:tcPr>
          <w:p w14:paraId="4139236D">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单级涂料</w:t>
            </w:r>
          </w:p>
        </w:tc>
        <w:tc>
          <w:tcPr>
            <w:tcW w:w="3639" w:type="dxa"/>
          </w:tcPr>
          <w:p w14:paraId="65D2FBD6">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420</w:t>
            </w:r>
          </w:p>
        </w:tc>
      </w:tr>
      <w:tr w14:paraId="5468F4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8" w:type="dxa"/>
          </w:tcPr>
          <w:p w14:paraId="69093399">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9</w:t>
            </w:r>
          </w:p>
        </w:tc>
        <w:tc>
          <w:tcPr>
            <w:tcW w:w="3780" w:type="dxa"/>
          </w:tcPr>
          <w:p w14:paraId="6318607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临时保护涂料</w:t>
            </w:r>
          </w:p>
        </w:tc>
        <w:tc>
          <w:tcPr>
            <w:tcW w:w="3639" w:type="dxa"/>
          </w:tcPr>
          <w:p w14:paraId="34837D6E">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60</w:t>
            </w:r>
          </w:p>
        </w:tc>
      </w:tr>
      <w:tr w14:paraId="406382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8" w:type="dxa"/>
          </w:tcPr>
          <w:p w14:paraId="3AEF39E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10</w:t>
            </w:r>
          </w:p>
        </w:tc>
        <w:tc>
          <w:tcPr>
            <w:tcW w:w="3780" w:type="dxa"/>
          </w:tcPr>
          <w:p w14:paraId="0375D37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纹理及柔软效果涂料</w:t>
            </w:r>
          </w:p>
        </w:tc>
        <w:tc>
          <w:tcPr>
            <w:tcW w:w="3639" w:type="dxa"/>
          </w:tcPr>
          <w:p w14:paraId="3192CD71">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840</w:t>
            </w:r>
          </w:p>
        </w:tc>
      </w:tr>
      <w:tr w14:paraId="3ADA1D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8" w:type="dxa"/>
          </w:tcPr>
          <w:p w14:paraId="3A3AE8CE">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11</w:t>
            </w:r>
          </w:p>
        </w:tc>
        <w:tc>
          <w:tcPr>
            <w:tcW w:w="3780" w:type="dxa"/>
          </w:tcPr>
          <w:p w14:paraId="2F163A7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卡车货斗衬热涂料</w:t>
            </w:r>
          </w:p>
        </w:tc>
        <w:tc>
          <w:tcPr>
            <w:tcW w:w="3639" w:type="dxa"/>
          </w:tcPr>
          <w:p w14:paraId="6A6AB1C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310</w:t>
            </w:r>
          </w:p>
        </w:tc>
      </w:tr>
      <w:tr w14:paraId="49C290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8" w:type="dxa"/>
          </w:tcPr>
          <w:p w14:paraId="1DB36CA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12</w:t>
            </w:r>
          </w:p>
        </w:tc>
        <w:tc>
          <w:tcPr>
            <w:tcW w:w="3780" w:type="dxa"/>
          </w:tcPr>
          <w:p w14:paraId="09A84B43">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车身底部涂料</w:t>
            </w:r>
          </w:p>
        </w:tc>
        <w:tc>
          <w:tcPr>
            <w:tcW w:w="3639" w:type="dxa"/>
          </w:tcPr>
          <w:p w14:paraId="62EAD82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430</w:t>
            </w:r>
          </w:p>
        </w:tc>
      </w:tr>
      <w:tr w14:paraId="463A43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8" w:type="dxa"/>
          </w:tcPr>
          <w:p w14:paraId="42F86CA9">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13</w:t>
            </w:r>
          </w:p>
        </w:tc>
        <w:tc>
          <w:tcPr>
            <w:tcW w:w="3780" w:type="dxa"/>
          </w:tcPr>
          <w:p w14:paraId="0991EE2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均匀装饰涂料</w:t>
            </w:r>
          </w:p>
        </w:tc>
        <w:tc>
          <w:tcPr>
            <w:tcW w:w="3639" w:type="dxa"/>
          </w:tcPr>
          <w:p w14:paraId="32E51CC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840</w:t>
            </w:r>
          </w:p>
        </w:tc>
      </w:tr>
      <w:tr w14:paraId="404B38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8" w:type="dxa"/>
          </w:tcPr>
          <w:p w14:paraId="3D6E39FE">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14</w:t>
            </w:r>
          </w:p>
        </w:tc>
        <w:tc>
          <w:tcPr>
            <w:tcW w:w="3780" w:type="dxa"/>
          </w:tcPr>
          <w:p w14:paraId="0477763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其他汽车修补涂料</w:t>
            </w:r>
          </w:p>
        </w:tc>
        <w:tc>
          <w:tcPr>
            <w:tcW w:w="3639" w:type="dxa"/>
          </w:tcPr>
          <w:p w14:paraId="5F8163C9">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250</w:t>
            </w:r>
          </w:p>
        </w:tc>
      </w:tr>
    </w:tbl>
    <w:p w14:paraId="24F724F0">
      <w:pPr>
        <w:pStyle w:val="4"/>
        <w:keepNext w:val="0"/>
        <w:keepLines w:val="0"/>
        <w:pageBreakBefore w:val="0"/>
        <w:widowControl/>
        <w:kinsoku/>
        <w:wordWrap/>
        <w:autoSpaceDE/>
        <w:autoSpaceDN/>
        <w:bidi w:val="0"/>
        <w:rPr>
          <w:rFonts w:hint="default" w:ascii="Times New Roman" w:hAnsi="Times New Roman" w:cs="Times New Roman"/>
          <w:highlight w:val="none"/>
          <w:lang w:val="en-US" w:eastAsia="zh-CN"/>
        </w:rPr>
      </w:pPr>
      <w:bookmarkStart w:id="33" w:name="_Toc23458"/>
      <w:r>
        <w:rPr>
          <w:rFonts w:hint="default" w:ascii="Times New Roman" w:hAnsi="Times New Roman" w:cs="Times New Roman"/>
          <w:highlight w:val="none"/>
          <w:lang w:val="en-US" w:eastAsia="zh-CN"/>
        </w:rPr>
        <w:t>其他内陆各省市</w:t>
      </w:r>
      <w:bookmarkEnd w:id="33"/>
    </w:p>
    <w:p w14:paraId="0DEE4B77">
      <w:pPr>
        <w:keepNext w:val="0"/>
        <w:keepLines w:val="0"/>
        <w:pageBreakBefore w:val="0"/>
        <w:widowControl/>
        <w:kinsoku/>
        <w:wordWrap/>
        <w:autoSpaceDE/>
        <w:autoSpaceDN/>
        <w:bidi w:val="0"/>
        <w:spacing w:line="360" w:lineRule="auto"/>
        <w:ind w:firstLine="480" w:firstLineChars="200"/>
        <w:rPr>
          <w:rFonts w:hint="default" w:ascii="Times New Roman" w:hAnsi="Times New Roman" w:eastAsia="宋体" w:cs="Times New Roman"/>
          <w:sz w:val="24"/>
          <w:highlight w:val="none"/>
          <w:lang w:val="en-US" w:eastAsia="zh-CN"/>
        </w:rPr>
      </w:pPr>
      <w:r>
        <w:rPr>
          <w:rFonts w:hint="default" w:ascii="Times New Roman" w:hAnsi="Times New Roman" w:cs="Times New Roman"/>
          <w:sz w:val="24"/>
          <w:highlight w:val="none"/>
          <w:lang w:eastAsia="zh-CN"/>
        </w:rPr>
        <w:t>地方省市层面，</w:t>
      </w:r>
      <w:r>
        <w:rPr>
          <w:rFonts w:hint="default" w:ascii="Times New Roman" w:hAnsi="Times New Roman" w:cs="Times New Roman"/>
          <w:sz w:val="24"/>
          <w:highlight w:val="none"/>
        </w:rPr>
        <w:t>共有</w:t>
      </w:r>
      <w:r>
        <w:rPr>
          <w:rFonts w:hint="default" w:ascii="Times New Roman" w:hAnsi="Times New Roman" w:cs="Times New Roman"/>
          <w:sz w:val="24"/>
          <w:highlight w:val="none"/>
          <w:lang w:val="en-US" w:eastAsia="zh-CN"/>
        </w:rPr>
        <w:t>安徽</w:t>
      </w:r>
      <w:r>
        <w:rPr>
          <w:rFonts w:hint="default" w:ascii="Times New Roman" w:hAnsi="Times New Roman" w:cs="Times New Roman"/>
          <w:sz w:val="24"/>
          <w:highlight w:val="none"/>
        </w:rPr>
        <w:t>、上海等</w:t>
      </w:r>
      <w:r>
        <w:rPr>
          <w:rFonts w:hint="default" w:ascii="Times New Roman" w:hAnsi="Times New Roman" w:cs="Times New Roman"/>
          <w:sz w:val="24"/>
          <w:highlight w:val="none"/>
          <w:lang w:val="en-US" w:eastAsia="zh-CN"/>
        </w:rPr>
        <w:t>8个</w:t>
      </w:r>
      <w:r>
        <w:rPr>
          <w:rFonts w:hint="default" w:ascii="Times New Roman" w:hAnsi="Times New Roman" w:cs="Times New Roman"/>
          <w:sz w:val="24"/>
          <w:highlight w:val="none"/>
        </w:rPr>
        <w:t>省市</w:t>
      </w:r>
      <w:r>
        <w:rPr>
          <w:rFonts w:hint="default" w:ascii="Times New Roman" w:hAnsi="Times New Roman" w:cs="Times New Roman"/>
          <w:sz w:val="24"/>
          <w:highlight w:val="none"/>
          <w:lang w:eastAsia="zh-CN"/>
        </w:rPr>
        <w:t>已</w:t>
      </w:r>
      <w:r>
        <w:rPr>
          <w:rFonts w:hint="default" w:ascii="Times New Roman" w:hAnsi="Times New Roman" w:cs="Times New Roman"/>
          <w:sz w:val="24"/>
          <w:highlight w:val="none"/>
        </w:rPr>
        <w:t>颁布</w:t>
      </w:r>
      <w:r>
        <w:rPr>
          <w:rFonts w:hint="default" w:ascii="Times New Roman" w:hAnsi="Times New Roman" w:cs="Times New Roman"/>
          <w:sz w:val="24"/>
          <w:highlight w:val="none"/>
          <w:lang w:eastAsia="zh-CN"/>
        </w:rPr>
        <w:t>或正在制订</w:t>
      </w:r>
      <w:r>
        <w:rPr>
          <w:rFonts w:hint="default" w:ascii="Times New Roman" w:hAnsi="Times New Roman" w:cs="Times New Roman"/>
          <w:sz w:val="24"/>
          <w:highlight w:val="none"/>
        </w:rPr>
        <w:t>汽车维修行业的大气污染物排放标准</w:t>
      </w:r>
      <w:r>
        <w:rPr>
          <w:rFonts w:hint="default" w:ascii="Times New Roman" w:hAnsi="Times New Roman" w:cs="Times New Roman"/>
          <w:sz w:val="24"/>
          <w:highlight w:val="none"/>
          <w:lang w:eastAsia="zh-CN"/>
        </w:rPr>
        <w:t>，这些标准均规定了汽车维修行业的原辅料含量限值、有组织排放管控要求、无组织排放管控要求和厂界管控要求等。</w:t>
      </w:r>
    </w:p>
    <w:p w14:paraId="671E859E">
      <w:pPr>
        <w:keepNext w:val="0"/>
        <w:keepLines w:val="0"/>
        <w:pageBreakBefore w:val="0"/>
        <w:widowControl/>
        <w:kinsoku/>
        <w:wordWrap/>
        <w:autoSpaceDE/>
        <w:autoSpaceDN/>
        <w:bidi w:val="0"/>
        <w:ind w:left="0" w:leftChars="0" w:firstLine="0" w:firstLineChars="0"/>
        <w:jc w:val="center"/>
        <w:rPr>
          <w:rFonts w:hint="default" w:ascii="Times New Roman" w:hAnsi="Times New Roman" w:cs="Times New Roman"/>
          <w:highlight w:val="none"/>
        </w:rPr>
      </w:pPr>
      <w:r>
        <w:rPr>
          <w:rFonts w:hint="default" w:ascii="Times New Roman" w:hAnsi="Times New Roman" w:cs="Times New Roman"/>
          <w:highlight w:val="none"/>
        </w:rPr>
        <w:t>表3</w:t>
      </w:r>
      <w:r>
        <w:rPr>
          <w:rFonts w:hint="default" w:ascii="Times New Roman" w:hAnsi="Times New Roman" w:cs="Times New Roman"/>
          <w:highlight w:val="none"/>
          <w:lang w:val="en-US" w:eastAsia="zh-CN"/>
        </w:rPr>
        <w:t>.2</w:t>
      </w:r>
      <w:r>
        <w:rPr>
          <w:rFonts w:hint="default" w:ascii="Times New Roman" w:hAnsi="Times New Roman" w:cs="Times New Roman"/>
          <w:highlight w:val="none"/>
        </w:rPr>
        <w:t>-</w:t>
      </w:r>
      <w:r>
        <w:rPr>
          <w:rFonts w:hint="eastAsia" w:ascii="Times New Roman" w:hAnsi="Times New Roman" w:cs="Times New Roman"/>
          <w:highlight w:val="none"/>
          <w:lang w:val="en-US" w:eastAsia="zh-CN"/>
        </w:rPr>
        <w:t>2</w:t>
      </w:r>
      <w:r>
        <w:rPr>
          <w:rFonts w:hint="default" w:ascii="Times New Roman" w:hAnsi="Times New Roman" w:cs="Times New Roman"/>
          <w:highlight w:val="none"/>
        </w:rPr>
        <w:t xml:space="preserve">  国内已有省市</w:t>
      </w:r>
      <w:r>
        <w:rPr>
          <w:rFonts w:hint="default" w:ascii="Times New Roman" w:hAnsi="Times New Roman" w:cs="Times New Roman"/>
          <w:highlight w:val="none"/>
          <w:lang w:val="en-US" w:eastAsia="zh-CN"/>
        </w:rPr>
        <w:t>汽车维修</w:t>
      </w:r>
      <w:r>
        <w:rPr>
          <w:rFonts w:hint="default" w:ascii="Times New Roman" w:hAnsi="Times New Roman" w:cs="Times New Roman"/>
          <w:highlight w:val="none"/>
        </w:rPr>
        <w:t>排放标准</w:t>
      </w:r>
    </w:p>
    <w:tbl>
      <w:tblPr>
        <w:tblStyle w:val="21"/>
        <w:tblW w:w="5013"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784"/>
        <w:gridCol w:w="816"/>
        <w:gridCol w:w="6741"/>
      </w:tblGrid>
      <w:tr w14:paraId="280E90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67" w:hRule="atLeast"/>
          <w:tblHeader/>
        </w:trPr>
        <w:tc>
          <w:tcPr>
            <w:tcW w:w="470" w:type="pct"/>
            <w:vAlign w:val="center"/>
          </w:tcPr>
          <w:p w14:paraId="4F42230A">
            <w:pPr>
              <w:keepNext w:val="0"/>
              <w:keepLines w:val="0"/>
              <w:pageBreakBefore w:val="0"/>
              <w:widowControl/>
              <w:kinsoku/>
              <w:wordWrap/>
              <w:overflowPunct/>
              <w:topLinePunct w:val="0"/>
              <w:autoSpaceDE/>
              <w:autoSpaceDN/>
              <w:bidi w:val="0"/>
              <w:adjustRightInd/>
              <w:snapToGrid/>
              <w:spacing w:line="276" w:lineRule="auto"/>
              <w:ind w:left="0" w:leftChars="0" w:firstLine="0" w:firstLineChars="0"/>
              <w:jc w:val="center"/>
              <w:textAlignment w:val="auto"/>
              <w:rPr>
                <w:rFonts w:hint="default" w:ascii="Times New Roman" w:hAnsi="Times New Roman" w:cs="Times New Roman"/>
                <w:b/>
                <w:bCs/>
                <w:sz w:val="21"/>
                <w:szCs w:val="21"/>
                <w:highlight w:val="none"/>
              </w:rPr>
            </w:pPr>
            <w:r>
              <w:rPr>
                <w:rFonts w:hint="default" w:ascii="Times New Roman" w:hAnsi="Times New Roman" w:cs="Times New Roman"/>
                <w:b/>
                <w:bCs/>
                <w:sz w:val="21"/>
                <w:szCs w:val="21"/>
                <w:highlight w:val="none"/>
              </w:rPr>
              <w:t>序号</w:t>
            </w:r>
          </w:p>
        </w:tc>
        <w:tc>
          <w:tcPr>
            <w:tcW w:w="489" w:type="pct"/>
            <w:shd w:val="clear" w:color="auto" w:fill="auto"/>
            <w:tcMar>
              <w:top w:w="8" w:type="dxa"/>
              <w:left w:w="8" w:type="dxa"/>
              <w:bottom w:w="0" w:type="dxa"/>
              <w:right w:w="8" w:type="dxa"/>
            </w:tcMar>
            <w:vAlign w:val="center"/>
          </w:tcPr>
          <w:p w14:paraId="15A0B32B">
            <w:pPr>
              <w:keepNext w:val="0"/>
              <w:keepLines w:val="0"/>
              <w:pageBreakBefore w:val="0"/>
              <w:widowControl/>
              <w:kinsoku/>
              <w:wordWrap/>
              <w:overflowPunct/>
              <w:topLinePunct w:val="0"/>
              <w:autoSpaceDE/>
              <w:autoSpaceDN/>
              <w:bidi w:val="0"/>
              <w:adjustRightInd/>
              <w:snapToGrid/>
              <w:spacing w:line="276" w:lineRule="auto"/>
              <w:ind w:left="0" w:leftChars="0" w:firstLine="0" w:firstLineChars="0"/>
              <w:jc w:val="center"/>
              <w:textAlignment w:val="auto"/>
              <w:rPr>
                <w:rFonts w:hint="default" w:ascii="Times New Roman" w:hAnsi="Times New Roman" w:cs="Times New Roman"/>
                <w:sz w:val="21"/>
                <w:szCs w:val="21"/>
                <w:highlight w:val="none"/>
              </w:rPr>
            </w:pPr>
            <w:r>
              <w:rPr>
                <w:rFonts w:hint="default" w:ascii="Times New Roman" w:hAnsi="Times New Roman" w:cs="Times New Roman"/>
                <w:b/>
                <w:bCs/>
                <w:sz w:val="21"/>
                <w:szCs w:val="21"/>
                <w:highlight w:val="none"/>
              </w:rPr>
              <w:t>地方</w:t>
            </w:r>
          </w:p>
        </w:tc>
        <w:tc>
          <w:tcPr>
            <w:tcW w:w="4040" w:type="pct"/>
            <w:shd w:val="clear" w:color="auto" w:fill="auto"/>
            <w:tcMar>
              <w:top w:w="8" w:type="dxa"/>
              <w:left w:w="8" w:type="dxa"/>
              <w:bottom w:w="0" w:type="dxa"/>
              <w:right w:w="8" w:type="dxa"/>
            </w:tcMar>
            <w:vAlign w:val="center"/>
          </w:tcPr>
          <w:p w14:paraId="0D409B38">
            <w:pPr>
              <w:keepNext w:val="0"/>
              <w:keepLines w:val="0"/>
              <w:pageBreakBefore w:val="0"/>
              <w:widowControl/>
              <w:kinsoku/>
              <w:wordWrap/>
              <w:overflowPunct/>
              <w:topLinePunct w:val="0"/>
              <w:autoSpaceDE/>
              <w:autoSpaceDN/>
              <w:bidi w:val="0"/>
              <w:adjustRightInd/>
              <w:snapToGrid/>
              <w:spacing w:line="276" w:lineRule="auto"/>
              <w:ind w:left="0" w:leftChars="0" w:firstLine="0" w:firstLineChars="0"/>
              <w:jc w:val="center"/>
              <w:textAlignment w:val="auto"/>
              <w:rPr>
                <w:rFonts w:hint="default" w:ascii="Times New Roman" w:hAnsi="Times New Roman" w:cs="Times New Roman"/>
                <w:sz w:val="21"/>
                <w:szCs w:val="21"/>
                <w:highlight w:val="none"/>
              </w:rPr>
            </w:pPr>
            <w:r>
              <w:rPr>
                <w:rFonts w:hint="default" w:ascii="Times New Roman" w:hAnsi="Times New Roman" w:cs="Times New Roman"/>
                <w:b/>
                <w:bCs/>
                <w:sz w:val="21"/>
                <w:szCs w:val="21"/>
                <w:highlight w:val="none"/>
              </w:rPr>
              <w:t>标准名称</w:t>
            </w:r>
          </w:p>
        </w:tc>
      </w:tr>
      <w:tr w14:paraId="5883DC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67" w:hRule="atLeast"/>
        </w:trPr>
        <w:tc>
          <w:tcPr>
            <w:tcW w:w="470" w:type="pct"/>
            <w:vAlign w:val="center"/>
          </w:tcPr>
          <w:p w14:paraId="710594AE">
            <w:pPr>
              <w:keepNext w:val="0"/>
              <w:keepLines w:val="0"/>
              <w:pageBreakBefore w:val="0"/>
              <w:widowControl/>
              <w:kinsoku/>
              <w:wordWrap/>
              <w:overflowPunct/>
              <w:topLinePunct w:val="0"/>
              <w:autoSpaceDE/>
              <w:autoSpaceDN/>
              <w:bidi w:val="0"/>
              <w:adjustRightInd/>
              <w:snapToGrid/>
              <w:spacing w:line="276" w:lineRule="auto"/>
              <w:ind w:left="0" w:leftChars="0" w:firstLine="0" w:firstLineChars="0"/>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1</w:t>
            </w:r>
          </w:p>
        </w:tc>
        <w:tc>
          <w:tcPr>
            <w:tcW w:w="489" w:type="pct"/>
            <w:shd w:val="clear" w:color="auto" w:fill="auto"/>
            <w:tcMar>
              <w:top w:w="8" w:type="dxa"/>
              <w:left w:w="8" w:type="dxa"/>
              <w:bottom w:w="0" w:type="dxa"/>
              <w:right w:w="8" w:type="dxa"/>
            </w:tcMar>
            <w:vAlign w:val="center"/>
          </w:tcPr>
          <w:p w14:paraId="280E647E">
            <w:pPr>
              <w:keepNext w:val="0"/>
              <w:keepLines w:val="0"/>
              <w:pageBreakBefore w:val="0"/>
              <w:widowControl/>
              <w:kinsoku/>
              <w:wordWrap/>
              <w:overflowPunct/>
              <w:topLinePunct w:val="0"/>
              <w:autoSpaceDE/>
              <w:autoSpaceDN/>
              <w:bidi w:val="0"/>
              <w:adjustRightInd/>
              <w:snapToGrid/>
              <w:spacing w:line="276" w:lineRule="auto"/>
              <w:ind w:left="0" w:leftChars="0" w:firstLine="0" w:firstLineChars="0"/>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安徽</w:t>
            </w:r>
          </w:p>
        </w:tc>
        <w:tc>
          <w:tcPr>
            <w:tcW w:w="4040" w:type="pct"/>
            <w:shd w:val="clear" w:color="auto" w:fill="auto"/>
            <w:tcMar>
              <w:top w:w="8" w:type="dxa"/>
              <w:left w:w="8" w:type="dxa"/>
              <w:bottom w:w="0" w:type="dxa"/>
              <w:right w:w="8" w:type="dxa"/>
            </w:tcMar>
            <w:vAlign w:val="center"/>
          </w:tcPr>
          <w:p w14:paraId="47B6B3D8">
            <w:pPr>
              <w:keepNext w:val="0"/>
              <w:keepLines w:val="0"/>
              <w:pageBreakBefore w:val="0"/>
              <w:widowControl/>
              <w:kinsoku/>
              <w:wordWrap/>
              <w:overflowPunct/>
              <w:topLinePunct w:val="0"/>
              <w:autoSpaceDE/>
              <w:autoSpaceDN/>
              <w:bidi w:val="0"/>
              <w:adjustRightInd/>
              <w:snapToGrid/>
              <w:spacing w:line="276" w:lineRule="auto"/>
              <w:ind w:left="0" w:leftChars="0" w:firstLine="0" w:firstLineChars="0"/>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汽车维修行业大气污染物排放标准（DB34 /4808</w:t>
            </w:r>
            <w:r>
              <w:rPr>
                <w:rFonts w:hint="eastAsia" w:ascii="Times New Roman" w:hAnsi="Times New Roman" w:cs="Times New Roman"/>
                <w:sz w:val="21"/>
                <w:szCs w:val="21"/>
                <w:highlight w:val="none"/>
                <w:lang w:eastAsia="zh-CN"/>
              </w:rPr>
              <w:t>—</w:t>
            </w:r>
            <w:r>
              <w:rPr>
                <w:rFonts w:hint="default" w:ascii="Times New Roman" w:hAnsi="Times New Roman" w:cs="Times New Roman"/>
                <w:sz w:val="21"/>
                <w:szCs w:val="21"/>
                <w:highlight w:val="none"/>
              </w:rPr>
              <w:t>2024）</w:t>
            </w:r>
          </w:p>
        </w:tc>
      </w:tr>
      <w:tr w14:paraId="2BA56D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67" w:hRule="atLeast"/>
        </w:trPr>
        <w:tc>
          <w:tcPr>
            <w:tcW w:w="470" w:type="pct"/>
            <w:vAlign w:val="center"/>
          </w:tcPr>
          <w:p w14:paraId="3A5F78C0">
            <w:pPr>
              <w:keepNext w:val="0"/>
              <w:keepLines w:val="0"/>
              <w:pageBreakBefore w:val="0"/>
              <w:widowControl/>
              <w:kinsoku/>
              <w:wordWrap/>
              <w:overflowPunct/>
              <w:topLinePunct w:val="0"/>
              <w:autoSpaceDE/>
              <w:autoSpaceDN/>
              <w:bidi w:val="0"/>
              <w:adjustRightInd/>
              <w:snapToGrid/>
              <w:spacing w:line="276" w:lineRule="auto"/>
              <w:ind w:left="0" w:leftChars="0" w:firstLine="0" w:firstLineChars="0"/>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2</w:t>
            </w:r>
          </w:p>
        </w:tc>
        <w:tc>
          <w:tcPr>
            <w:tcW w:w="489" w:type="pct"/>
            <w:shd w:val="clear" w:color="auto" w:fill="auto"/>
            <w:tcMar>
              <w:top w:w="8" w:type="dxa"/>
              <w:left w:w="8" w:type="dxa"/>
              <w:bottom w:w="0" w:type="dxa"/>
              <w:right w:w="8" w:type="dxa"/>
            </w:tcMar>
            <w:vAlign w:val="center"/>
          </w:tcPr>
          <w:p w14:paraId="14A31CAE">
            <w:pPr>
              <w:keepNext w:val="0"/>
              <w:keepLines w:val="0"/>
              <w:pageBreakBefore w:val="0"/>
              <w:widowControl/>
              <w:kinsoku/>
              <w:wordWrap/>
              <w:overflowPunct/>
              <w:topLinePunct w:val="0"/>
              <w:autoSpaceDE/>
              <w:autoSpaceDN/>
              <w:bidi w:val="0"/>
              <w:adjustRightInd/>
              <w:snapToGrid/>
              <w:spacing w:line="276" w:lineRule="auto"/>
              <w:ind w:left="0" w:leftChars="0" w:firstLine="0" w:firstLineChars="0"/>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上海</w:t>
            </w:r>
          </w:p>
        </w:tc>
        <w:tc>
          <w:tcPr>
            <w:tcW w:w="4040" w:type="pct"/>
            <w:shd w:val="clear" w:color="auto" w:fill="auto"/>
            <w:tcMar>
              <w:top w:w="8" w:type="dxa"/>
              <w:left w:w="8" w:type="dxa"/>
              <w:bottom w:w="0" w:type="dxa"/>
              <w:right w:w="8" w:type="dxa"/>
            </w:tcMar>
            <w:vAlign w:val="center"/>
          </w:tcPr>
          <w:p w14:paraId="395D5593">
            <w:pPr>
              <w:keepNext w:val="0"/>
              <w:keepLines w:val="0"/>
              <w:pageBreakBefore w:val="0"/>
              <w:widowControl/>
              <w:kinsoku/>
              <w:wordWrap/>
              <w:overflowPunct/>
              <w:topLinePunct w:val="0"/>
              <w:autoSpaceDE/>
              <w:autoSpaceDN/>
              <w:bidi w:val="0"/>
              <w:adjustRightInd/>
              <w:snapToGrid/>
              <w:spacing w:line="276" w:lineRule="auto"/>
              <w:ind w:left="0" w:leftChars="0" w:firstLine="0" w:firstLineChars="0"/>
              <w:jc w:val="left"/>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汽车维修行业大气污染物排放标准（DB 31/1288</w:t>
            </w:r>
            <w:r>
              <w:rPr>
                <w:rFonts w:hint="eastAsia" w:ascii="Times New Roman" w:hAnsi="Times New Roman" w:cs="Times New Roman"/>
                <w:sz w:val="21"/>
                <w:szCs w:val="21"/>
                <w:highlight w:val="none"/>
                <w:lang w:eastAsia="zh-CN"/>
              </w:rPr>
              <w:t>—</w:t>
            </w:r>
            <w:r>
              <w:rPr>
                <w:rFonts w:hint="default" w:ascii="Times New Roman" w:hAnsi="Times New Roman" w:cs="Times New Roman"/>
                <w:sz w:val="21"/>
                <w:szCs w:val="21"/>
                <w:highlight w:val="none"/>
              </w:rPr>
              <w:t>2021）</w:t>
            </w:r>
          </w:p>
        </w:tc>
      </w:tr>
      <w:tr w14:paraId="3CEE52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67" w:hRule="atLeast"/>
        </w:trPr>
        <w:tc>
          <w:tcPr>
            <w:tcW w:w="470" w:type="pct"/>
            <w:vAlign w:val="center"/>
          </w:tcPr>
          <w:p w14:paraId="01E583BD">
            <w:pPr>
              <w:keepNext w:val="0"/>
              <w:keepLines w:val="0"/>
              <w:pageBreakBefore w:val="0"/>
              <w:widowControl/>
              <w:kinsoku/>
              <w:wordWrap/>
              <w:overflowPunct/>
              <w:topLinePunct w:val="0"/>
              <w:autoSpaceDE/>
              <w:autoSpaceDN/>
              <w:bidi w:val="0"/>
              <w:adjustRightInd/>
              <w:snapToGrid/>
              <w:spacing w:line="276" w:lineRule="auto"/>
              <w:ind w:left="0" w:leftChars="0" w:firstLine="0" w:firstLineChars="0"/>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3</w:t>
            </w:r>
          </w:p>
        </w:tc>
        <w:tc>
          <w:tcPr>
            <w:tcW w:w="489" w:type="pct"/>
            <w:shd w:val="clear" w:color="auto" w:fill="auto"/>
            <w:tcMar>
              <w:top w:w="8" w:type="dxa"/>
              <w:left w:w="8" w:type="dxa"/>
              <w:bottom w:w="0" w:type="dxa"/>
              <w:right w:w="8" w:type="dxa"/>
            </w:tcMar>
            <w:vAlign w:val="center"/>
          </w:tcPr>
          <w:p w14:paraId="0C7998B7">
            <w:pPr>
              <w:keepNext w:val="0"/>
              <w:keepLines w:val="0"/>
              <w:pageBreakBefore w:val="0"/>
              <w:widowControl/>
              <w:kinsoku/>
              <w:wordWrap/>
              <w:overflowPunct/>
              <w:topLinePunct w:val="0"/>
              <w:autoSpaceDE/>
              <w:autoSpaceDN/>
              <w:bidi w:val="0"/>
              <w:adjustRightInd/>
              <w:snapToGrid/>
              <w:spacing w:line="276" w:lineRule="auto"/>
              <w:ind w:left="0" w:leftChars="0" w:firstLine="0" w:firstLineChars="0"/>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江苏</w:t>
            </w:r>
          </w:p>
        </w:tc>
        <w:tc>
          <w:tcPr>
            <w:tcW w:w="4040" w:type="pct"/>
            <w:shd w:val="clear" w:color="auto" w:fill="auto"/>
            <w:tcMar>
              <w:top w:w="8" w:type="dxa"/>
              <w:left w:w="8" w:type="dxa"/>
              <w:bottom w:w="0" w:type="dxa"/>
              <w:right w:w="8" w:type="dxa"/>
            </w:tcMar>
            <w:vAlign w:val="center"/>
          </w:tcPr>
          <w:p w14:paraId="1E362D97">
            <w:pPr>
              <w:keepNext w:val="0"/>
              <w:keepLines w:val="0"/>
              <w:pageBreakBefore w:val="0"/>
              <w:widowControl/>
              <w:kinsoku/>
              <w:wordWrap/>
              <w:overflowPunct/>
              <w:topLinePunct w:val="0"/>
              <w:autoSpaceDE/>
              <w:autoSpaceDN/>
              <w:bidi w:val="0"/>
              <w:adjustRightInd/>
              <w:snapToGrid/>
              <w:spacing w:line="276" w:lineRule="auto"/>
              <w:ind w:left="0" w:leftChars="0" w:firstLine="0" w:firstLineChars="0"/>
              <w:jc w:val="left"/>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汽车维修行业大气污染物排放标准（DB32/3814</w:t>
            </w:r>
            <w:r>
              <w:rPr>
                <w:rFonts w:hint="eastAsia" w:ascii="Times New Roman" w:hAnsi="Times New Roman" w:cs="Times New Roman"/>
                <w:sz w:val="21"/>
                <w:szCs w:val="21"/>
                <w:highlight w:val="none"/>
                <w:lang w:eastAsia="zh-CN"/>
              </w:rPr>
              <w:t>—</w:t>
            </w:r>
            <w:r>
              <w:rPr>
                <w:rFonts w:hint="default" w:ascii="Times New Roman" w:hAnsi="Times New Roman" w:cs="Times New Roman"/>
                <w:sz w:val="21"/>
                <w:szCs w:val="21"/>
                <w:highlight w:val="none"/>
              </w:rPr>
              <w:t>2020）</w:t>
            </w:r>
          </w:p>
        </w:tc>
      </w:tr>
      <w:tr w14:paraId="3D702E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67" w:hRule="atLeast"/>
        </w:trPr>
        <w:tc>
          <w:tcPr>
            <w:tcW w:w="470" w:type="pct"/>
            <w:vAlign w:val="center"/>
          </w:tcPr>
          <w:p w14:paraId="4F1684A4">
            <w:pPr>
              <w:keepNext w:val="0"/>
              <w:keepLines w:val="0"/>
              <w:pageBreakBefore w:val="0"/>
              <w:widowControl/>
              <w:kinsoku/>
              <w:wordWrap/>
              <w:overflowPunct/>
              <w:topLinePunct w:val="0"/>
              <w:autoSpaceDE/>
              <w:autoSpaceDN/>
              <w:bidi w:val="0"/>
              <w:adjustRightInd/>
              <w:snapToGrid/>
              <w:spacing w:line="276" w:lineRule="auto"/>
              <w:ind w:left="0" w:leftChars="0" w:firstLine="0" w:firstLineChars="0"/>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4</w:t>
            </w:r>
          </w:p>
        </w:tc>
        <w:tc>
          <w:tcPr>
            <w:tcW w:w="489" w:type="pct"/>
            <w:shd w:val="clear" w:color="auto" w:fill="auto"/>
            <w:tcMar>
              <w:top w:w="8" w:type="dxa"/>
              <w:left w:w="8" w:type="dxa"/>
              <w:bottom w:w="0" w:type="dxa"/>
              <w:right w:w="8" w:type="dxa"/>
            </w:tcMar>
            <w:vAlign w:val="center"/>
          </w:tcPr>
          <w:p w14:paraId="14A13D35">
            <w:pPr>
              <w:keepNext w:val="0"/>
              <w:keepLines w:val="0"/>
              <w:pageBreakBefore w:val="0"/>
              <w:widowControl/>
              <w:kinsoku/>
              <w:wordWrap/>
              <w:overflowPunct/>
              <w:topLinePunct w:val="0"/>
              <w:autoSpaceDE/>
              <w:autoSpaceDN/>
              <w:bidi w:val="0"/>
              <w:adjustRightInd/>
              <w:snapToGrid/>
              <w:spacing w:line="276" w:lineRule="auto"/>
              <w:ind w:left="0" w:leftChars="0" w:firstLine="0" w:firstLineChars="0"/>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重庆</w:t>
            </w:r>
          </w:p>
        </w:tc>
        <w:tc>
          <w:tcPr>
            <w:tcW w:w="4040" w:type="pct"/>
            <w:shd w:val="clear" w:color="auto" w:fill="auto"/>
            <w:tcMar>
              <w:top w:w="8" w:type="dxa"/>
              <w:left w:w="8" w:type="dxa"/>
              <w:bottom w:w="0" w:type="dxa"/>
              <w:right w:w="8" w:type="dxa"/>
            </w:tcMar>
            <w:vAlign w:val="center"/>
          </w:tcPr>
          <w:p w14:paraId="18576E99">
            <w:pPr>
              <w:keepNext w:val="0"/>
              <w:keepLines w:val="0"/>
              <w:pageBreakBefore w:val="0"/>
              <w:widowControl/>
              <w:kinsoku/>
              <w:wordWrap/>
              <w:overflowPunct/>
              <w:topLinePunct w:val="0"/>
              <w:autoSpaceDE/>
              <w:autoSpaceDN/>
              <w:bidi w:val="0"/>
              <w:adjustRightInd/>
              <w:snapToGrid/>
              <w:spacing w:line="276" w:lineRule="auto"/>
              <w:ind w:left="0" w:leftChars="0" w:firstLine="0" w:firstLineChars="0"/>
              <w:jc w:val="both"/>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汽车维修业大气污染物排放标准(DB50/661</w:t>
            </w:r>
            <w:r>
              <w:rPr>
                <w:rFonts w:hint="eastAsia" w:ascii="Times New Roman" w:hAnsi="Times New Roman" w:cs="Times New Roman"/>
                <w:sz w:val="21"/>
                <w:szCs w:val="21"/>
                <w:highlight w:val="none"/>
                <w:lang w:eastAsia="zh-CN"/>
              </w:rPr>
              <w:t>—</w:t>
            </w:r>
            <w:r>
              <w:rPr>
                <w:rFonts w:hint="default" w:ascii="Times New Roman" w:hAnsi="Times New Roman" w:cs="Times New Roman"/>
                <w:sz w:val="21"/>
                <w:szCs w:val="21"/>
                <w:highlight w:val="none"/>
              </w:rPr>
              <w:t>2016)</w:t>
            </w:r>
          </w:p>
        </w:tc>
      </w:tr>
      <w:tr w14:paraId="6A66D2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67" w:hRule="atLeast"/>
        </w:trPr>
        <w:tc>
          <w:tcPr>
            <w:tcW w:w="470" w:type="pct"/>
            <w:vAlign w:val="center"/>
          </w:tcPr>
          <w:p w14:paraId="25F58024">
            <w:pPr>
              <w:keepNext w:val="0"/>
              <w:keepLines w:val="0"/>
              <w:pageBreakBefore w:val="0"/>
              <w:widowControl/>
              <w:kinsoku/>
              <w:wordWrap/>
              <w:overflowPunct/>
              <w:topLinePunct w:val="0"/>
              <w:autoSpaceDE/>
              <w:autoSpaceDN/>
              <w:bidi w:val="0"/>
              <w:adjustRightInd/>
              <w:snapToGrid/>
              <w:spacing w:line="276" w:lineRule="auto"/>
              <w:ind w:left="0" w:leftChars="0" w:firstLine="0" w:firstLineChars="0"/>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5</w:t>
            </w:r>
          </w:p>
        </w:tc>
        <w:tc>
          <w:tcPr>
            <w:tcW w:w="489" w:type="pct"/>
            <w:shd w:val="clear" w:color="auto" w:fill="auto"/>
            <w:tcMar>
              <w:top w:w="8" w:type="dxa"/>
              <w:left w:w="8" w:type="dxa"/>
              <w:bottom w:w="0" w:type="dxa"/>
              <w:right w:w="8" w:type="dxa"/>
            </w:tcMar>
            <w:vAlign w:val="center"/>
          </w:tcPr>
          <w:p w14:paraId="09CD1D1C">
            <w:pPr>
              <w:keepNext w:val="0"/>
              <w:keepLines w:val="0"/>
              <w:pageBreakBefore w:val="0"/>
              <w:widowControl/>
              <w:kinsoku/>
              <w:wordWrap/>
              <w:overflowPunct/>
              <w:topLinePunct w:val="0"/>
              <w:autoSpaceDE/>
              <w:autoSpaceDN/>
              <w:bidi w:val="0"/>
              <w:adjustRightInd/>
              <w:snapToGrid/>
              <w:spacing w:line="276" w:lineRule="auto"/>
              <w:ind w:left="0" w:leftChars="0" w:firstLine="0" w:firstLineChars="0"/>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北京</w:t>
            </w:r>
          </w:p>
        </w:tc>
        <w:tc>
          <w:tcPr>
            <w:tcW w:w="4040" w:type="pct"/>
            <w:shd w:val="clear" w:color="auto" w:fill="auto"/>
            <w:tcMar>
              <w:top w:w="8" w:type="dxa"/>
              <w:left w:w="8" w:type="dxa"/>
              <w:bottom w:w="0" w:type="dxa"/>
              <w:right w:w="8" w:type="dxa"/>
            </w:tcMar>
            <w:vAlign w:val="center"/>
          </w:tcPr>
          <w:p w14:paraId="5BC5F590">
            <w:pPr>
              <w:keepNext w:val="0"/>
              <w:keepLines w:val="0"/>
              <w:pageBreakBefore w:val="0"/>
              <w:widowControl/>
              <w:kinsoku/>
              <w:wordWrap/>
              <w:overflowPunct/>
              <w:topLinePunct w:val="0"/>
              <w:autoSpaceDE/>
              <w:autoSpaceDN/>
              <w:bidi w:val="0"/>
              <w:adjustRightInd/>
              <w:snapToGrid/>
              <w:spacing w:line="276" w:lineRule="auto"/>
              <w:ind w:left="0" w:leftChars="0" w:firstLine="0" w:firstLineChars="0"/>
              <w:jc w:val="both"/>
              <w:textAlignment w:val="auto"/>
              <w:rPr>
                <w:rFonts w:hint="default" w:ascii="Times New Roman" w:hAnsi="Times New Roman" w:eastAsia="宋体" w:cs="Times New Roman"/>
                <w:sz w:val="21"/>
                <w:szCs w:val="21"/>
                <w:highlight w:val="none"/>
                <w:lang w:eastAsia="zh-CN"/>
              </w:rPr>
            </w:pPr>
            <w:r>
              <w:rPr>
                <w:rFonts w:hint="default" w:ascii="Times New Roman" w:hAnsi="Times New Roman" w:cs="Times New Roman"/>
                <w:sz w:val="21"/>
                <w:szCs w:val="21"/>
                <w:highlight w:val="none"/>
              </w:rPr>
              <w:t>汽车维修业大气污染物排放标准(DB11/1228</w:t>
            </w:r>
            <w:r>
              <w:rPr>
                <w:rFonts w:hint="eastAsia" w:ascii="Times New Roman" w:hAnsi="Times New Roman" w:cs="Times New Roman"/>
                <w:sz w:val="21"/>
                <w:szCs w:val="21"/>
                <w:highlight w:val="none"/>
                <w:lang w:eastAsia="zh-CN"/>
              </w:rPr>
              <w:t>—</w:t>
            </w:r>
            <w:r>
              <w:rPr>
                <w:rFonts w:hint="default" w:ascii="Times New Roman" w:hAnsi="Times New Roman" w:cs="Times New Roman"/>
                <w:sz w:val="21"/>
                <w:szCs w:val="21"/>
                <w:highlight w:val="none"/>
              </w:rPr>
              <w:t>20</w:t>
            </w:r>
            <w:r>
              <w:rPr>
                <w:rFonts w:hint="eastAsia" w:cs="Times New Roman"/>
                <w:sz w:val="21"/>
                <w:szCs w:val="21"/>
                <w:highlight w:val="none"/>
                <w:lang w:val="en-US" w:eastAsia="zh-CN"/>
              </w:rPr>
              <w:t>25</w:t>
            </w:r>
            <w:r>
              <w:rPr>
                <w:rFonts w:hint="default" w:ascii="Times New Roman" w:hAnsi="Times New Roman" w:cs="Times New Roman"/>
                <w:sz w:val="21"/>
                <w:szCs w:val="21"/>
                <w:highlight w:val="none"/>
              </w:rPr>
              <w:t>)</w:t>
            </w:r>
          </w:p>
        </w:tc>
      </w:tr>
      <w:tr w14:paraId="2D947B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67" w:hRule="atLeast"/>
        </w:trPr>
        <w:tc>
          <w:tcPr>
            <w:tcW w:w="470" w:type="pct"/>
            <w:vAlign w:val="center"/>
          </w:tcPr>
          <w:p w14:paraId="39C99105">
            <w:pPr>
              <w:keepNext w:val="0"/>
              <w:keepLines w:val="0"/>
              <w:pageBreakBefore w:val="0"/>
              <w:widowControl/>
              <w:kinsoku/>
              <w:wordWrap/>
              <w:overflowPunct/>
              <w:topLinePunct w:val="0"/>
              <w:autoSpaceDE/>
              <w:autoSpaceDN/>
              <w:bidi w:val="0"/>
              <w:adjustRightInd/>
              <w:snapToGrid/>
              <w:spacing w:line="276" w:lineRule="auto"/>
              <w:ind w:left="0" w:leftChars="0" w:firstLine="0" w:firstLineChars="0"/>
              <w:jc w:val="center"/>
              <w:textAlignment w:val="auto"/>
              <w:rPr>
                <w:rFonts w:hint="eastAsia" w:ascii="Times New Roman" w:hAnsi="Times New Roman" w:eastAsia="宋体" w:cs="Times New Roman"/>
                <w:sz w:val="21"/>
                <w:szCs w:val="21"/>
                <w:highlight w:val="none"/>
                <w:lang w:val="en-US" w:eastAsia="zh-CN"/>
              </w:rPr>
            </w:pPr>
            <w:r>
              <w:rPr>
                <w:rFonts w:hint="eastAsia" w:cs="Times New Roman"/>
                <w:sz w:val="21"/>
                <w:szCs w:val="21"/>
                <w:highlight w:val="none"/>
                <w:lang w:val="en-US" w:eastAsia="zh-CN"/>
              </w:rPr>
              <w:t>6</w:t>
            </w:r>
          </w:p>
        </w:tc>
        <w:tc>
          <w:tcPr>
            <w:tcW w:w="489" w:type="pct"/>
            <w:shd w:val="clear" w:color="auto" w:fill="auto"/>
            <w:tcMar>
              <w:top w:w="8" w:type="dxa"/>
              <w:left w:w="8" w:type="dxa"/>
              <w:bottom w:w="0" w:type="dxa"/>
              <w:right w:w="8" w:type="dxa"/>
            </w:tcMar>
            <w:vAlign w:val="center"/>
          </w:tcPr>
          <w:p w14:paraId="6D78D8D5">
            <w:pPr>
              <w:keepNext w:val="0"/>
              <w:keepLines w:val="0"/>
              <w:pageBreakBefore w:val="0"/>
              <w:widowControl/>
              <w:kinsoku/>
              <w:wordWrap/>
              <w:overflowPunct/>
              <w:topLinePunct w:val="0"/>
              <w:autoSpaceDE/>
              <w:autoSpaceDN/>
              <w:bidi w:val="0"/>
              <w:adjustRightInd/>
              <w:snapToGrid/>
              <w:spacing w:line="276" w:lineRule="auto"/>
              <w:ind w:left="0" w:leftChars="0" w:firstLine="0" w:firstLineChars="0"/>
              <w:jc w:val="center"/>
              <w:textAlignment w:val="auto"/>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eastAsia="zh-CN"/>
              </w:rPr>
              <w:t>深圳</w:t>
            </w:r>
          </w:p>
        </w:tc>
        <w:tc>
          <w:tcPr>
            <w:tcW w:w="4040" w:type="pct"/>
            <w:shd w:val="clear" w:color="auto" w:fill="auto"/>
            <w:tcMar>
              <w:top w:w="8" w:type="dxa"/>
              <w:left w:w="8" w:type="dxa"/>
              <w:bottom w:w="0" w:type="dxa"/>
              <w:right w:w="8" w:type="dxa"/>
            </w:tcMar>
            <w:vAlign w:val="center"/>
          </w:tcPr>
          <w:p w14:paraId="73F74951">
            <w:pPr>
              <w:keepNext w:val="0"/>
              <w:keepLines w:val="0"/>
              <w:pageBreakBefore w:val="0"/>
              <w:widowControl/>
              <w:kinsoku/>
              <w:wordWrap/>
              <w:overflowPunct/>
              <w:topLinePunct w:val="0"/>
              <w:autoSpaceDE/>
              <w:autoSpaceDN/>
              <w:bidi w:val="0"/>
              <w:adjustRightInd/>
              <w:snapToGrid/>
              <w:spacing w:line="276" w:lineRule="auto"/>
              <w:ind w:left="0" w:leftChars="0" w:firstLine="0" w:firstLineChars="0"/>
              <w:jc w:val="both"/>
              <w:textAlignment w:val="auto"/>
              <w:rPr>
                <w:rFonts w:hint="default" w:ascii="Times New Roman" w:hAnsi="Times New Roman" w:eastAsia="宋体" w:cs="Times New Roman"/>
                <w:sz w:val="21"/>
                <w:szCs w:val="21"/>
                <w:highlight w:val="none"/>
                <w:lang w:eastAsia="zh-CN"/>
              </w:rPr>
            </w:pPr>
            <w:r>
              <w:rPr>
                <w:rFonts w:hint="default" w:ascii="Times New Roman" w:hAnsi="Times New Roman" w:cs="Times New Roman"/>
                <w:sz w:val="21"/>
                <w:szCs w:val="21"/>
                <w:highlight w:val="none"/>
              </w:rPr>
              <w:t>汽车维修行业喷漆涂料及排放废气中挥发性有机化合物含量限值</w:t>
            </w:r>
            <w:r>
              <w:rPr>
                <w:rFonts w:hint="default" w:ascii="Times New Roman" w:hAnsi="Times New Roman" w:cs="Times New Roman"/>
                <w:sz w:val="21"/>
                <w:szCs w:val="21"/>
                <w:highlight w:val="none"/>
                <w:lang w:eastAsia="zh-CN"/>
              </w:rPr>
              <w:t>（SZJG</w:t>
            </w:r>
            <w:r>
              <w:rPr>
                <w:rFonts w:hint="default" w:ascii="Times New Roman" w:hAnsi="Times New Roman" w:cs="Times New Roman"/>
                <w:sz w:val="21"/>
                <w:szCs w:val="21"/>
                <w:highlight w:val="none"/>
                <w:lang w:val="en-US" w:eastAsia="zh-CN"/>
              </w:rPr>
              <w:t xml:space="preserve"> </w:t>
            </w:r>
            <w:r>
              <w:rPr>
                <w:rFonts w:hint="default" w:ascii="Times New Roman" w:hAnsi="Times New Roman" w:cs="Times New Roman"/>
                <w:sz w:val="21"/>
                <w:szCs w:val="21"/>
                <w:highlight w:val="none"/>
                <w:lang w:eastAsia="zh-CN"/>
              </w:rPr>
              <w:t xml:space="preserve"> 50—2015）</w:t>
            </w:r>
          </w:p>
        </w:tc>
      </w:tr>
      <w:tr w14:paraId="6639CF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67" w:hRule="atLeast"/>
        </w:trPr>
        <w:tc>
          <w:tcPr>
            <w:tcW w:w="784" w:type="dxa"/>
            <w:vAlign w:val="center"/>
          </w:tcPr>
          <w:p w14:paraId="7518DD5D">
            <w:pPr>
              <w:keepNext w:val="0"/>
              <w:keepLines w:val="0"/>
              <w:pageBreakBefore w:val="0"/>
              <w:widowControl/>
              <w:kinsoku/>
              <w:wordWrap/>
              <w:overflowPunct/>
              <w:topLinePunct w:val="0"/>
              <w:autoSpaceDE/>
              <w:autoSpaceDN/>
              <w:bidi w:val="0"/>
              <w:adjustRightInd/>
              <w:snapToGrid/>
              <w:spacing w:line="276" w:lineRule="auto"/>
              <w:ind w:left="0" w:leftChars="0" w:firstLine="0" w:firstLineChars="0"/>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7</w:t>
            </w:r>
          </w:p>
        </w:tc>
        <w:tc>
          <w:tcPr>
            <w:tcW w:w="489" w:type="pct"/>
            <w:shd w:val="clear" w:color="auto" w:fill="auto"/>
            <w:tcMar>
              <w:top w:w="8" w:type="dxa"/>
              <w:left w:w="8" w:type="dxa"/>
              <w:bottom w:w="0" w:type="dxa"/>
              <w:right w:w="8" w:type="dxa"/>
            </w:tcMar>
            <w:vAlign w:val="center"/>
          </w:tcPr>
          <w:p w14:paraId="35E947F9">
            <w:pPr>
              <w:keepNext w:val="0"/>
              <w:keepLines w:val="0"/>
              <w:pageBreakBefore w:val="0"/>
              <w:widowControl/>
              <w:kinsoku/>
              <w:wordWrap/>
              <w:overflowPunct/>
              <w:topLinePunct w:val="0"/>
              <w:autoSpaceDE/>
              <w:autoSpaceDN/>
              <w:bidi w:val="0"/>
              <w:adjustRightInd/>
              <w:snapToGrid/>
              <w:spacing w:line="276" w:lineRule="auto"/>
              <w:ind w:left="0" w:leftChars="0" w:firstLine="0" w:firstLineChars="0"/>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浙江</w:t>
            </w:r>
          </w:p>
        </w:tc>
        <w:tc>
          <w:tcPr>
            <w:tcW w:w="4040" w:type="pct"/>
            <w:shd w:val="clear" w:color="auto" w:fill="auto"/>
            <w:tcMar>
              <w:top w:w="8" w:type="dxa"/>
              <w:left w:w="8" w:type="dxa"/>
              <w:bottom w:w="0" w:type="dxa"/>
              <w:right w:w="8" w:type="dxa"/>
            </w:tcMar>
            <w:vAlign w:val="center"/>
          </w:tcPr>
          <w:p w14:paraId="2AE70308">
            <w:pPr>
              <w:keepNext w:val="0"/>
              <w:keepLines w:val="0"/>
              <w:pageBreakBefore w:val="0"/>
              <w:widowControl/>
              <w:kinsoku/>
              <w:wordWrap/>
              <w:overflowPunct/>
              <w:topLinePunct w:val="0"/>
              <w:autoSpaceDE/>
              <w:autoSpaceDN/>
              <w:bidi w:val="0"/>
              <w:adjustRightInd/>
              <w:snapToGrid/>
              <w:spacing w:line="276" w:lineRule="auto"/>
              <w:ind w:left="0" w:leftChars="0" w:firstLine="0" w:firstLineChars="0"/>
              <w:jc w:val="both"/>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汽车维修行业大气污染物排放标准（征求意见稿）</w:t>
            </w:r>
          </w:p>
        </w:tc>
      </w:tr>
      <w:tr w14:paraId="319B02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67" w:hRule="atLeast"/>
        </w:trPr>
        <w:tc>
          <w:tcPr>
            <w:tcW w:w="784" w:type="dxa"/>
            <w:vAlign w:val="center"/>
          </w:tcPr>
          <w:p w14:paraId="7D9CED64">
            <w:pPr>
              <w:keepNext w:val="0"/>
              <w:keepLines w:val="0"/>
              <w:pageBreakBefore w:val="0"/>
              <w:widowControl/>
              <w:kinsoku/>
              <w:wordWrap/>
              <w:overflowPunct/>
              <w:topLinePunct w:val="0"/>
              <w:autoSpaceDE/>
              <w:autoSpaceDN/>
              <w:bidi w:val="0"/>
              <w:adjustRightInd/>
              <w:snapToGrid/>
              <w:spacing w:line="276" w:lineRule="auto"/>
              <w:ind w:left="0" w:leftChars="0" w:firstLine="0" w:firstLineChars="0"/>
              <w:jc w:val="center"/>
              <w:textAlignment w:val="auto"/>
              <w:rPr>
                <w:rFonts w:hint="eastAsia"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rPr>
              <w:t>8</w:t>
            </w:r>
          </w:p>
        </w:tc>
        <w:tc>
          <w:tcPr>
            <w:tcW w:w="489" w:type="pct"/>
            <w:shd w:val="clear" w:color="auto" w:fill="auto"/>
            <w:tcMar>
              <w:top w:w="8" w:type="dxa"/>
              <w:left w:w="8" w:type="dxa"/>
              <w:bottom w:w="0" w:type="dxa"/>
              <w:right w:w="8" w:type="dxa"/>
            </w:tcMar>
            <w:vAlign w:val="center"/>
          </w:tcPr>
          <w:p w14:paraId="6CE5E0E6">
            <w:pPr>
              <w:keepNext w:val="0"/>
              <w:keepLines w:val="0"/>
              <w:pageBreakBefore w:val="0"/>
              <w:widowControl/>
              <w:kinsoku/>
              <w:wordWrap/>
              <w:overflowPunct/>
              <w:topLinePunct w:val="0"/>
              <w:autoSpaceDE/>
              <w:autoSpaceDN/>
              <w:bidi w:val="0"/>
              <w:adjustRightInd/>
              <w:snapToGrid/>
              <w:spacing w:line="276" w:lineRule="auto"/>
              <w:ind w:left="0" w:leftChars="0" w:firstLine="0" w:firstLineChars="0"/>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广东</w:t>
            </w:r>
          </w:p>
        </w:tc>
        <w:tc>
          <w:tcPr>
            <w:tcW w:w="4040" w:type="pct"/>
            <w:shd w:val="clear" w:color="auto" w:fill="auto"/>
            <w:tcMar>
              <w:top w:w="8" w:type="dxa"/>
              <w:left w:w="8" w:type="dxa"/>
              <w:bottom w:w="0" w:type="dxa"/>
              <w:right w:w="8" w:type="dxa"/>
            </w:tcMar>
            <w:vAlign w:val="center"/>
          </w:tcPr>
          <w:p w14:paraId="0161F96E">
            <w:pPr>
              <w:keepNext w:val="0"/>
              <w:keepLines w:val="0"/>
              <w:pageBreakBefore w:val="0"/>
              <w:widowControl/>
              <w:kinsoku/>
              <w:wordWrap/>
              <w:overflowPunct/>
              <w:topLinePunct w:val="0"/>
              <w:autoSpaceDE/>
              <w:autoSpaceDN/>
              <w:bidi w:val="0"/>
              <w:adjustRightInd/>
              <w:snapToGrid/>
              <w:spacing w:line="276" w:lineRule="auto"/>
              <w:ind w:left="0" w:leftChars="0" w:firstLine="0" w:firstLineChars="0"/>
              <w:jc w:val="left"/>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汽车维修业大气污染物排放标准（</w:t>
            </w:r>
            <w:r>
              <w:rPr>
                <w:rFonts w:hint="default" w:ascii="Times New Roman" w:hAnsi="Times New Roman" w:cs="Times New Roman"/>
                <w:sz w:val="21"/>
                <w:szCs w:val="21"/>
                <w:highlight w:val="none"/>
                <w:lang w:eastAsia="zh-CN"/>
              </w:rPr>
              <w:t>送审稿</w:t>
            </w:r>
            <w:r>
              <w:rPr>
                <w:rFonts w:hint="default" w:ascii="Times New Roman" w:hAnsi="Times New Roman" w:cs="Times New Roman"/>
                <w:sz w:val="21"/>
                <w:szCs w:val="21"/>
                <w:highlight w:val="none"/>
              </w:rPr>
              <w:t>）</w:t>
            </w:r>
          </w:p>
        </w:tc>
      </w:tr>
    </w:tbl>
    <w:p w14:paraId="42C04C9F">
      <w:pPr>
        <w:pStyle w:val="3"/>
        <w:keepNext w:val="0"/>
        <w:keepLines w:val="0"/>
        <w:pageBreakBefore w:val="0"/>
        <w:widowControl/>
        <w:kinsoku/>
        <w:wordWrap/>
        <w:autoSpaceDE/>
        <w:autoSpaceDN/>
        <w:bidi w:val="0"/>
        <w:rPr>
          <w:rFonts w:hint="default"/>
          <w:highlight w:val="none"/>
        </w:rPr>
      </w:pPr>
      <w:bookmarkStart w:id="34" w:name="_Toc26762"/>
      <w:bookmarkStart w:id="35" w:name="_Toc120541833"/>
      <w:r>
        <w:rPr>
          <w:rFonts w:hint="default"/>
          <w:highlight w:val="none"/>
        </w:rPr>
        <w:t>标准对比</w:t>
      </w:r>
      <w:bookmarkEnd w:id="34"/>
      <w:bookmarkEnd w:id="35"/>
    </w:p>
    <w:p w14:paraId="3A851417">
      <w:pPr>
        <w:keepNext w:val="0"/>
        <w:keepLines w:val="0"/>
        <w:pageBreakBefore w:val="0"/>
        <w:widowControl/>
        <w:kinsoku/>
        <w:wordWrap/>
        <w:autoSpaceDE/>
        <w:autoSpaceDN/>
        <w:bidi w:val="0"/>
        <w:rPr>
          <w:rFonts w:hint="default"/>
          <w:highlight w:val="none"/>
        </w:rPr>
      </w:pPr>
      <w:r>
        <w:rPr>
          <w:rFonts w:hint="default"/>
          <w:highlight w:val="none"/>
          <w:lang w:eastAsia="zh-CN"/>
        </w:rPr>
        <w:t>对</w:t>
      </w:r>
      <w:r>
        <w:rPr>
          <w:rFonts w:hint="default"/>
          <w:highlight w:val="none"/>
        </w:rPr>
        <w:t>各标准</w:t>
      </w:r>
      <w:r>
        <w:rPr>
          <w:rFonts w:hint="default"/>
          <w:highlight w:val="none"/>
          <w:lang w:eastAsia="zh-CN"/>
        </w:rPr>
        <w:t>的原辅料</w:t>
      </w:r>
      <w:r>
        <w:rPr>
          <w:rFonts w:hint="default"/>
          <w:highlight w:val="none"/>
        </w:rPr>
        <w:t>VOCs含量限值、有组织控制限值、无组织控制限值</w:t>
      </w:r>
      <w:r>
        <w:rPr>
          <w:rFonts w:hint="default"/>
          <w:highlight w:val="none"/>
          <w:lang w:eastAsia="zh-CN"/>
        </w:rPr>
        <w:t>和措施性</w:t>
      </w:r>
      <w:r>
        <w:rPr>
          <w:rFonts w:hint="default"/>
          <w:highlight w:val="none"/>
        </w:rPr>
        <w:t>要求</w:t>
      </w:r>
      <w:r>
        <w:rPr>
          <w:rFonts w:hint="default"/>
          <w:highlight w:val="none"/>
          <w:lang w:eastAsia="zh-CN"/>
        </w:rPr>
        <w:t>进行对比</w:t>
      </w:r>
      <w:r>
        <w:rPr>
          <w:rFonts w:hint="default"/>
          <w:highlight w:val="none"/>
          <w:lang w:val="en-US" w:eastAsia="zh-CN"/>
        </w:rPr>
        <w:t>。</w:t>
      </w:r>
    </w:p>
    <w:p w14:paraId="4AA9C663">
      <w:pPr>
        <w:pStyle w:val="4"/>
        <w:keepNext w:val="0"/>
        <w:keepLines w:val="0"/>
        <w:pageBreakBefore w:val="0"/>
        <w:widowControl/>
        <w:kinsoku/>
        <w:wordWrap/>
        <w:autoSpaceDE/>
        <w:autoSpaceDN/>
        <w:bidi w:val="0"/>
        <w:rPr>
          <w:rFonts w:hint="default" w:ascii="Times New Roman" w:hAnsi="Times New Roman" w:cs="Times New Roman"/>
          <w:highlight w:val="none"/>
        </w:rPr>
      </w:pPr>
      <w:bookmarkStart w:id="36" w:name="_Toc4967"/>
      <w:r>
        <w:rPr>
          <w:rFonts w:hint="default" w:ascii="Times New Roman" w:hAnsi="Times New Roman" w:cs="Times New Roman"/>
          <w:highlight w:val="none"/>
          <w:lang w:eastAsia="zh-CN"/>
        </w:rPr>
        <w:t>原辅料</w:t>
      </w:r>
      <w:r>
        <w:rPr>
          <w:rFonts w:hint="default" w:ascii="Times New Roman" w:hAnsi="Times New Roman" w:cs="Times New Roman"/>
          <w:highlight w:val="none"/>
        </w:rPr>
        <w:t>VOCs含量限值</w:t>
      </w:r>
      <w:bookmarkEnd w:id="36"/>
    </w:p>
    <w:p w14:paraId="17FEFF5E">
      <w:pPr>
        <w:keepNext w:val="0"/>
        <w:keepLines w:val="0"/>
        <w:pageBreakBefore w:val="0"/>
        <w:widowControl/>
        <w:kinsoku/>
        <w:wordWrap/>
        <w:autoSpaceDE/>
        <w:autoSpaceDN/>
        <w:bidi w:val="0"/>
        <w:rPr>
          <w:rFonts w:hint="default" w:ascii="Times New Roman" w:hAnsi="Times New Roman" w:cs="Times New Roman"/>
          <w:highlight w:val="none"/>
          <w:lang w:val="en-US" w:eastAsia="zh-CN"/>
        </w:rPr>
      </w:pPr>
      <w:r>
        <w:rPr>
          <w:rFonts w:hint="default" w:ascii="Times New Roman" w:hAnsi="Times New Roman" w:cs="Times New Roman"/>
          <w:highlight w:val="none"/>
          <w:lang w:eastAsia="zh-CN"/>
        </w:rPr>
        <w:t>国内外标准均规定了汽车修补用涂料的</w:t>
      </w:r>
      <w:r>
        <w:rPr>
          <w:rFonts w:hint="default" w:ascii="Times New Roman" w:hAnsi="Times New Roman" w:cs="Times New Roman"/>
          <w:highlight w:val="none"/>
          <w:lang w:val="en-US" w:eastAsia="zh-CN"/>
        </w:rPr>
        <w:t>VOCs含量限值，还有部分标准规定了清洗剂、粘胶剂的VOCs含量限值。本节重点对涂料VOCs含量限值进行对比，详见表3.2-</w:t>
      </w:r>
      <w:r>
        <w:rPr>
          <w:rFonts w:hint="eastAsia" w:ascii="Times New Roman" w:hAnsi="Times New Roman" w:cs="Times New Roman"/>
          <w:highlight w:val="none"/>
          <w:lang w:val="en-US" w:eastAsia="zh-CN"/>
        </w:rPr>
        <w:t>3</w:t>
      </w:r>
      <w:r>
        <w:rPr>
          <w:rFonts w:hint="default" w:ascii="Times New Roman" w:hAnsi="Times New Roman" w:cs="Times New Roman"/>
          <w:highlight w:val="none"/>
          <w:lang w:val="en-US" w:eastAsia="zh-CN"/>
        </w:rPr>
        <w:t>。总体而言，国外标准均严于国内相关标准；国内标准对比来看，2020年以前出台的地方标准包括重庆、深圳、香港相对宽松；2020年之后出台的地标，四川</w:t>
      </w:r>
      <w:r>
        <w:rPr>
          <w:rFonts w:hint="eastAsia" w:cs="Times New Roman"/>
          <w:highlight w:val="none"/>
          <w:lang w:val="en-US" w:eastAsia="zh-CN"/>
        </w:rPr>
        <w:t>（本标准）、</w:t>
      </w:r>
      <w:r>
        <w:rPr>
          <w:rFonts w:hint="default" w:ascii="Times New Roman" w:hAnsi="Times New Roman" w:cs="Times New Roman"/>
          <w:highlight w:val="none"/>
          <w:lang w:val="en-US" w:eastAsia="zh-CN"/>
        </w:rPr>
        <w:t>广东（送审稿）</w:t>
      </w:r>
      <w:r>
        <w:rPr>
          <w:rFonts w:hint="eastAsia" w:cs="Times New Roman"/>
          <w:highlight w:val="none"/>
          <w:lang w:val="en-US" w:eastAsia="zh-CN"/>
        </w:rPr>
        <w:t>、浙江（意见稿）和安徽均提出</w:t>
      </w:r>
      <w:r>
        <w:rPr>
          <w:rFonts w:hint="default" w:ascii="Times New Roman" w:hAnsi="Times New Roman" w:cs="Times New Roman"/>
          <w:highlight w:val="none"/>
          <w:lang w:val="en-US" w:eastAsia="zh-CN"/>
        </w:rPr>
        <w:t>与GB/T</w:t>
      </w:r>
      <w:r>
        <w:rPr>
          <w:rFonts w:hint="eastAsia" w:ascii="Times New Roman" w:hAnsi="Times New Roman" w:cs="Times New Roman"/>
          <w:highlight w:val="none"/>
          <w:lang w:val="en-US" w:eastAsia="zh-CN"/>
        </w:rPr>
        <w:t xml:space="preserve"> </w:t>
      </w:r>
      <w:r>
        <w:rPr>
          <w:rFonts w:hint="default" w:ascii="Times New Roman" w:hAnsi="Times New Roman" w:cs="Times New Roman"/>
          <w:highlight w:val="none"/>
          <w:lang w:val="en-US" w:eastAsia="zh-CN"/>
        </w:rPr>
        <w:t>38597</w:t>
      </w:r>
      <w:r>
        <w:rPr>
          <w:rFonts w:hint="eastAsia" w:cs="Times New Roman"/>
          <w:highlight w:val="none"/>
          <w:lang w:val="en-US" w:eastAsia="zh-CN"/>
        </w:rPr>
        <w:t>保持一致，GB/T 38597中未做规定的四川（本标准）要求与GB 30981.2</w:t>
      </w:r>
      <w:r>
        <w:rPr>
          <w:rFonts w:hint="default" w:ascii="Times New Roman" w:hAnsi="Times New Roman" w:cs="Times New Roman"/>
          <w:highlight w:val="none"/>
          <w:lang w:val="en-US" w:eastAsia="zh-CN"/>
        </w:rPr>
        <w:t>保持一致</w:t>
      </w:r>
      <w:r>
        <w:rPr>
          <w:rFonts w:hint="eastAsia" w:cs="Times New Roman"/>
          <w:highlight w:val="none"/>
          <w:lang w:val="en-US" w:eastAsia="zh-CN"/>
        </w:rPr>
        <w:t>，</w:t>
      </w:r>
      <w:r>
        <w:rPr>
          <w:rFonts w:hint="default" w:ascii="Times New Roman" w:hAnsi="Times New Roman" w:cs="Times New Roman"/>
          <w:highlight w:val="none"/>
          <w:lang w:val="en-US" w:eastAsia="zh-CN"/>
        </w:rPr>
        <w:t>广东（送审稿）</w:t>
      </w:r>
      <w:r>
        <w:rPr>
          <w:rFonts w:hint="eastAsia" w:cs="Times New Roman"/>
          <w:highlight w:val="none"/>
          <w:lang w:val="en-US" w:eastAsia="zh-CN"/>
        </w:rPr>
        <w:t>、浙江（意见稿）和安徽要求与GB 24409</w:t>
      </w:r>
      <w:r>
        <w:rPr>
          <w:rFonts w:hint="default" w:ascii="Times New Roman" w:hAnsi="Times New Roman" w:cs="Times New Roman"/>
          <w:highlight w:val="none"/>
          <w:lang w:val="en-US" w:eastAsia="zh-CN"/>
        </w:rPr>
        <w:t>保持一致</w:t>
      </w:r>
      <w:r>
        <w:rPr>
          <w:rFonts w:hint="eastAsia" w:cs="Times New Roman"/>
          <w:highlight w:val="none"/>
          <w:lang w:val="en-US" w:eastAsia="zh-CN"/>
        </w:rPr>
        <w:t>，对比GB 30981.2和GB 24409，GB 30981.2增加了对水性底漆、中涂、罩光清漆的限值要求，其他涂料类型和含量限值均与GB 24409一致；江苏仅提出要符合</w:t>
      </w:r>
      <w:r>
        <w:rPr>
          <w:rFonts w:hint="default" w:ascii="Times New Roman" w:hAnsi="Times New Roman" w:cs="Times New Roman"/>
          <w:highlight w:val="none"/>
          <w:lang w:val="en-US" w:eastAsia="zh-CN"/>
        </w:rPr>
        <w:t>GB/T</w:t>
      </w:r>
      <w:r>
        <w:rPr>
          <w:rFonts w:hint="eastAsia" w:ascii="Times New Roman" w:hAnsi="Times New Roman" w:cs="Times New Roman"/>
          <w:highlight w:val="none"/>
          <w:lang w:val="en-US" w:eastAsia="zh-CN"/>
        </w:rPr>
        <w:t xml:space="preserve"> </w:t>
      </w:r>
      <w:r>
        <w:rPr>
          <w:rFonts w:hint="default" w:ascii="Times New Roman" w:hAnsi="Times New Roman" w:cs="Times New Roman"/>
          <w:highlight w:val="none"/>
          <w:lang w:val="en-US" w:eastAsia="zh-CN"/>
        </w:rPr>
        <w:t>38597</w:t>
      </w:r>
      <w:r>
        <w:rPr>
          <w:rFonts w:hint="eastAsia" w:cs="Times New Roman"/>
          <w:highlight w:val="none"/>
          <w:lang w:val="en-US" w:eastAsia="zh-CN"/>
        </w:rPr>
        <w:t>要求；北京、</w:t>
      </w:r>
      <w:r>
        <w:rPr>
          <w:rFonts w:hint="default" w:ascii="Times New Roman" w:hAnsi="Times New Roman" w:cs="Times New Roman"/>
          <w:highlight w:val="none"/>
          <w:lang w:val="en-US" w:eastAsia="zh-CN"/>
        </w:rPr>
        <w:t>上海</w:t>
      </w:r>
      <w:r>
        <w:rPr>
          <w:rFonts w:hint="eastAsia" w:cs="Times New Roman"/>
          <w:highlight w:val="none"/>
          <w:lang w:val="en-US" w:eastAsia="zh-CN"/>
        </w:rPr>
        <w:t>较严格，未区分水性和溶剂型涂料，仅针对涂料种类规定了统一限值，分为底漆、中涂、色漆（底</w:t>
      </w:r>
      <w:r>
        <w:rPr>
          <w:rFonts w:hint="default" w:ascii="Times New Roman" w:hAnsi="Times New Roman" w:cs="Times New Roman"/>
          <w:highlight w:val="none"/>
          <w:lang w:val="en-US" w:eastAsia="zh-CN"/>
        </w:rPr>
        <w:t>色漆</w:t>
      </w:r>
      <w:r>
        <w:rPr>
          <w:rFonts w:hint="eastAsia" w:cs="Times New Roman"/>
          <w:highlight w:val="none"/>
          <w:lang w:val="en-US" w:eastAsia="zh-CN"/>
        </w:rPr>
        <w:t>、本色面漆）和清漆，</w:t>
      </w:r>
      <w:r>
        <w:rPr>
          <w:rFonts w:hint="default" w:ascii="Times New Roman" w:hAnsi="Times New Roman" w:cs="Times New Roman"/>
          <w:highlight w:val="none"/>
          <w:lang w:val="en-US" w:eastAsia="zh-CN"/>
        </w:rPr>
        <w:t>其中</w:t>
      </w:r>
      <w:r>
        <w:rPr>
          <w:rFonts w:hint="eastAsia" w:cs="Times New Roman"/>
          <w:highlight w:val="none"/>
          <w:lang w:val="en-US" w:eastAsia="zh-CN"/>
        </w:rPr>
        <w:t>溶剂型色漆（底</w:t>
      </w:r>
      <w:r>
        <w:rPr>
          <w:rFonts w:hint="default" w:ascii="Times New Roman" w:hAnsi="Times New Roman" w:cs="Times New Roman"/>
          <w:highlight w:val="none"/>
          <w:lang w:val="en-US" w:eastAsia="zh-CN"/>
        </w:rPr>
        <w:t>色漆</w:t>
      </w:r>
      <w:r>
        <w:rPr>
          <w:rFonts w:hint="eastAsia" w:cs="Times New Roman"/>
          <w:highlight w:val="none"/>
          <w:lang w:val="en-US" w:eastAsia="zh-CN"/>
        </w:rPr>
        <w:t>、本色面漆）</w:t>
      </w:r>
      <w:r>
        <w:rPr>
          <w:rFonts w:hint="default" w:ascii="Times New Roman" w:hAnsi="Times New Roman" w:cs="Times New Roman"/>
          <w:highlight w:val="none"/>
          <w:lang w:val="en-US" w:eastAsia="zh-CN"/>
        </w:rPr>
        <w:t>严于GB/T 38597，</w:t>
      </w:r>
      <w:r>
        <w:rPr>
          <w:rFonts w:hint="eastAsia" w:cs="Times New Roman"/>
          <w:highlight w:val="none"/>
          <w:lang w:val="en-US" w:eastAsia="zh-CN"/>
        </w:rPr>
        <w:t>水性底漆、中涂宽松于GB30981.2，</w:t>
      </w:r>
      <w:r>
        <w:rPr>
          <w:rFonts w:hint="default" w:ascii="Times New Roman" w:hAnsi="Times New Roman" w:cs="Times New Roman"/>
          <w:highlight w:val="none"/>
          <w:lang w:val="en-US" w:eastAsia="zh-CN"/>
        </w:rPr>
        <w:t>其余与GB/T 38597一致。</w:t>
      </w:r>
    </w:p>
    <w:p w14:paraId="7419DE9B">
      <w:pPr>
        <w:keepNext w:val="0"/>
        <w:keepLines w:val="0"/>
        <w:pageBreakBefore w:val="0"/>
        <w:widowControl/>
        <w:kinsoku/>
        <w:wordWrap/>
        <w:autoSpaceDE/>
        <w:autoSpaceDN/>
        <w:bidi w:val="0"/>
        <w:rPr>
          <w:rFonts w:hint="default" w:ascii="Times New Roman" w:hAnsi="Times New Roman" w:cs="Times New Roman"/>
          <w:highlight w:val="none"/>
          <w:lang w:val="en-US" w:eastAsia="zh-CN"/>
        </w:rPr>
      </w:pPr>
      <w:r>
        <w:rPr>
          <w:rFonts w:hint="default" w:ascii="Times New Roman" w:hAnsi="Times New Roman" w:cs="Times New Roman"/>
          <w:highlight w:val="none"/>
          <w:lang w:val="en-US" w:eastAsia="zh-CN"/>
        </w:rPr>
        <w:t>四川</w:t>
      </w:r>
      <w:r>
        <w:rPr>
          <w:rFonts w:hint="eastAsia" w:cs="Times New Roman"/>
          <w:highlight w:val="none"/>
          <w:lang w:val="en-US" w:eastAsia="zh-CN"/>
        </w:rPr>
        <w:t>（本标准）</w:t>
      </w:r>
      <w:r>
        <w:rPr>
          <w:rFonts w:hint="default" w:ascii="Times New Roman" w:hAnsi="Times New Roman" w:cs="Times New Roman"/>
          <w:highlight w:val="none"/>
          <w:lang w:val="en-US" w:eastAsia="zh-CN"/>
        </w:rPr>
        <w:t>处于</w:t>
      </w:r>
      <w:r>
        <w:rPr>
          <w:rFonts w:hint="eastAsia" w:cs="Times New Roman"/>
          <w:highlight w:val="none"/>
          <w:lang w:val="en-US" w:eastAsia="zh-CN"/>
        </w:rPr>
        <w:t>较</w:t>
      </w:r>
      <w:r>
        <w:rPr>
          <w:rFonts w:hint="default" w:ascii="Times New Roman" w:hAnsi="Times New Roman" w:cs="Times New Roman"/>
          <w:highlight w:val="none"/>
          <w:lang w:val="en-US" w:eastAsia="zh-CN"/>
        </w:rPr>
        <w:t>严格水平。</w:t>
      </w:r>
    </w:p>
    <w:p w14:paraId="55655908">
      <w:pPr>
        <w:keepNext w:val="0"/>
        <w:keepLines w:val="0"/>
        <w:pageBreakBefore w:val="0"/>
        <w:widowControl/>
        <w:numPr>
          <w:ilvl w:val="0"/>
          <w:numId w:val="0"/>
        </w:numPr>
        <w:kinsoku/>
        <w:wordWrap/>
        <w:autoSpaceDE/>
        <w:autoSpaceDN/>
        <w:bidi w:val="0"/>
        <w:spacing w:line="360" w:lineRule="auto"/>
        <w:rPr>
          <w:rFonts w:hint="default" w:ascii="Times New Roman" w:hAnsi="Times New Roman" w:cs="Times New Roman"/>
          <w:sz w:val="24"/>
          <w:highlight w:val="none"/>
        </w:rPr>
      </w:pPr>
    </w:p>
    <w:p w14:paraId="3328F268">
      <w:pPr>
        <w:keepNext w:val="0"/>
        <w:keepLines w:val="0"/>
        <w:pageBreakBefore w:val="0"/>
        <w:widowControl/>
        <w:numPr>
          <w:ilvl w:val="0"/>
          <w:numId w:val="0"/>
        </w:numPr>
        <w:kinsoku/>
        <w:wordWrap/>
        <w:autoSpaceDE/>
        <w:autoSpaceDN/>
        <w:bidi w:val="0"/>
        <w:spacing w:line="360" w:lineRule="auto"/>
        <w:rPr>
          <w:rFonts w:hint="default" w:ascii="Times New Roman" w:hAnsi="Times New Roman" w:cs="Times New Roman"/>
          <w:sz w:val="24"/>
          <w:highlight w:val="none"/>
        </w:rPr>
        <w:sectPr>
          <w:footerReference r:id="rId6" w:type="default"/>
          <w:pgSz w:w="11906" w:h="16838"/>
          <w:pgMar w:top="1440" w:right="1800" w:bottom="1440" w:left="1800" w:header="851" w:footer="992" w:gutter="0"/>
          <w:pgBorders>
            <w:top w:val="none" w:sz="0" w:space="0"/>
            <w:left w:val="none" w:sz="0" w:space="0"/>
            <w:bottom w:val="none" w:sz="0" w:space="0"/>
            <w:right w:val="none" w:sz="0" w:space="0"/>
          </w:pgBorders>
          <w:pgNumType w:fmt="decimal" w:start="1"/>
          <w:cols w:space="425" w:num="1"/>
          <w:docGrid w:type="lines" w:linePitch="312" w:charSpace="0"/>
        </w:sectPr>
      </w:pPr>
    </w:p>
    <w:p w14:paraId="0FDE0E59">
      <w:pPr>
        <w:keepNext w:val="0"/>
        <w:keepLines w:val="0"/>
        <w:pageBreakBefore w:val="0"/>
        <w:widowControl/>
        <w:kinsoku/>
        <w:wordWrap/>
        <w:autoSpaceDE/>
        <w:autoSpaceDN/>
        <w:bidi w:val="0"/>
        <w:ind w:left="0" w:leftChars="0" w:firstLine="0" w:firstLineChars="0"/>
        <w:jc w:val="center"/>
        <w:rPr>
          <w:rFonts w:hint="default" w:ascii="Times New Roman" w:hAnsi="Times New Roman" w:cs="Times New Roman"/>
          <w:highlight w:val="none"/>
          <w:lang w:val="en-US" w:eastAsia="zh-CN"/>
        </w:rPr>
      </w:pPr>
      <w:r>
        <w:rPr>
          <w:rFonts w:hint="default" w:ascii="Times New Roman" w:hAnsi="Times New Roman" w:cs="Times New Roman"/>
          <w:highlight w:val="none"/>
          <w:lang w:val="en-US" w:eastAsia="zh-CN"/>
        </w:rPr>
        <w:t>表3.2-</w:t>
      </w:r>
      <w:r>
        <w:rPr>
          <w:rFonts w:hint="eastAsia" w:ascii="Times New Roman" w:hAnsi="Times New Roman" w:cs="Times New Roman"/>
          <w:highlight w:val="none"/>
          <w:lang w:val="en-US" w:eastAsia="zh-CN"/>
        </w:rPr>
        <w:t>3</w:t>
      </w:r>
      <w:r>
        <w:rPr>
          <w:rFonts w:hint="default" w:ascii="Times New Roman" w:hAnsi="Times New Roman" w:cs="Times New Roman"/>
          <w:highlight w:val="none"/>
          <w:lang w:val="en-US" w:eastAsia="zh-CN"/>
        </w:rPr>
        <w:t xml:space="preserve"> 汽车维修涂料VOCs含量限值对比</w:t>
      </w:r>
    </w:p>
    <w:p w14:paraId="571B4117">
      <w:pPr>
        <w:keepNext w:val="0"/>
        <w:keepLines w:val="0"/>
        <w:pageBreakBefore w:val="0"/>
        <w:widowControl/>
        <w:kinsoku/>
        <w:wordWrap/>
        <w:autoSpaceDE/>
        <w:autoSpaceDN/>
        <w:bidi w:val="0"/>
        <w:ind w:left="0" w:leftChars="0" w:firstLine="0" w:firstLineChars="0"/>
        <w:jc w:val="right"/>
        <w:rPr>
          <w:rFonts w:hint="default" w:ascii="Times New Roman" w:hAnsi="Times New Roman" w:cs="Times New Roman"/>
          <w:highlight w:val="none"/>
          <w:lang w:val="en-US" w:eastAsia="zh-CN"/>
        </w:rPr>
      </w:pPr>
      <w:r>
        <w:rPr>
          <w:rFonts w:hint="eastAsia" w:cs="Times New Roman"/>
          <w:highlight w:val="none"/>
          <w:lang w:val="en-US" w:eastAsia="zh-CN"/>
        </w:rPr>
        <w:t>单位：g/L</w:t>
      </w:r>
    </w:p>
    <w:tbl>
      <w:tblPr>
        <w:tblStyle w:val="21"/>
        <w:tblW w:w="5204" w:type="pct"/>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629"/>
        <w:gridCol w:w="945"/>
        <w:gridCol w:w="678"/>
        <w:gridCol w:w="888"/>
        <w:gridCol w:w="749"/>
        <w:gridCol w:w="689"/>
        <w:gridCol w:w="590"/>
        <w:gridCol w:w="590"/>
        <w:gridCol w:w="590"/>
        <w:gridCol w:w="1006"/>
        <w:gridCol w:w="640"/>
        <w:gridCol w:w="630"/>
        <w:gridCol w:w="640"/>
        <w:gridCol w:w="730"/>
        <w:gridCol w:w="746"/>
        <w:gridCol w:w="594"/>
        <w:gridCol w:w="630"/>
        <w:gridCol w:w="590"/>
        <w:gridCol w:w="710"/>
        <w:gridCol w:w="880"/>
        <w:gridCol w:w="609"/>
      </w:tblGrid>
      <w:tr w14:paraId="00B93E7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7" w:hRule="atLeast"/>
          <w:tblHeader/>
          <w:jc w:val="center"/>
        </w:trPr>
        <w:tc>
          <w:tcPr>
            <w:tcW w:w="213"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06692C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溶剂类型</w:t>
            </w:r>
          </w:p>
        </w:tc>
        <w:tc>
          <w:tcPr>
            <w:tcW w:w="32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0032A4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产品类型</w:t>
            </w:r>
          </w:p>
        </w:tc>
        <w:tc>
          <w:tcPr>
            <w:tcW w:w="22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D8B4E8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四川（本</w:t>
            </w:r>
            <w:r>
              <w:rPr>
                <w:rFonts w:hint="eastAsia" w:cs="Times New Roman"/>
                <w:b/>
                <w:bCs/>
                <w:i w:val="0"/>
                <w:iCs w:val="0"/>
                <w:color w:val="000000"/>
                <w:kern w:val="0"/>
                <w:sz w:val="18"/>
                <w:szCs w:val="18"/>
                <w:highlight w:val="none"/>
                <w:u w:val="none"/>
                <w:lang w:val="en-US" w:eastAsia="zh-CN" w:bidi="ar"/>
              </w:rPr>
              <w:t>标准</w:t>
            </w:r>
            <w:r>
              <w:rPr>
                <w:rFonts w:hint="default" w:ascii="Times New Roman" w:hAnsi="Times New Roman" w:eastAsia="宋体" w:cs="Times New Roman"/>
                <w:b/>
                <w:bCs/>
                <w:i w:val="0"/>
                <w:iCs w:val="0"/>
                <w:color w:val="000000"/>
                <w:kern w:val="0"/>
                <w:sz w:val="18"/>
                <w:szCs w:val="18"/>
                <w:highlight w:val="none"/>
                <w:u w:val="none"/>
                <w:lang w:val="en-US" w:eastAsia="zh-CN" w:bidi="ar"/>
              </w:rPr>
              <w:t>）</w:t>
            </w:r>
          </w:p>
        </w:tc>
        <w:tc>
          <w:tcPr>
            <w:tcW w:w="30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2B35E8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国家（GB</w:t>
            </w:r>
            <w:r>
              <w:rPr>
                <w:rFonts w:hint="default" w:ascii="Times New Roman" w:hAnsi="Times New Roman" w:cs="Times New Roman"/>
                <w:b/>
                <w:bCs/>
                <w:i w:val="0"/>
                <w:iCs w:val="0"/>
                <w:color w:val="000000"/>
                <w:kern w:val="0"/>
                <w:sz w:val="18"/>
                <w:szCs w:val="18"/>
                <w:highlight w:val="none"/>
                <w:u w:val="none"/>
                <w:lang w:val="en-US" w:eastAsia="zh-CN" w:bidi="ar"/>
              </w:rPr>
              <w:t>/T</w:t>
            </w:r>
            <w:r>
              <w:rPr>
                <w:rFonts w:hint="default" w:ascii="Times New Roman" w:hAnsi="Times New Roman" w:eastAsia="宋体" w:cs="Times New Roman"/>
                <w:b/>
                <w:bCs/>
                <w:i w:val="0"/>
                <w:iCs w:val="0"/>
                <w:color w:val="000000"/>
                <w:kern w:val="0"/>
                <w:sz w:val="18"/>
                <w:szCs w:val="18"/>
                <w:highlight w:val="none"/>
                <w:u w:val="none"/>
                <w:lang w:val="en-US" w:eastAsia="zh-CN" w:bidi="ar"/>
              </w:rPr>
              <w:t xml:space="preserve"> 38597）</w:t>
            </w:r>
          </w:p>
        </w:tc>
        <w:tc>
          <w:tcPr>
            <w:tcW w:w="253"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67EA72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国家（GB 24409）</w:t>
            </w:r>
          </w:p>
        </w:tc>
        <w:tc>
          <w:tcPr>
            <w:tcW w:w="233" w:type="pct"/>
            <w:vMerge w:val="restart"/>
            <w:tcBorders>
              <w:top w:val="single" w:color="000000" w:sz="4" w:space="0"/>
              <w:left w:val="single" w:color="000000" w:sz="4" w:space="0"/>
              <w:right w:val="single" w:color="000000" w:sz="4" w:space="0"/>
            </w:tcBorders>
            <w:shd w:val="clear" w:color="auto" w:fill="auto"/>
            <w:vAlign w:val="center"/>
          </w:tcPr>
          <w:p w14:paraId="57979E0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cs="Times New Roman"/>
                <w:b/>
                <w:bCs/>
                <w:i w:val="0"/>
                <w:iCs w:val="0"/>
                <w:color w:val="000000"/>
                <w:kern w:val="0"/>
                <w:sz w:val="18"/>
                <w:szCs w:val="18"/>
                <w:highlight w:val="none"/>
                <w:u w:val="none"/>
                <w:lang w:val="en-US" w:eastAsia="zh-CN" w:bidi="ar"/>
              </w:rPr>
            </w:pPr>
            <w:r>
              <w:rPr>
                <w:rFonts w:hint="eastAsia" w:cs="Times New Roman"/>
                <w:b/>
                <w:bCs/>
                <w:i w:val="0"/>
                <w:iCs w:val="0"/>
                <w:color w:val="000000"/>
                <w:kern w:val="0"/>
                <w:sz w:val="18"/>
                <w:szCs w:val="18"/>
                <w:highlight w:val="none"/>
                <w:u w:val="none"/>
                <w:lang w:val="en-US" w:eastAsia="zh-CN" w:bidi="ar"/>
              </w:rPr>
              <w:t>国家（GB 30981.2）</w:t>
            </w:r>
          </w:p>
        </w:tc>
        <w:tc>
          <w:tcPr>
            <w:tcW w:w="19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E57ECB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cs="Times New Roman"/>
                <w:b/>
                <w:bCs/>
                <w:i w:val="0"/>
                <w:iCs w:val="0"/>
                <w:color w:val="000000"/>
                <w:kern w:val="0"/>
                <w:sz w:val="18"/>
                <w:szCs w:val="18"/>
                <w:highlight w:val="none"/>
                <w:u w:val="none"/>
                <w:lang w:val="en-US" w:eastAsia="zh-CN" w:bidi="ar"/>
              </w:rPr>
              <w:t>安徽</w:t>
            </w:r>
          </w:p>
        </w:tc>
        <w:tc>
          <w:tcPr>
            <w:tcW w:w="19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1DBBE2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上海</w:t>
            </w:r>
          </w:p>
        </w:tc>
        <w:tc>
          <w:tcPr>
            <w:tcW w:w="19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76F5B5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江苏</w:t>
            </w:r>
          </w:p>
        </w:tc>
        <w:tc>
          <w:tcPr>
            <w:tcW w:w="340" w:type="pct"/>
            <w:vMerge w:val="restart"/>
            <w:tcBorders>
              <w:top w:val="single" w:color="000000" w:sz="4" w:space="0"/>
              <w:left w:val="single" w:color="000000" w:sz="4" w:space="0"/>
              <w:right w:val="single" w:color="000000" w:sz="4" w:space="0"/>
            </w:tcBorders>
            <w:shd w:val="clear" w:color="auto" w:fill="auto"/>
            <w:vAlign w:val="center"/>
          </w:tcPr>
          <w:p w14:paraId="4825C32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r>
              <w:rPr>
                <w:rFonts w:hint="eastAsia" w:cs="Times New Roman"/>
                <w:b/>
                <w:bCs/>
                <w:i w:val="0"/>
                <w:iCs w:val="0"/>
                <w:color w:val="000000"/>
                <w:kern w:val="0"/>
                <w:sz w:val="18"/>
                <w:szCs w:val="18"/>
                <w:highlight w:val="none"/>
                <w:u w:val="none"/>
                <w:lang w:val="en-US" w:eastAsia="zh-CN" w:bidi="ar"/>
              </w:rPr>
              <w:t>浙江（意见稿）</w:t>
            </w:r>
          </w:p>
        </w:tc>
        <w:tc>
          <w:tcPr>
            <w:tcW w:w="216"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9BF171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重庆</w:t>
            </w:r>
          </w:p>
        </w:tc>
        <w:tc>
          <w:tcPr>
            <w:tcW w:w="213" w:type="pct"/>
            <w:vMerge w:val="restart"/>
            <w:tcBorders>
              <w:top w:val="single" w:color="000000" w:sz="4" w:space="0"/>
              <w:left w:val="single" w:color="000000" w:sz="4" w:space="0"/>
              <w:right w:val="single" w:color="000000" w:sz="4" w:space="0"/>
            </w:tcBorders>
            <w:shd w:val="clear" w:color="auto" w:fill="auto"/>
            <w:vAlign w:val="center"/>
          </w:tcPr>
          <w:p w14:paraId="4BFDB07D">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b/>
                <w:bCs/>
                <w:i w:val="0"/>
                <w:iCs w:val="0"/>
                <w:color w:val="000000"/>
                <w:sz w:val="18"/>
                <w:szCs w:val="18"/>
                <w:highlight w:val="none"/>
                <w:u w:val="none"/>
                <w:lang w:eastAsia="zh-CN"/>
              </w:rPr>
            </w:pPr>
            <w:r>
              <w:rPr>
                <w:rFonts w:hint="default" w:ascii="Times New Roman" w:hAnsi="Times New Roman" w:cs="Times New Roman"/>
                <w:b/>
                <w:bCs/>
                <w:i w:val="0"/>
                <w:iCs w:val="0"/>
                <w:color w:val="000000"/>
                <w:sz w:val="18"/>
                <w:szCs w:val="18"/>
                <w:highlight w:val="none"/>
                <w:u w:val="none"/>
                <w:lang w:eastAsia="zh-CN"/>
              </w:rPr>
              <w:t>北京</w:t>
            </w:r>
          </w:p>
        </w:tc>
        <w:tc>
          <w:tcPr>
            <w:tcW w:w="216" w:type="pct"/>
            <w:vMerge w:val="restart"/>
            <w:tcBorders>
              <w:top w:val="single" w:color="000000" w:sz="4" w:space="0"/>
              <w:left w:val="single" w:color="000000" w:sz="4" w:space="0"/>
              <w:right w:val="single" w:color="000000" w:sz="4" w:space="0"/>
            </w:tcBorders>
            <w:shd w:val="clear" w:color="auto" w:fill="auto"/>
            <w:vAlign w:val="center"/>
          </w:tcPr>
          <w:p w14:paraId="2B759C5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r>
              <w:rPr>
                <w:rFonts w:hint="default" w:ascii="Times New Roman" w:hAnsi="Times New Roman" w:cs="Times New Roman"/>
                <w:b/>
                <w:bCs/>
                <w:i w:val="0"/>
                <w:iCs w:val="0"/>
                <w:color w:val="000000"/>
                <w:kern w:val="0"/>
                <w:sz w:val="18"/>
                <w:szCs w:val="18"/>
                <w:highlight w:val="none"/>
                <w:u w:val="none"/>
                <w:lang w:val="en-US" w:eastAsia="zh-CN" w:bidi="ar"/>
              </w:rPr>
              <w:t>深圳</w:t>
            </w:r>
          </w:p>
        </w:tc>
        <w:tc>
          <w:tcPr>
            <w:tcW w:w="24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DC279E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auto"/>
                <w:sz w:val="18"/>
                <w:szCs w:val="18"/>
                <w:highlight w:val="none"/>
                <w:u w:val="none"/>
              </w:rPr>
            </w:pPr>
            <w:r>
              <w:rPr>
                <w:rFonts w:hint="default" w:ascii="Times New Roman" w:hAnsi="Times New Roman" w:eastAsia="宋体" w:cs="Times New Roman"/>
                <w:b/>
                <w:bCs/>
                <w:i w:val="0"/>
                <w:iCs w:val="0"/>
                <w:color w:val="auto"/>
                <w:kern w:val="0"/>
                <w:sz w:val="18"/>
                <w:szCs w:val="18"/>
                <w:highlight w:val="none"/>
                <w:u w:val="none"/>
                <w:lang w:val="en-US" w:eastAsia="zh-CN" w:bidi="ar"/>
              </w:rPr>
              <w:t>广东（</w:t>
            </w:r>
            <w:r>
              <w:rPr>
                <w:rFonts w:hint="default" w:ascii="Times New Roman" w:hAnsi="Times New Roman" w:cs="Times New Roman"/>
                <w:b/>
                <w:bCs/>
                <w:i w:val="0"/>
                <w:iCs w:val="0"/>
                <w:color w:val="auto"/>
                <w:kern w:val="0"/>
                <w:sz w:val="18"/>
                <w:szCs w:val="18"/>
                <w:highlight w:val="none"/>
                <w:u w:val="none"/>
                <w:lang w:val="en-US" w:eastAsia="zh-CN" w:bidi="ar"/>
              </w:rPr>
              <w:t>送审稿</w:t>
            </w:r>
            <w:r>
              <w:rPr>
                <w:rFonts w:hint="default" w:ascii="Times New Roman" w:hAnsi="Times New Roman" w:eastAsia="宋体" w:cs="Times New Roman"/>
                <w:b/>
                <w:bCs/>
                <w:i w:val="0"/>
                <w:iCs w:val="0"/>
                <w:color w:val="auto"/>
                <w:kern w:val="0"/>
                <w:sz w:val="18"/>
                <w:szCs w:val="18"/>
                <w:highlight w:val="none"/>
                <w:u w:val="none"/>
                <w:lang w:val="en-US" w:eastAsia="zh-CN" w:bidi="ar"/>
              </w:rPr>
              <w:t>）</w:t>
            </w:r>
          </w:p>
        </w:tc>
        <w:tc>
          <w:tcPr>
            <w:tcW w:w="252" w:type="pct"/>
            <w:vMerge w:val="restart"/>
            <w:tcBorders>
              <w:top w:val="single" w:color="000000" w:sz="4" w:space="0"/>
              <w:left w:val="single" w:color="000000" w:sz="4" w:space="0"/>
              <w:right w:val="single" w:color="000000" w:sz="4" w:space="0"/>
            </w:tcBorders>
            <w:shd w:val="clear" w:color="auto" w:fill="auto"/>
            <w:vAlign w:val="center"/>
          </w:tcPr>
          <w:p w14:paraId="0B83DC5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auto"/>
                <w:kern w:val="0"/>
                <w:sz w:val="18"/>
                <w:szCs w:val="18"/>
                <w:highlight w:val="none"/>
                <w:u w:val="none"/>
                <w:lang w:val="en-US" w:eastAsia="zh-CN" w:bidi="ar"/>
              </w:rPr>
            </w:pPr>
            <w:r>
              <w:rPr>
                <w:rFonts w:hint="default" w:ascii="Times New Roman" w:hAnsi="Times New Roman" w:cs="Times New Roman"/>
                <w:b/>
                <w:bCs/>
                <w:i w:val="0"/>
                <w:iCs w:val="0"/>
                <w:color w:val="auto"/>
                <w:kern w:val="0"/>
                <w:sz w:val="18"/>
                <w:szCs w:val="18"/>
                <w:highlight w:val="none"/>
                <w:u w:val="none"/>
                <w:lang w:val="en-US" w:eastAsia="zh-CN" w:bidi="ar"/>
              </w:rPr>
              <w:t>香港</w:t>
            </w:r>
          </w:p>
        </w:tc>
        <w:tc>
          <w:tcPr>
            <w:tcW w:w="20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7D33CD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英国</w:t>
            </w:r>
          </w:p>
        </w:tc>
        <w:tc>
          <w:tcPr>
            <w:tcW w:w="213"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116FB2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欧盟</w:t>
            </w:r>
          </w:p>
        </w:tc>
        <w:tc>
          <w:tcPr>
            <w:tcW w:w="19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A4B44B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美国</w:t>
            </w:r>
          </w:p>
        </w:tc>
        <w:tc>
          <w:tcPr>
            <w:tcW w:w="240" w:type="pct"/>
            <w:vMerge w:val="restart"/>
            <w:tcBorders>
              <w:top w:val="single" w:color="000000" w:sz="4" w:space="0"/>
              <w:left w:val="single" w:color="000000" w:sz="4" w:space="0"/>
              <w:right w:val="single" w:color="000000" w:sz="4" w:space="0"/>
            </w:tcBorders>
            <w:shd w:val="clear" w:color="auto" w:fill="auto"/>
            <w:noWrap/>
            <w:vAlign w:val="center"/>
          </w:tcPr>
          <w:p w14:paraId="5265E89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r>
              <w:rPr>
                <w:rFonts w:hint="default" w:ascii="Times New Roman" w:hAnsi="Times New Roman" w:eastAsia="宋体" w:cs="Times New Roman"/>
                <w:b/>
                <w:bCs/>
                <w:i w:val="0"/>
                <w:iCs w:val="0"/>
                <w:color w:val="000000"/>
                <w:kern w:val="0"/>
                <w:sz w:val="18"/>
                <w:szCs w:val="18"/>
                <w:highlight w:val="none"/>
                <w:u w:val="none"/>
                <w:lang w:val="en-US" w:eastAsia="zh-CN" w:bidi="ar"/>
              </w:rPr>
              <w:t>美国南海岸</w:t>
            </w:r>
          </w:p>
        </w:tc>
        <w:tc>
          <w:tcPr>
            <w:tcW w:w="504" w:type="pct"/>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0A32B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美国加州</w:t>
            </w:r>
          </w:p>
        </w:tc>
      </w:tr>
      <w:tr w14:paraId="1273588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56" w:hRule="atLeast"/>
          <w:tblHeader/>
          <w:jc w:val="center"/>
        </w:trPr>
        <w:tc>
          <w:tcPr>
            <w:tcW w:w="21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5F62A83">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b/>
                <w:bCs/>
                <w:i w:val="0"/>
                <w:iCs w:val="0"/>
                <w:color w:val="000000"/>
                <w:sz w:val="18"/>
                <w:szCs w:val="18"/>
                <w:highlight w:val="none"/>
                <w:u w:val="none"/>
              </w:rPr>
            </w:pPr>
          </w:p>
        </w:tc>
        <w:tc>
          <w:tcPr>
            <w:tcW w:w="32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B3CBEF6">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b/>
                <w:bCs/>
                <w:i w:val="0"/>
                <w:iCs w:val="0"/>
                <w:color w:val="000000"/>
                <w:sz w:val="18"/>
                <w:szCs w:val="18"/>
                <w:highlight w:val="none"/>
                <w:u w:val="none"/>
              </w:rPr>
            </w:pPr>
          </w:p>
        </w:tc>
        <w:tc>
          <w:tcPr>
            <w:tcW w:w="22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3C4645B">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b/>
                <w:bCs/>
                <w:i w:val="0"/>
                <w:iCs w:val="0"/>
                <w:color w:val="000000"/>
                <w:sz w:val="18"/>
                <w:szCs w:val="18"/>
                <w:highlight w:val="none"/>
                <w:u w:val="none"/>
              </w:rPr>
            </w:pPr>
          </w:p>
        </w:tc>
        <w:tc>
          <w:tcPr>
            <w:tcW w:w="30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8BC7687">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b/>
                <w:bCs/>
                <w:i w:val="0"/>
                <w:iCs w:val="0"/>
                <w:color w:val="000000"/>
                <w:sz w:val="18"/>
                <w:szCs w:val="18"/>
                <w:highlight w:val="none"/>
                <w:u w:val="none"/>
              </w:rPr>
            </w:pPr>
          </w:p>
        </w:tc>
        <w:tc>
          <w:tcPr>
            <w:tcW w:w="25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51FFEBD">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b/>
                <w:bCs/>
                <w:i w:val="0"/>
                <w:iCs w:val="0"/>
                <w:color w:val="000000"/>
                <w:sz w:val="18"/>
                <w:szCs w:val="18"/>
                <w:highlight w:val="none"/>
                <w:u w:val="none"/>
              </w:rPr>
            </w:pPr>
          </w:p>
        </w:tc>
        <w:tc>
          <w:tcPr>
            <w:tcW w:w="233" w:type="pct"/>
            <w:vMerge w:val="continue"/>
            <w:tcBorders>
              <w:left w:val="single" w:color="000000" w:sz="4" w:space="0"/>
              <w:bottom w:val="single" w:color="000000" w:sz="4" w:space="0"/>
              <w:right w:val="single" w:color="000000" w:sz="4" w:space="0"/>
            </w:tcBorders>
            <w:shd w:val="clear" w:color="auto" w:fill="auto"/>
            <w:vAlign w:val="center"/>
          </w:tcPr>
          <w:p w14:paraId="59886EF2">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b/>
                <w:bCs/>
                <w:i w:val="0"/>
                <w:iCs w:val="0"/>
                <w:color w:val="000000"/>
                <w:sz w:val="18"/>
                <w:szCs w:val="18"/>
                <w:highlight w:val="none"/>
                <w:u w:val="none"/>
              </w:rPr>
            </w:pPr>
          </w:p>
        </w:tc>
        <w:tc>
          <w:tcPr>
            <w:tcW w:w="19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EB3470A">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b/>
                <w:bCs/>
                <w:i w:val="0"/>
                <w:iCs w:val="0"/>
                <w:color w:val="000000"/>
                <w:sz w:val="18"/>
                <w:szCs w:val="18"/>
                <w:highlight w:val="none"/>
                <w:u w:val="none"/>
              </w:rPr>
            </w:pPr>
          </w:p>
        </w:tc>
        <w:tc>
          <w:tcPr>
            <w:tcW w:w="19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2DB47C8">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b/>
                <w:bCs/>
                <w:i w:val="0"/>
                <w:iCs w:val="0"/>
                <w:color w:val="000000"/>
                <w:sz w:val="18"/>
                <w:szCs w:val="18"/>
                <w:highlight w:val="none"/>
                <w:u w:val="none"/>
              </w:rPr>
            </w:pPr>
          </w:p>
        </w:tc>
        <w:tc>
          <w:tcPr>
            <w:tcW w:w="19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12447E3">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b/>
                <w:bCs/>
                <w:i w:val="0"/>
                <w:iCs w:val="0"/>
                <w:color w:val="000000"/>
                <w:sz w:val="18"/>
                <w:szCs w:val="18"/>
                <w:highlight w:val="none"/>
                <w:u w:val="none"/>
              </w:rPr>
            </w:pPr>
          </w:p>
        </w:tc>
        <w:tc>
          <w:tcPr>
            <w:tcW w:w="340" w:type="pct"/>
            <w:vMerge w:val="continue"/>
            <w:tcBorders>
              <w:left w:val="single" w:color="000000" w:sz="4" w:space="0"/>
              <w:bottom w:val="single" w:color="000000" w:sz="4" w:space="0"/>
              <w:right w:val="single" w:color="000000" w:sz="4" w:space="0"/>
            </w:tcBorders>
            <w:shd w:val="clear" w:color="auto" w:fill="auto"/>
            <w:vAlign w:val="center"/>
          </w:tcPr>
          <w:p w14:paraId="5A2AD6EE">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b/>
                <w:bCs/>
                <w:i w:val="0"/>
                <w:iCs w:val="0"/>
                <w:color w:val="000000"/>
                <w:sz w:val="18"/>
                <w:szCs w:val="18"/>
                <w:highlight w:val="none"/>
                <w:u w:val="none"/>
              </w:rPr>
            </w:pPr>
          </w:p>
        </w:tc>
        <w:tc>
          <w:tcPr>
            <w:tcW w:w="21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7A7F95E">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b/>
                <w:bCs/>
                <w:i w:val="0"/>
                <w:iCs w:val="0"/>
                <w:color w:val="000000"/>
                <w:sz w:val="18"/>
                <w:szCs w:val="18"/>
                <w:highlight w:val="none"/>
                <w:u w:val="none"/>
              </w:rPr>
            </w:pPr>
          </w:p>
        </w:tc>
        <w:tc>
          <w:tcPr>
            <w:tcW w:w="213" w:type="pct"/>
            <w:vMerge w:val="continue"/>
            <w:tcBorders>
              <w:left w:val="single" w:color="000000" w:sz="4" w:space="0"/>
              <w:bottom w:val="single" w:color="000000" w:sz="4" w:space="0"/>
              <w:right w:val="single" w:color="000000" w:sz="4" w:space="0"/>
            </w:tcBorders>
            <w:shd w:val="clear" w:color="auto" w:fill="auto"/>
            <w:vAlign w:val="center"/>
          </w:tcPr>
          <w:p w14:paraId="1D55305A">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b/>
                <w:bCs/>
                <w:i w:val="0"/>
                <w:iCs w:val="0"/>
                <w:color w:val="000000"/>
                <w:sz w:val="18"/>
                <w:szCs w:val="18"/>
                <w:highlight w:val="none"/>
                <w:u w:val="none"/>
                <w:lang w:eastAsia="zh-CN"/>
              </w:rPr>
            </w:pPr>
          </w:p>
        </w:tc>
        <w:tc>
          <w:tcPr>
            <w:tcW w:w="216" w:type="pct"/>
            <w:vMerge w:val="continue"/>
            <w:tcBorders>
              <w:left w:val="single" w:color="000000" w:sz="4" w:space="0"/>
              <w:bottom w:val="single" w:color="000000" w:sz="4" w:space="0"/>
              <w:right w:val="single" w:color="000000" w:sz="4" w:space="0"/>
            </w:tcBorders>
            <w:shd w:val="clear" w:color="auto" w:fill="auto"/>
            <w:vAlign w:val="center"/>
          </w:tcPr>
          <w:p w14:paraId="14445EBE">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b/>
                <w:bCs/>
                <w:i w:val="0"/>
                <w:iCs w:val="0"/>
                <w:color w:val="000000"/>
                <w:sz w:val="18"/>
                <w:szCs w:val="18"/>
                <w:highlight w:val="none"/>
                <w:u w:val="none"/>
              </w:rPr>
            </w:pPr>
          </w:p>
        </w:tc>
        <w:tc>
          <w:tcPr>
            <w:tcW w:w="24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B0E11A8">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b/>
                <w:bCs/>
                <w:i w:val="0"/>
                <w:iCs w:val="0"/>
                <w:color w:val="000000"/>
                <w:sz w:val="18"/>
                <w:szCs w:val="18"/>
                <w:highlight w:val="none"/>
                <w:u w:val="none"/>
              </w:rPr>
            </w:pPr>
          </w:p>
        </w:tc>
        <w:tc>
          <w:tcPr>
            <w:tcW w:w="252" w:type="pct"/>
            <w:vMerge w:val="continue"/>
            <w:tcBorders>
              <w:left w:val="single" w:color="000000" w:sz="4" w:space="0"/>
              <w:bottom w:val="single" w:color="000000" w:sz="4" w:space="0"/>
              <w:right w:val="single" w:color="000000" w:sz="4" w:space="0"/>
            </w:tcBorders>
            <w:shd w:val="clear" w:color="auto" w:fill="auto"/>
            <w:vAlign w:val="center"/>
          </w:tcPr>
          <w:p w14:paraId="125E4598">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b/>
                <w:bCs/>
                <w:i w:val="0"/>
                <w:iCs w:val="0"/>
                <w:color w:val="000000"/>
                <w:sz w:val="18"/>
                <w:szCs w:val="18"/>
                <w:highlight w:val="none"/>
                <w:u w:val="none"/>
              </w:rPr>
            </w:pPr>
          </w:p>
        </w:tc>
        <w:tc>
          <w:tcPr>
            <w:tcW w:w="20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CCA0383">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b/>
                <w:bCs/>
                <w:i w:val="0"/>
                <w:iCs w:val="0"/>
                <w:color w:val="000000"/>
                <w:sz w:val="18"/>
                <w:szCs w:val="18"/>
                <w:highlight w:val="none"/>
                <w:u w:val="none"/>
              </w:rPr>
            </w:pPr>
          </w:p>
        </w:tc>
        <w:tc>
          <w:tcPr>
            <w:tcW w:w="21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8B2C923">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b/>
                <w:bCs/>
                <w:i w:val="0"/>
                <w:iCs w:val="0"/>
                <w:color w:val="000000"/>
                <w:sz w:val="18"/>
                <w:szCs w:val="18"/>
                <w:highlight w:val="none"/>
                <w:u w:val="none"/>
              </w:rPr>
            </w:pPr>
          </w:p>
        </w:tc>
        <w:tc>
          <w:tcPr>
            <w:tcW w:w="19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2DE80C8">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b/>
                <w:bCs/>
                <w:i w:val="0"/>
                <w:iCs w:val="0"/>
                <w:color w:val="000000"/>
                <w:sz w:val="18"/>
                <w:szCs w:val="18"/>
                <w:highlight w:val="none"/>
                <w:u w:val="none"/>
              </w:rPr>
            </w:pPr>
          </w:p>
        </w:tc>
        <w:tc>
          <w:tcPr>
            <w:tcW w:w="240" w:type="pct"/>
            <w:vMerge w:val="continue"/>
            <w:tcBorders>
              <w:left w:val="single" w:color="000000" w:sz="4" w:space="0"/>
              <w:bottom w:val="single" w:color="000000" w:sz="4" w:space="0"/>
              <w:right w:val="single" w:color="000000" w:sz="4" w:space="0"/>
            </w:tcBorders>
            <w:shd w:val="clear" w:color="auto" w:fill="auto"/>
            <w:noWrap/>
            <w:vAlign w:val="center"/>
          </w:tcPr>
          <w:p w14:paraId="46D2BC5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p>
        </w:tc>
        <w:tc>
          <w:tcPr>
            <w:tcW w:w="2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43656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组</w:t>
            </w:r>
            <w:r>
              <w:rPr>
                <w:rStyle w:val="46"/>
                <w:rFonts w:hint="default" w:ascii="Times New Roman" w:hAnsi="Times New Roman" w:eastAsia="宋体" w:cs="Times New Roman"/>
                <w:b/>
                <w:bCs/>
                <w:sz w:val="18"/>
                <w:szCs w:val="18"/>
                <w:highlight w:val="none"/>
                <w:lang w:val="en-US" w:eastAsia="zh-CN" w:bidi="ar"/>
              </w:rPr>
              <w:t>I</w:t>
            </w:r>
          </w:p>
        </w:tc>
        <w:tc>
          <w:tcPr>
            <w:tcW w:w="20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C4C9C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组</w:t>
            </w:r>
            <w:r>
              <w:rPr>
                <w:rStyle w:val="46"/>
                <w:rFonts w:hint="default" w:ascii="Times New Roman" w:hAnsi="Times New Roman" w:eastAsia="宋体" w:cs="Times New Roman"/>
                <w:b/>
                <w:bCs/>
                <w:sz w:val="18"/>
                <w:szCs w:val="18"/>
                <w:highlight w:val="none"/>
                <w:lang w:val="en-US" w:eastAsia="zh-CN" w:bidi="ar"/>
              </w:rPr>
              <w:t>II</w:t>
            </w:r>
          </w:p>
        </w:tc>
      </w:tr>
      <w:tr w14:paraId="62FCFA0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8" w:hRule="atLeast"/>
          <w:jc w:val="center"/>
        </w:trPr>
        <w:tc>
          <w:tcPr>
            <w:tcW w:w="213" w:type="pct"/>
            <w:vMerge w:val="restart"/>
            <w:tcBorders>
              <w:top w:val="single" w:color="000000" w:sz="4" w:space="0"/>
              <w:left w:val="single" w:color="000000" w:sz="4" w:space="0"/>
              <w:right w:val="single" w:color="000000" w:sz="4" w:space="0"/>
            </w:tcBorders>
            <w:shd w:val="clear" w:color="auto" w:fill="auto"/>
            <w:vAlign w:val="center"/>
          </w:tcPr>
          <w:p w14:paraId="0485D88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水性涂料</w:t>
            </w:r>
          </w:p>
        </w:tc>
        <w:tc>
          <w:tcPr>
            <w:tcW w:w="3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6980B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底漆</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0E49F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≤380</w:t>
            </w:r>
          </w:p>
        </w:tc>
        <w:tc>
          <w:tcPr>
            <w:tcW w:w="30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1A919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5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2BDF1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82F40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val="0"/>
                <w:bCs w:val="0"/>
                <w:i w:val="0"/>
                <w:iCs w:val="0"/>
                <w:color w:val="000000"/>
                <w:kern w:val="0"/>
                <w:sz w:val="18"/>
                <w:szCs w:val="18"/>
                <w:highlight w:val="none"/>
                <w:u w:val="none"/>
                <w:lang w:val="en-US" w:eastAsia="zh-CN" w:bidi="ar"/>
              </w:rPr>
            </w:pPr>
            <w:r>
              <w:rPr>
                <w:rFonts w:hint="default" w:ascii="Times New Roman" w:hAnsi="Times New Roman" w:eastAsia="宋体" w:cs="Times New Roman"/>
                <w:b w:val="0"/>
                <w:bCs w:val="0"/>
                <w:i w:val="0"/>
                <w:iCs w:val="0"/>
                <w:color w:val="000000"/>
                <w:kern w:val="0"/>
                <w:sz w:val="18"/>
                <w:szCs w:val="18"/>
                <w:highlight w:val="none"/>
                <w:u w:val="none"/>
                <w:lang w:val="en-US" w:eastAsia="zh-CN" w:bidi="ar"/>
              </w:rPr>
              <w:t>≤380</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05565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lang w:val="en-US" w:eastAsia="zh-CN"/>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64876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≤540</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A3696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4FE6A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val="0"/>
                <w:bCs w:val="0"/>
                <w:i w:val="0"/>
                <w:iCs w:val="0"/>
                <w:color w:val="000000"/>
                <w:kern w:val="0"/>
                <w:sz w:val="18"/>
                <w:szCs w:val="18"/>
                <w:highlight w:val="none"/>
                <w:u w:val="none"/>
                <w:lang w:val="en-US" w:eastAsia="zh-CN" w:bidi="ar"/>
              </w:rPr>
            </w:pPr>
            <w:r>
              <w:rPr>
                <w:rFonts w:hint="eastAsia" w:cs="Times New Roman"/>
                <w:b w:val="0"/>
                <w:bCs w:val="0"/>
                <w:i w:val="0"/>
                <w:iCs w:val="0"/>
                <w:color w:val="000000"/>
                <w:kern w:val="0"/>
                <w:sz w:val="18"/>
                <w:szCs w:val="18"/>
                <w:highlight w:val="none"/>
                <w:u w:val="none"/>
                <w:lang w:val="en-US" w:eastAsia="zh-CN" w:bidi="ar"/>
              </w:rPr>
              <w:t>/</w:t>
            </w:r>
          </w:p>
        </w:tc>
        <w:tc>
          <w:tcPr>
            <w:tcW w:w="2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890CF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1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407AB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≤540</w:t>
            </w:r>
          </w:p>
        </w:tc>
        <w:tc>
          <w:tcPr>
            <w:tcW w:w="2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932D2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w:t>
            </w:r>
            <w:r>
              <w:rPr>
                <w:rFonts w:hint="default" w:ascii="Times New Roman" w:hAnsi="Times New Roman" w:cs="Times New Roman"/>
                <w:i w:val="0"/>
                <w:iCs w:val="0"/>
                <w:color w:val="000000"/>
                <w:kern w:val="0"/>
                <w:sz w:val="18"/>
                <w:szCs w:val="18"/>
                <w:highlight w:val="none"/>
                <w:u w:val="none"/>
                <w:lang w:val="en-US" w:eastAsia="zh-CN" w:bidi="ar"/>
              </w:rPr>
              <w:t>540</w:t>
            </w:r>
          </w:p>
        </w:tc>
        <w:tc>
          <w:tcPr>
            <w:tcW w:w="24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373D8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lang w:val="en-US" w:eastAsia="zh-CN"/>
              </w:rPr>
            </w:pPr>
            <w:r>
              <w:rPr>
                <w:rFonts w:hint="default" w:ascii="Times New Roman" w:hAnsi="Times New Roman" w:cs="Times New Roman"/>
                <w:i w:val="0"/>
                <w:iCs w:val="0"/>
                <w:color w:val="000000"/>
                <w:sz w:val="18"/>
                <w:szCs w:val="18"/>
                <w:highlight w:val="none"/>
                <w:u w:val="none"/>
                <w:lang w:val="en-US" w:eastAsia="zh-CN"/>
              </w:rPr>
              <w:t>/</w:t>
            </w:r>
          </w:p>
        </w:tc>
        <w:tc>
          <w:tcPr>
            <w:tcW w:w="2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8F0FB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≤540</w:t>
            </w:r>
          </w:p>
        </w:tc>
        <w:tc>
          <w:tcPr>
            <w:tcW w:w="2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04702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≤540</w:t>
            </w:r>
          </w:p>
        </w:tc>
        <w:tc>
          <w:tcPr>
            <w:tcW w:w="21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E335C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≤540</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5E91F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≤580</w:t>
            </w:r>
          </w:p>
        </w:tc>
        <w:tc>
          <w:tcPr>
            <w:tcW w:w="2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CCA45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≤250</w:t>
            </w:r>
          </w:p>
        </w:tc>
        <w:tc>
          <w:tcPr>
            <w:tcW w:w="29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10A3D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≤250</w:t>
            </w:r>
          </w:p>
        </w:tc>
        <w:tc>
          <w:tcPr>
            <w:tcW w:w="20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76799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≤250</w:t>
            </w:r>
          </w:p>
        </w:tc>
      </w:tr>
      <w:tr w14:paraId="591CD6D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8" w:hRule="atLeast"/>
          <w:jc w:val="center"/>
        </w:trPr>
        <w:tc>
          <w:tcPr>
            <w:tcW w:w="213" w:type="pct"/>
            <w:vMerge w:val="continue"/>
            <w:tcBorders>
              <w:left w:val="single" w:color="000000" w:sz="4" w:space="0"/>
              <w:right w:val="single" w:color="000000" w:sz="4" w:space="0"/>
            </w:tcBorders>
            <w:shd w:val="clear" w:color="auto" w:fill="auto"/>
            <w:vAlign w:val="center"/>
          </w:tcPr>
          <w:p w14:paraId="05098CE8">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18"/>
                <w:szCs w:val="18"/>
                <w:highlight w:val="none"/>
                <w:u w:val="none"/>
              </w:rPr>
            </w:pPr>
          </w:p>
        </w:tc>
        <w:tc>
          <w:tcPr>
            <w:tcW w:w="3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8E07E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中涂</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B98DA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≤380</w:t>
            </w:r>
          </w:p>
        </w:tc>
        <w:tc>
          <w:tcPr>
            <w:tcW w:w="30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EE6FA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5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E5519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5F5A5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val="0"/>
                <w:bCs w:val="0"/>
                <w:i w:val="0"/>
                <w:iCs w:val="0"/>
                <w:color w:val="000000"/>
                <w:kern w:val="0"/>
                <w:sz w:val="18"/>
                <w:szCs w:val="18"/>
                <w:highlight w:val="none"/>
                <w:u w:val="none"/>
                <w:lang w:val="en-US" w:eastAsia="zh-CN" w:bidi="ar"/>
              </w:rPr>
            </w:pPr>
            <w:r>
              <w:rPr>
                <w:rFonts w:hint="default" w:ascii="Times New Roman" w:hAnsi="Times New Roman" w:eastAsia="宋体" w:cs="Times New Roman"/>
                <w:b w:val="0"/>
                <w:bCs w:val="0"/>
                <w:i w:val="0"/>
                <w:iCs w:val="0"/>
                <w:color w:val="000000"/>
                <w:kern w:val="0"/>
                <w:sz w:val="18"/>
                <w:szCs w:val="18"/>
                <w:highlight w:val="none"/>
                <w:u w:val="none"/>
                <w:lang w:val="en-US" w:eastAsia="zh-CN" w:bidi="ar"/>
              </w:rPr>
              <w:t>≤380</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13415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lang w:val="en-US" w:eastAsia="zh-CN"/>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D7A8D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≤540</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532D3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D1F08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val="0"/>
                <w:bCs w:val="0"/>
                <w:i w:val="0"/>
                <w:iCs w:val="0"/>
                <w:color w:val="000000"/>
                <w:kern w:val="0"/>
                <w:sz w:val="18"/>
                <w:szCs w:val="18"/>
                <w:highlight w:val="none"/>
                <w:u w:val="none"/>
                <w:lang w:val="en-US" w:eastAsia="zh-CN" w:bidi="ar"/>
              </w:rPr>
            </w:pPr>
            <w:r>
              <w:rPr>
                <w:rFonts w:hint="eastAsia" w:cs="Times New Roman"/>
                <w:b w:val="0"/>
                <w:bCs w:val="0"/>
                <w:i w:val="0"/>
                <w:iCs w:val="0"/>
                <w:color w:val="000000"/>
                <w:kern w:val="0"/>
                <w:sz w:val="18"/>
                <w:szCs w:val="18"/>
                <w:highlight w:val="none"/>
                <w:u w:val="none"/>
                <w:lang w:val="en-US" w:eastAsia="zh-CN" w:bidi="ar"/>
              </w:rPr>
              <w:t>/</w:t>
            </w:r>
          </w:p>
        </w:tc>
        <w:tc>
          <w:tcPr>
            <w:tcW w:w="2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FEACF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1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028D8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≤540</w:t>
            </w:r>
          </w:p>
        </w:tc>
        <w:tc>
          <w:tcPr>
            <w:tcW w:w="2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6A1BE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w:t>
            </w:r>
            <w:r>
              <w:rPr>
                <w:rFonts w:hint="default" w:ascii="Times New Roman" w:hAnsi="Times New Roman" w:cs="Times New Roman"/>
                <w:i w:val="0"/>
                <w:iCs w:val="0"/>
                <w:color w:val="000000"/>
                <w:kern w:val="0"/>
                <w:sz w:val="18"/>
                <w:szCs w:val="18"/>
                <w:highlight w:val="none"/>
                <w:u w:val="none"/>
                <w:lang w:val="en-US" w:eastAsia="zh-CN" w:bidi="ar"/>
              </w:rPr>
              <w:t>540</w:t>
            </w:r>
          </w:p>
        </w:tc>
        <w:tc>
          <w:tcPr>
            <w:tcW w:w="24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89B9A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lang w:val="en-US" w:eastAsia="zh-CN"/>
              </w:rPr>
            </w:pPr>
            <w:r>
              <w:rPr>
                <w:rFonts w:hint="default" w:ascii="Times New Roman" w:hAnsi="Times New Roman" w:cs="Times New Roman"/>
                <w:i w:val="0"/>
                <w:iCs w:val="0"/>
                <w:color w:val="000000"/>
                <w:sz w:val="18"/>
                <w:szCs w:val="18"/>
                <w:highlight w:val="none"/>
                <w:u w:val="none"/>
                <w:lang w:val="en-US" w:eastAsia="zh-CN"/>
              </w:rPr>
              <w:t>/</w:t>
            </w:r>
          </w:p>
        </w:tc>
        <w:tc>
          <w:tcPr>
            <w:tcW w:w="2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90C7C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B1D9D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≤780</w:t>
            </w:r>
          </w:p>
        </w:tc>
        <w:tc>
          <w:tcPr>
            <w:tcW w:w="21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71F8F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≤780</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27DD7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B59D7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9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90433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0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43D8E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r>
      <w:tr w14:paraId="16D64F1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6" w:hRule="atLeast"/>
          <w:jc w:val="center"/>
        </w:trPr>
        <w:tc>
          <w:tcPr>
            <w:tcW w:w="213" w:type="pct"/>
            <w:vMerge w:val="continue"/>
            <w:tcBorders>
              <w:left w:val="single" w:color="000000" w:sz="4" w:space="0"/>
              <w:right w:val="single" w:color="000000" w:sz="4" w:space="0"/>
            </w:tcBorders>
            <w:shd w:val="clear" w:color="auto" w:fill="auto"/>
            <w:vAlign w:val="center"/>
          </w:tcPr>
          <w:p w14:paraId="4F4C32F6">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18"/>
                <w:szCs w:val="18"/>
                <w:highlight w:val="none"/>
                <w:u w:val="none"/>
              </w:rPr>
            </w:pPr>
          </w:p>
        </w:tc>
        <w:tc>
          <w:tcPr>
            <w:tcW w:w="3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1105B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色漆-底色漆</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6D77B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≤380</w:t>
            </w:r>
          </w:p>
        </w:tc>
        <w:tc>
          <w:tcPr>
            <w:tcW w:w="30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35C40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≤380</w:t>
            </w:r>
          </w:p>
        </w:tc>
        <w:tc>
          <w:tcPr>
            <w:tcW w:w="25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E9E17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≤420</w:t>
            </w:r>
          </w:p>
        </w:tc>
        <w:tc>
          <w:tcPr>
            <w:tcW w:w="2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CCE29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val="0"/>
                <w:bCs w:val="0"/>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≤420</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FECCC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≤380</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18962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≤380</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A2071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≤380</w:t>
            </w:r>
          </w:p>
        </w:tc>
        <w:tc>
          <w:tcPr>
            <w:tcW w:w="3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16892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val="0"/>
                <w:bCs w:val="0"/>
                <w:i w:val="0"/>
                <w:iCs w:val="0"/>
                <w:color w:val="000000"/>
                <w:kern w:val="0"/>
                <w:sz w:val="18"/>
                <w:szCs w:val="18"/>
                <w:highlight w:val="none"/>
                <w:u w:val="none"/>
                <w:lang w:val="en-US" w:eastAsia="zh-CN" w:bidi="ar"/>
              </w:rPr>
            </w:pPr>
            <w:r>
              <w:rPr>
                <w:rFonts w:hint="default" w:ascii="Times New Roman" w:hAnsi="Times New Roman" w:eastAsia="宋体" w:cs="Times New Roman"/>
                <w:b w:val="0"/>
                <w:bCs w:val="0"/>
                <w:i w:val="0"/>
                <w:iCs w:val="0"/>
                <w:color w:val="000000"/>
                <w:kern w:val="0"/>
                <w:sz w:val="18"/>
                <w:szCs w:val="18"/>
                <w:highlight w:val="none"/>
                <w:u w:val="none"/>
                <w:lang w:val="en-US" w:eastAsia="zh-CN" w:bidi="ar"/>
              </w:rPr>
              <w:t>≤380</w:t>
            </w:r>
          </w:p>
        </w:tc>
        <w:tc>
          <w:tcPr>
            <w:tcW w:w="2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A51D8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≤420</w:t>
            </w:r>
          </w:p>
        </w:tc>
        <w:tc>
          <w:tcPr>
            <w:tcW w:w="21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7A05A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≤380</w:t>
            </w:r>
          </w:p>
        </w:tc>
        <w:tc>
          <w:tcPr>
            <w:tcW w:w="2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45585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w:t>
            </w:r>
            <w:r>
              <w:rPr>
                <w:rFonts w:hint="default" w:ascii="Times New Roman" w:hAnsi="Times New Roman" w:cs="Times New Roman"/>
                <w:i w:val="0"/>
                <w:iCs w:val="0"/>
                <w:color w:val="000000"/>
                <w:kern w:val="0"/>
                <w:sz w:val="18"/>
                <w:szCs w:val="18"/>
                <w:highlight w:val="none"/>
                <w:u w:val="none"/>
                <w:lang w:val="en-US" w:eastAsia="zh-CN" w:bidi="ar"/>
              </w:rPr>
              <w:t>420</w:t>
            </w:r>
          </w:p>
        </w:tc>
        <w:tc>
          <w:tcPr>
            <w:tcW w:w="24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39E9A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≤380</w:t>
            </w:r>
          </w:p>
        </w:tc>
        <w:tc>
          <w:tcPr>
            <w:tcW w:w="2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9DA4B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≤420</w:t>
            </w:r>
          </w:p>
        </w:tc>
        <w:tc>
          <w:tcPr>
            <w:tcW w:w="2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5E19E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≤420</w:t>
            </w:r>
          </w:p>
        </w:tc>
        <w:tc>
          <w:tcPr>
            <w:tcW w:w="21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EA490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≤420</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2F401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≤630</w:t>
            </w:r>
          </w:p>
        </w:tc>
        <w:tc>
          <w:tcPr>
            <w:tcW w:w="2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56BB9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≤420</w:t>
            </w:r>
          </w:p>
        </w:tc>
        <w:tc>
          <w:tcPr>
            <w:tcW w:w="29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3CD8F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0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89A0D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r>
      <w:tr w14:paraId="1890408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6" w:hRule="atLeast"/>
          <w:jc w:val="center"/>
        </w:trPr>
        <w:tc>
          <w:tcPr>
            <w:tcW w:w="213" w:type="pct"/>
            <w:vMerge w:val="continue"/>
            <w:tcBorders>
              <w:left w:val="single" w:color="000000" w:sz="4" w:space="0"/>
              <w:right w:val="single" w:color="000000" w:sz="4" w:space="0"/>
            </w:tcBorders>
            <w:shd w:val="clear" w:color="auto" w:fill="auto"/>
            <w:vAlign w:val="center"/>
          </w:tcPr>
          <w:p w14:paraId="22ACDB58">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18"/>
                <w:szCs w:val="18"/>
                <w:highlight w:val="none"/>
                <w:u w:val="none"/>
              </w:rPr>
            </w:pPr>
          </w:p>
        </w:tc>
        <w:tc>
          <w:tcPr>
            <w:tcW w:w="3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465C2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色漆-本色面漆</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B5AE6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≤380</w:t>
            </w:r>
          </w:p>
        </w:tc>
        <w:tc>
          <w:tcPr>
            <w:tcW w:w="30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79BB3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≤380</w:t>
            </w:r>
          </w:p>
        </w:tc>
        <w:tc>
          <w:tcPr>
            <w:tcW w:w="25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08EE3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≤420</w:t>
            </w:r>
          </w:p>
        </w:tc>
        <w:tc>
          <w:tcPr>
            <w:tcW w:w="2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59913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val="0"/>
                <w:bCs w:val="0"/>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≤420</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81159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≤380</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C8CAD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≤380</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7E2B7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≤380</w:t>
            </w:r>
          </w:p>
        </w:tc>
        <w:tc>
          <w:tcPr>
            <w:tcW w:w="3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3E39B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val="0"/>
                <w:bCs w:val="0"/>
                <w:i w:val="0"/>
                <w:iCs w:val="0"/>
                <w:color w:val="000000"/>
                <w:kern w:val="0"/>
                <w:sz w:val="18"/>
                <w:szCs w:val="18"/>
                <w:highlight w:val="none"/>
                <w:u w:val="none"/>
                <w:lang w:val="en-US" w:eastAsia="zh-CN" w:bidi="ar"/>
              </w:rPr>
            </w:pPr>
            <w:r>
              <w:rPr>
                <w:rFonts w:hint="default" w:ascii="Times New Roman" w:hAnsi="Times New Roman" w:eastAsia="宋体" w:cs="Times New Roman"/>
                <w:b w:val="0"/>
                <w:bCs w:val="0"/>
                <w:i w:val="0"/>
                <w:iCs w:val="0"/>
                <w:color w:val="000000"/>
                <w:kern w:val="0"/>
                <w:sz w:val="18"/>
                <w:szCs w:val="18"/>
                <w:highlight w:val="none"/>
                <w:u w:val="none"/>
                <w:lang w:val="en-US" w:eastAsia="zh-CN" w:bidi="ar"/>
              </w:rPr>
              <w:t>≤380</w:t>
            </w:r>
          </w:p>
        </w:tc>
        <w:tc>
          <w:tcPr>
            <w:tcW w:w="2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9582F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≤420</w:t>
            </w:r>
          </w:p>
        </w:tc>
        <w:tc>
          <w:tcPr>
            <w:tcW w:w="21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F4EDA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≤380</w:t>
            </w:r>
          </w:p>
        </w:tc>
        <w:tc>
          <w:tcPr>
            <w:tcW w:w="2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2B122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w:t>
            </w:r>
            <w:r>
              <w:rPr>
                <w:rFonts w:hint="default" w:ascii="Times New Roman" w:hAnsi="Times New Roman" w:cs="Times New Roman"/>
                <w:i w:val="0"/>
                <w:iCs w:val="0"/>
                <w:color w:val="000000"/>
                <w:kern w:val="0"/>
                <w:sz w:val="18"/>
                <w:szCs w:val="18"/>
                <w:highlight w:val="none"/>
                <w:u w:val="none"/>
                <w:lang w:val="en-US" w:eastAsia="zh-CN" w:bidi="ar"/>
              </w:rPr>
              <w:t>420</w:t>
            </w:r>
          </w:p>
        </w:tc>
        <w:tc>
          <w:tcPr>
            <w:tcW w:w="24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EB31F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≤380</w:t>
            </w:r>
          </w:p>
        </w:tc>
        <w:tc>
          <w:tcPr>
            <w:tcW w:w="2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0CB0D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≤420</w:t>
            </w:r>
          </w:p>
        </w:tc>
        <w:tc>
          <w:tcPr>
            <w:tcW w:w="2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318DB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≤420</w:t>
            </w:r>
          </w:p>
        </w:tc>
        <w:tc>
          <w:tcPr>
            <w:tcW w:w="21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A1238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≤420</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81445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≤600</w:t>
            </w:r>
          </w:p>
        </w:tc>
        <w:tc>
          <w:tcPr>
            <w:tcW w:w="2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C03B7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≤340</w:t>
            </w:r>
          </w:p>
        </w:tc>
        <w:tc>
          <w:tcPr>
            <w:tcW w:w="29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1C8D6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≤340（金属面漆≤420）</w:t>
            </w:r>
          </w:p>
        </w:tc>
        <w:tc>
          <w:tcPr>
            <w:tcW w:w="20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D0615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≤420</w:t>
            </w:r>
          </w:p>
        </w:tc>
      </w:tr>
      <w:tr w14:paraId="56BDB88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6" w:hRule="atLeast"/>
          <w:jc w:val="center"/>
        </w:trPr>
        <w:tc>
          <w:tcPr>
            <w:tcW w:w="213" w:type="pct"/>
            <w:vMerge w:val="continue"/>
            <w:tcBorders>
              <w:left w:val="single" w:color="000000" w:sz="4" w:space="0"/>
              <w:bottom w:val="single" w:color="000000" w:sz="4" w:space="0"/>
              <w:right w:val="single" w:color="000000" w:sz="4" w:space="0"/>
            </w:tcBorders>
            <w:shd w:val="clear" w:color="auto" w:fill="auto"/>
            <w:vAlign w:val="center"/>
          </w:tcPr>
          <w:p w14:paraId="28F494CC">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18"/>
                <w:szCs w:val="18"/>
                <w:highlight w:val="none"/>
                <w:u w:val="none"/>
              </w:rPr>
            </w:pPr>
          </w:p>
        </w:tc>
        <w:tc>
          <w:tcPr>
            <w:tcW w:w="3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F251E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eastAsia" w:cs="Times New Roman"/>
                <w:i w:val="0"/>
                <w:iCs w:val="0"/>
                <w:color w:val="000000"/>
                <w:kern w:val="0"/>
                <w:sz w:val="18"/>
                <w:szCs w:val="18"/>
                <w:highlight w:val="none"/>
                <w:u w:val="none"/>
                <w:lang w:val="en-US" w:eastAsia="zh-CN" w:bidi="ar"/>
              </w:rPr>
              <w:t>罩光清漆</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DFEE7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r>
              <w:rPr>
                <w:rFonts w:hint="default" w:ascii="Times New Roman" w:hAnsi="Times New Roman" w:eastAsia="宋体" w:cs="Times New Roman"/>
                <w:b/>
                <w:bCs/>
                <w:i w:val="0"/>
                <w:iCs w:val="0"/>
                <w:color w:val="000000"/>
                <w:kern w:val="0"/>
                <w:sz w:val="18"/>
                <w:szCs w:val="18"/>
                <w:highlight w:val="none"/>
                <w:u w:val="none"/>
                <w:lang w:val="en-US" w:eastAsia="zh-CN" w:bidi="ar"/>
              </w:rPr>
              <w:t>≤420</w:t>
            </w:r>
          </w:p>
        </w:tc>
        <w:tc>
          <w:tcPr>
            <w:tcW w:w="30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E492D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eastAsia" w:cs="Times New Roman"/>
                <w:i w:val="0"/>
                <w:iCs w:val="0"/>
                <w:color w:val="000000"/>
                <w:kern w:val="0"/>
                <w:sz w:val="18"/>
                <w:szCs w:val="18"/>
                <w:highlight w:val="none"/>
                <w:u w:val="none"/>
                <w:lang w:val="en-US" w:eastAsia="zh-CN" w:bidi="ar"/>
              </w:rPr>
              <w:t>/</w:t>
            </w:r>
          </w:p>
        </w:tc>
        <w:tc>
          <w:tcPr>
            <w:tcW w:w="25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9965E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eastAsia" w:cs="Times New Roman"/>
                <w:i w:val="0"/>
                <w:iCs w:val="0"/>
                <w:color w:val="000000"/>
                <w:kern w:val="0"/>
                <w:sz w:val="18"/>
                <w:szCs w:val="18"/>
                <w:highlight w:val="none"/>
                <w:u w:val="none"/>
                <w:lang w:val="en-US" w:eastAsia="zh-CN" w:bidi="ar"/>
              </w:rPr>
              <w:t>/</w:t>
            </w:r>
          </w:p>
        </w:tc>
        <w:tc>
          <w:tcPr>
            <w:tcW w:w="2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4D143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val="0"/>
                <w:bCs w:val="0"/>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≤420</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2F046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eastAsia" w:cs="Times New Roman"/>
                <w:i w:val="0"/>
                <w:iCs w:val="0"/>
                <w:color w:val="000000"/>
                <w:kern w:val="0"/>
                <w:sz w:val="18"/>
                <w:szCs w:val="18"/>
                <w:highlight w:val="none"/>
                <w:u w:val="none"/>
                <w:lang w:val="en-US" w:eastAsia="zh-CN" w:bidi="ar"/>
              </w:rPr>
              <w:t>/</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64686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eastAsia" w:cs="Times New Roman"/>
                <w:i w:val="0"/>
                <w:iCs w:val="0"/>
                <w:color w:val="000000"/>
                <w:kern w:val="0"/>
                <w:sz w:val="18"/>
                <w:szCs w:val="18"/>
                <w:highlight w:val="none"/>
                <w:u w:val="none"/>
                <w:lang w:val="en-US" w:eastAsia="zh-CN" w:bidi="ar"/>
              </w:rPr>
              <w:t>/</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3757D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eastAsia" w:cs="Times New Roman"/>
                <w:i w:val="0"/>
                <w:iCs w:val="0"/>
                <w:color w:val="000000"/>
                <w:kern w:val="0"/>
                <w:sz w:val="18"/>
                <w:szCs w:val="18"/>
                <w:highlight w:val="none"/>
                <w:u w:val="none"/>
                <w:lang w:val="en-US" w:eastAsia="zh-CN" w:bidi="ar"/>
              </w:rPr>
              <w:t>/</w:t>
            </w:r>
          </w:p>
        </w:tc>
        <w:tc>
          <w:tcPr>
            <w:tcW w:w="3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2A5D3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val="0"/>
                <w:bCs w:val="0"/>
                <w:i w:val="0"/>
                <w:iCs w:val="0"/>
                <w:color w:val="000000"/>
                <w:kern w:val="0"/>
                <w:sz w:val="18"/>
                <w:szCs w:val="18"/>
                <w:highlight w:val="none"/>
                <w:u w:val="none"/>
                <w:lang w:val="en-US" w:eastAsia="zh-CN" w:bidi="ar"/>
              </w:rPr>
            </w:pPr>
            <w:r>
              <w:rPr>
                <w:rFonts w:hint="eastAsia" w:cs="Times New Roman"/>
                <w:i w:val="0"/>
                <w:iCs w:val="0"/>
                <w:color w:val="000000"/>
                <w:kern w:val="0"/>
                <w:sz w:val="18"/>
                <w:szCs w:val="18"/>
                <w:highlight w:val="none"/>
                <w:u w:val="none"/>
                <w:lang w:val="en-US" w:eastAsia="zh-CN" w:bidi="ar"/>
              </w:rPr>
              <w:t>/</w:t>
            </w:r>
          </w:p>
        </w:tc>
        <w:tc>
          <w:tcPr>
            <w:tcW w:w="2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A6772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eastAsia" w:cs="Times New Roman"/>
                <w:i w:val="0"/>
                <w:iCs w:val="0"/>
                <w:color w:val="000000"/>
                <w:kern w:val="0"/>
                <w:sz w:val="18"/>
                <w:szCs w:val="18"/>
                <w:highlight w:val="none"/>
                <w:u w:val="none"/>
                <w:lang w:val="en-US" w:eastAsia="zh-CN" w:bidi="ar"/>
              </w:rPr>
              <w:t>/</w:t>
            </w:r>
          </w:p>
        </w:tc>
        <w:tc>
          <w:tcPr>
            <w:tcW w:w="21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1BDB1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eastAsia" w:cs="Times New Roman"/>
                <w:i w:val="0"/>
                <w:iCs w:val="0"/>
                <w:color w:val="000000"/>
                <w:kern w:val="0"/>
                <w:sz w:val="18"/>
                <w:szCs w:val="18"/>
                <w:highlight w:val="none"/>
                <w:u w:val="none"/>
                <w:lang w:val="en-US" w:eastAsia="zh-CN" w:bidi="ar"/>
              </w:rPr>
              <w:t>/</w:t>
            </w:r>
          </w:p>
        </w:tc>
        <w:tc>
          <w:tcPr>
            <w:tcW w:w="2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CA6C6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eastAsia" w:cs="Times New Roman"/>
                <w:i w:val="0"/>
                <w:iCs w:val="0"/>
                <w:color w:val="000000"/>
                <w:kern w:val="0"/>
                <w:sz w:val="18"/>
                <w:szCs w:val="18"/>
                <w:highlight w:val="none"/>
                <w:u w:val="none"/>
                <w:lang w:val="en-US" w:eastAsia="zh-CN" w:bidi="ar"/>
              </w:rPr>
              <w:t>/</w:t>
            </w:r>
          </w:p>
        </w:tc>
        <w:tc>
          <w:tcPr>
            <w:tcW w:w="24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64FE5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eastAsia" w:cs="Times New Roman"/>
                <w:i w:val="0"/>
                <w:iCs w:val="0"/>
                <w:color w:val="000000"/>
                <w:kern w:val="0"/>
                <w:sz w:val="18"/>
                <w:szCs w:val="18"/>
                <w:highlight w:val="none"/>
                <w:u w:val="none"/>
                <w:lang w:val="en-US" w:eastAsia="zh-CN" w:bidi="ar"/>
              </w:rPr>
              <w:t>/</w:t>
            </w:r>
          </w:p>
        </w:tc>
        <w:tc>
          <w:tcPr>
            <w:tcW w:w="2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2BC7D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eastAsia" w:cs="Times New Roman"/>
                <w:i w:val="0"/>
                <w:iCs w:val="0"/>
                <w:color w:val="000000"/>
                <w:kern w:val="0"/>
                <w:sz w:val="18"/>
                <w:szCs w:val="18"/>
                <w:highlight w:val="none"/>
                <w:u w:val="none"/>
                <w:lang w:val="en-US" w:eastAsia="zh-CN" w:bidi="ar"/>
              </w:rPr>
            </w:pPr>
            <w:r>
              <w:rPr>
                <w:rFonts w:hint="eastAsia" w:cs="Times New Roman"/>
                <w:i w:val="0"/>
                <w:iCs w:val="0"/>
                <w:color w:val="000000"/>
                <w:kern w:val="0"/>
                <w:sz w:val="18"/>
                <w:szCs w:val="18"/>
                <w:highlight w:val="none"/>
                <w:u w:val="none"/>
                <w:lang w:val="en-US" w:eastAsia="zh-CN" w:bidi="ar"/>
              </w:rPr>
              <w:t>420（非亚光）</w:t>
            </w:r>
          </w:p>
          <w:p w14:paraId="15D82DF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eastAsia" w:cs="Times New Roman"/>
                <w:i w:val="0"/>
                <w:iCs w:val="0"/>
                <w:color w:val="000000"/>
                <w:kern w:val="0"/>
                <w:sz w:val="18"/>
                <w:szCs w:val="18"/>
                <w:highlight w:val="none"/>
                <w:u w:val="none"/>
                <w:lang w:val="en-US" w:eastAsia="zh-CN" w:bidi="ar"/>
              </w:rPr>
              <w:t>840（亚光）</w:t>
            </w:r>
          </w:p>
        </w:tc>
        <w:tc>
          <w:tcPr>
            <w:tcW w:w="2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ECF61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w:t>
            </w:r>
            <w:r>
              <w:rPr>
                <w:rFonts w:hint="eastAsia" w:cs="Times New Roman"/>
                <w:i w:val="0"/>
                <w:iCs w:val="0"/>
                <w:color w:val="000000"/>
                <w:kern w:val="0"/>
                <w:sz w:val="18"/>
                <w:szCs w:val="18"/>
                <w:highlight w:val="none"/>
                <w:u w:val="none"/>
                <w:lang w:val="en-US" w:eastAsia="zh-CN" w:bidi="ar"/>
              </w:rPr>
              <w:t>84</w:t>
            </w:r>
            <w:r>
              <w:rPr>
                <w:rFonts w:hint="default" w:ascii="Times New Roman" w:hAnsi="Times New Roman" w:eastAsia="宋体" w:cs="Times New Roman"/>
                <w:i w:val="0"/>
                <w:iCs w:val="0"/>
                <w:color w:val="000000"/>
                <w:kern w:val="0"/>
                <w:sz w:val="18"/>
                <w:szCs w:val="18"/>
                <w:highlight w:val="none"/>
                <w:u w:val="none"/>
                <w:lang w:val="en-US" w:eastAsia="zh-CN" w:bidi="ar"/>
              </w:rPr>
              <w:t>0</w:t>
            </w:r>
          </w:p>
        </w:tc>
        <w:tc>
          <w:tcPr>
            <w:tcW w:w="21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677B1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w:t>
            </w:r>
            <w:r>
              <w:rPr>
                <w:rFonts w:hint="eastAsia" w:cs="Times New Roman"/>
                <w:i w:val="0"/>
                <w:iCs w:val="0"/>
                <w:color w:val="000000"/>
                <w:kern w:val="0"/>
                <w:sz w:val="18"/>
                <w:szCs w:val="18"/>
                <w:highlight w:val="none"/>
                <w:u w:val="none"/>
                <w:lang w:val="en-US" w:eastAsia="zh-CN" w:bidi="ar"/>
              </w:rPr>
              <w:t>84</w:t>
            </w:r>
            <w:r>
              <w:rPr>
                <w:rFonts w:hint="default" w:ascii="Times New Roman" w:hAnsi="Times New Roman" w:eastAsia="宋体" w:cs="Times New Roman"/>
                <w:i w:val="0"/>
                <w:iCs w:val="0"/>
                <w:color w:val="000000"/>
                <w:kern w:val="0"/>
                <w:sz w:val="18"/>
                <w:szCs w:val="18"/>
                <w:highlight w:val="none"/>
                <w:u w:val="none"/>
                <w:lang w:val="en-US" w:eastAsia="zh-CN" w:bidi="ar"/>
              </w:rPr>
              <w:t>0</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7FD9D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eastAsia" w:cs="Times New Roman"/>
                <w:i w:val="0"/>
                <w:iCs w:val="0"/>
                <w:color w:val="000000"/>
                <w:kern w:val="0"/>
                <w:sz w:val="18"/>
                <w:szCs w:val="18"/>
                <w:highlight w:val="none"/>
                <w:u w:val="none"/>
                <w:lang w:val="en-US" w:eastAsia="zh-CN" w:bidi="ar"/>
              </w:rPr>
              <w:t>/</w:t>
            </w:r>
          </w:p>
        </w:tc>
        <w:tc>
          <w:tcPr>
            <w:tcW w:w="7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A38EC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w:t>
            </w:r>
            <w:r>
              <w:rPr>
                <w:rFonts w:hint="eastAsia" w:cs="Times New Roman"/>
                <w:i w:val="0"/>
                <w:iCs w:val="0"/>
                <w:color w:val="000000"/>
                <w:kern w:val="0"/>
                <w:sz w:val="18"/>
                <w:szCs w:val="18"/>
                <w:highlight w:val="none"/>
                <w:u w:val="none"/>
                <w:lang w:val="en-US" w:eastAsia="zh-CN" w:bidi="ar"/>
              </w:rPr>
              <w:t>25</w:t>
            </w:r>
            <w:r>
              <w:rPr>
                <w:rFonts w:hint="default" w:ascii="Times New Roman" w:hAnsi="Times New Roman" w:eastAsia="宋体" w:cs="Times New Roman"/>
                <w:i w:val="0"/>
                <w:iCs w:val="0"/>
                <w:color w:val="000000"/>
                <w:kern w:val="0"/>
                <w:sz w:val="18"/>
                <w:szCs w:val="18"/>
                <w:highlight w:val="none"/>
                <w:u w:val="none"/>
                <w:lang w:val="en-US" w:eastAsia="zh-CN" w:bidi="ar"/>
              </w:rPr>
              <w:t>0</w:t>
            </w:r>
          </w:p>
        </w:tc>
        <w:tc>
          <w:tcPr>
            <w:tcW w:w="29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FAC70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eastAsia" w:cs="Times New Roman"/>
                <w:i w:val="0"/>
                <w:iCs w:val="0"/>
                <w:color w:val="000000"/>
                <w:kern w:val="0"/>
                <w:sz w:val="18"/>
                <w:szCs w:val="18"/>
                <w:highlight w:val="none"/>
                <w:u w:val="none"/>
                <w:lang w:val="en-US" w:eastAsia="zh-CN" w:bidi="ar"/>
              </w:rPr>
              <w:t>/</w:t>
            </w:r>
          </w:p>
        </w:tc>
        <w:tc>
          <w:tcPr>
            <w:tcW w:w="20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99784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eastAsia" w:cs="Times New Roman"/>
                <w:i w:val="0"/>
                <w:iCs w:val="0"/>
                <w:color w:val="000000"/>
                <w:kern w:val="0"/>
                <w:sz w:val="18"/>
                <w:szCs w:val="18"/>
                <w:highlight w:val="none"/>
                <w:u w:val="none"/>
                <w:lang w:val="en-US" w:eastAsia="zh-CN" w:bidi="ar"/>
              </w:rPr>
              <w:t>/</w:t>
            </w:r>
          </w:p>
        </w:tc>
      </w:tr>
      <w:tr w14:paraId="2D1BC70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3" w:hRule="atLeast"/>
          <w:jc w:val="center"/>
        </w:trPr>
        <w:tc>
          <w:tcPr>
            <w:tcW w:w="213"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3A538D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溶剂型涂料</w:t>
            </w:r>
          </w:p>
        </w:tc>
        <w:tc>
          <w:tcPr>
            <w:tcW w:w="3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C9AEA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底漆</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998E5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≤540</w:t>
            </w:r>
          </w:p>
        </w:tc>
        <w:tc>
          <w:tcPr>
            <w:tcW w:w="30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DABAB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≤540</w:t>
            </w:r>
          </w:p>
        </w:tc>
        <w:tc>
          <w:tcPr>
            <w:tcW w:w="25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35784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≤580</w:t>
            </w:r>
          </w:p>
        </w:tc>
        <w:tc>
          <w:tcPr>
            <w:tcW w:w="2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A3E79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≤580</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06088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≤540</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740AA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≤540</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354B7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≤540</w:t>
            </w:r>
          </w:p>
        </w:tc>
        <w:tc>
          <w:tcPr>
            <w:tcW w:w="3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A79DF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val="0"/>
                <w:bCs w:val="0"/>
                <w:i w:val="0"/>
                <w:iCs w:val="0"/>
                <w:color w:val="000000"/>
                <w:kern w:val="0"/>
                <w:sz w:val="18"/>
                <w:szCs w:val="18"/>
                <w:highlight w:val="none"/>
                <w:u w:val="none"/>
                <w:lang w:val="en-US" w:eastAsia="zh-CN" w:bidi="ar"/>
              </w:rPr>
            </w:pPr>
            <w:r>
              <w:rPr>
                <w:rFonts w:hint="default" w:ascii="Times New Roman" w:hAnsi="Times New Roman" w:eastAsia="宋体" w:cs="Times New Roman"/>
                <w:b w:val="0"/>
                <w:bCs w:val="0"/>
                <w:i w:val="0"/>
                <w:iCs w:val="0"/>
                <w:color w:val="000000"/>
                <w:kern w:val="0"/>
                <w:sz w:val="18"/>
                <w:szCs w:val="18"/>
                <w:highlight w:val="none"/>
                <w:u w:val="none"/>
                <w:lang w:val="en-US" w:eastAsia="zh-CN" w:bidi="ar"/>
              </w:rPr>
              <w:t>≤540</w:t>
            </w:r>
          </w:p>
        </w:tc>
        <w:tc>
          <w:tcPr>
            <w:tcW w:w="2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48732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≤580</w:t>
            </w:r>
          </w:p>
        </w:tc>
        <w:tc>
          <w:tcPr>
            <w:tcW w:w="21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CB100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≤540</w:t>
            </w:r>
          </w:p>
        </w:tc>
        <w:tc>
          <w:tcPr>
            <w:tcW w:w="2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C6D0F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w:t>
            </w:r>
            <w:r>
              <w:rPr>
                <w:rFonts w:hint="default" w:ascii="Times New Roman" w:hAnsi="Times New Roman" w:cs="Times New Roman"/>
                <w:i w:val="0"/>
                <w:iCs w:val="0"/>
                <w:color w:val="000000"/>
                <w:kern w:val="0"/>
                <w:sz w:val="18"/>
                <w:szCs w:val="18"/>
                <w:highlight w:val="none"/>
                <w:u w:val="none"/>
                <w:lang w:val="en-US" w:eastAsia="zh-CN" w:bidi="ar"/>
              </w:rPr>
              <w:t>670</w:t>
            </w:r>
          </w:p>
        </w:tc>
        <w:tc>
          <w:tcPr>
            <w:tcW w:w="24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70475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≤540</w:t>
            </w:r>
          </w:p>
        </w:tc>
        <w:tc>
          <w:tcPr>
            <w:tcW w:w="2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8DE11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≤540</w:t>
            </w:r>
          </w:p>
        </w:tc>
        <w:tc>
          <w:tcPr>
            <w:tcW w:w="2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DC859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≤540</w:t>
            </w:r>
          </w:p>
        </w:tc>
        <w:tc>
          <w:tcPr>
            <w:tcW w:w="21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D92D0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≤540</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55116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≤580</w:t>
            </w:r>
          </w:p>
        </w:tc>
        <w:tc>
          <w:tcPr>
            <w:tcW w:w="2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1654C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≤250</w:t>
            </w:r>
          </w:p>
        </w:tc>
        <w:tc>
          <w:tcPr>
            <w:tcW w:w="29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7D78C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≤250</w:t>
            </w:r>
          </w:p>
        </w:tc>
        <w:tc>
          <w:tcPr>
            <w:tcW w:w="20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6874A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≤250</w:t>
            </w:r>
          </w:p>
        </w:tc>
      </w:tr>
      <w:tr w14:paraId="34B4464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76" w:hRule="atLeast"/>
          <w:jc w:val="center"/>
        </w:trPr>
        <w:tc>
          <w:tcPr>
            <w:tcW w:w="21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683C0C9">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18"/>
                <w:szCs w:val="18"/>
                <w:highlight w:val="none"/>
                <w:u w:val="none"/>
              </w:rPr>
            </w:pPr>
          </w:p>
        </w:tc>
        <w:tc>
          <w:tcPr>
            <w:tcW w:w="3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33A4F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中涂</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E804D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≤540</w:t>
            </w:r>
          </w:p>
        </w:tc>
        <w:tc>
          <w:tcPr>
            <w:tcW w:w="30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592EC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≤540</w:t>
            </w:r>
          </w:p>
        </w:tc>
        <w:tc>
          <w:tcPr>
            <w:tcW w:w="25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8A9ED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≤560</w:t>
            </w:r>
          </w:p>
        </w:tc>
        <w:tc>
          <w:tcPr>
            <w:tcW w:w="2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6B182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≤560</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B5276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≤540</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F9D86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≤540</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DB01A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≤540</w:t>
            </w:r>
          </w:p>
        </w:tc>
        <w:tc>
          <w:tcPr>
            <w:tcW w:w="3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A0E1B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val="0"/>
                <w:bCs w:val="0"/>
                <w:i w:val="0"/>
                <w:iCs w:val="0"/>
                <w:color w:val="000000"/>
                <w:kern w:val="0"/>
                <w:sz w:val="18"/>
                <w:szCs w:val="18"/>
                <w:highlight w:val="none"/>
                <w:u w:val="none"/>
                <w:lang w:val="en-US" w:eastAsia="zh-CN" w:bidi="ar"/>
              </w:rPr>
            </w:pPr>
            <w:r>
              <w:rPr>
                <w:rFonts w:hint="default" w:ascii="Times New Roman" w:hAnsi="Times New Roman" w:eastAsia="宋体" w:cs="Times New Roman"/>
                <w:b w:val="0"/>
                <w:bCs w:val="0"/>
                <w:i w:val="0"/>
                <w:iCs w:val="0"/>
                <w:color w:val="000000"/>
                <w:kern w:val="0"/>
                <w:sz w:val="18"/>
                <w:szCs w:val="18"/>
                <w:highlight w:val="none"/>
                <w:u w:val="none"/>
                <w:lang w:val="en-US" w:eastAsia="zh-CN" w:bidi="ar"/>
              </w:rPr>
              <w:t>≤540</w:t>
            </w:r>
          </w:p>
        </w:tc>
        <w:tc>
          <w:tcPr>
            <w:tcW w:w="2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A32AA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≤560</w:t>
            </w:r>
          </w:p>
        </w:tc>
        <w:tc>
          <w:tcPr>
            <w:tcW w:w="21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83CD9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≤540</w:t>
            </w:r>
          </w:p>
        </w:tc>
        <w:tc>
          <w:tcPr>
            <w:tcW w:w="2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512CA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w:t>
            </w:r>
            <w:r>
              <w:rPr>
                <w:rFonts w:hint="default" w:ascii="Times New Roman" w:hAnsi="Times New Roman" w:cs="Times New Roman"/>
                <w:i w:val="0"/>
                <w:iCs w:val="0"/>
                <w:color w:val="000000"/>
                <w:kern w:val="0"/>
                <w:sz w:val="18"/>
                <w:szCs w:val="18"/>
                <w:highlight w:val="none"/>
                <w:u w:val="none"/>
                <w:lang w:val="en-US" w:eastAsia="zh-CN" w:bidi="ar"/>
              </w:rPr>
              <w:t>550</w:t>
            </w:r>
          </w:p>
        </w:tc>
        <w:tc>
          <w:tcPr>
            <w:tcW w:w="24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0FEC5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≤540</w:t>
            </w:r>
          </w:p>
        </w:tc>
        <w:tc>
          <w:tcPr>
            <w:tcW w:w="2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76112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604D0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≤780</w:t>
            </w:r>
          </w:p>
        </w:tc>
        <w:tc>
          <w:tcPr>
            <w:tcW w:w="21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C8BDD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≤780</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F0FB3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3B1F4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9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C4B9F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0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B54B3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r>
      <w:tr w14:paraId="0F8D0DB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76" w:hRule="atLeast"/>
          <w:jc w:val="center"/>
        </w:trPr>
        <w:tc>
          <w:tcPr>
            <w:tcW w:w="21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EB4666E">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18"/>
                <w:szCs w:val="18"/>
                <w:highlight w:val="none"/>
                <w:u w:val="none"/>
              </w:rPr>
            </w:pPr>
          </w:p>
        </w:tc>
        <w:tc>
          <w:tcPr>
            <w:tcW w:w="3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4FC94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色漆-底色漆</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E3F7A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≤770</w:t>
            </w:r>
          </w:p>
        </w:tc>
        <w:tc>
          <w:tcPr>
            <w:tcW w:w="30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DB4EC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5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0636A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≤770</w:t>
            </w:r>
          </w:p>
        </w:tc>
        <w:tc>
          <w:tcPr>
            <w:tcW w:w="2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3B8E6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≤770</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C15B3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≤770</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2945A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≤380</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EC64C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07497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val="0"/>
                <w:bCs w:val="0"/>
                <w:i w:val="0"/>
                <w:iCs w:val="0"/>
                <w:color w:val="000000"/>
                <w:kern w:val="0"/>
                <w:sz w:val="18"/>
                <w:szCs w:val="18"/>
                <w:highlight w:val="none"/>
                <w:u w:val="none"/>
                <w:lang w:val="en-US" w:eastAsia="zh-CN" w:bidi="ar"/>
              </w:rPr>
            </w:pPr>
            <w:r>
              <w:rPr>
                <w:rFonts w:hint="default" w:ascii="Times New Roman" w:hAnsi="Times New Roman" w:eastAsia="宋体" w:cs="Times New Roman"/>
                <w:b w:val="0"/>
                <w:bCs w:val="0"/>
                <w:i w:val="0"/>
                <w:iCs w:val="0"/>
                <w:color w:val="000000"/>
                <w:kern w:val="0"/>
                <w:sz w:val="18"/>
                <w:szCs w:val="18"/>
                <w:highlight w:val="none"/>
                <w:u w:val="none"/>
                <w:lang w:val="en-US" w:eastAsia="zh-CN" w:bidi="ar"/>
              </w:rPr>
              <w:t>≤770</w:t>
            </w:r>
          </w:p>
        </w:tc>
        <w:tc>
          <w:tcPr>
            <w:tcW w:w="2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2177C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≤770</w:t>
            </w:r>
          </w:p>
        </w:tc>
        <w:tc>
          <w:tcPr>
            <w:tcW w:w="21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30F98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≤380</w:t>
            </w:r>
          </w:p>
        </w:tc>
        <w:tc>
          <w:tcPr>
            <w:tcW w:w="2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2309D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w:t>
            </w:r>
            <w:r>
              <w:rPr>
                <w:rFonts w:hint="default" w:ascii="Times New Roman" w:hAnsi="Times New Roman" w:cs="Times New Roman"/>
                <w:i w:val="0"/>
                <w:iCs w:val="0"/>
                <w:color w:val="000000"/>
                <w:kern w:val="0"/>
                <w:sz w:val="18"/>
                <w:szCs w:val="18"/>
                <w:highlight w:val="none"/>
                <w:u w:val="none"/>
                <w:lang w:val="en-US" w:eastAsia="zh-CN" w:bidi="ar"/>
              </w:rPr>
              <w:t>750</w:t>
            </w:r>
          </w:p>
        </w:tc>
        <w:tc>
          <w:tcPr>
            <w:tcW w:w="24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BB91C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b w:val="0"/>
                <w:bCs w:val="0"/>
                <w:i w:val="0"/>
                <w:iCs w:val="0"/>
                <w:color w:val="000000"/>
                <w:kern w:val="0"/>
                <w:sz w:val="18"/>
                <w:szCs w:val="18"/>
                <w:highlight w:val="none"/>
                <w:u w:val="none"/>
                <w:lang w:val="en-US" w:eastAsia="zh-CN" w:bidi="ar"/>
              </w:rPr>
              <w:t>≤770</w:t>
            </w:r>
          </w:p>
        </w:tc>
        <w:tc>
          <w:tcPr>
            <w:tcW w:w="2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854DB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≤420</w:t>
            </w:r>
          </w:p>
        </w:tc>
        <w:tc>
          <w:tcPr>
            <w:tcW w:w="2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56698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≤420</w:t>
            </w:r>
          </w:p>
        </w:tc>
        <w:tc>
          <w:tcPr>
            <w:tcW w:w="21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17ACA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≤420</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08DEA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≤630</w:t>
            </w:r>
          </w:p>
        </w:tc>
        <w:tc>
          <w:tcPr>
            <w:tcW w:w="2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40270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≤420</w:t>
            </w:r>
          </w:p>
        </w:tc>
        <w:tc>
          <w:tcPr>
            <w:tcW w:w="29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37935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0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1103C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r>
      <w:tr w14:paraId="2A1F60A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71" w:hRule="atLeast"/>
          <w:jc w:val="center"/>
        </w:trPr>
        <w:tc>
          <w:tcPr>
            <w:tcW w:w="21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DF5B80D">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18"/>
                <w:szCs w:val="18"/>
                <w:highlight w:val="none"/>
                <w:u w:val="none"/>
              </w:rPr>
            </w:pPr>
          </w:p>
        </w:tc>
        <w:tc>
          <w:tcPr>
            <w:tcW w:w="3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B11C7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色漆-本色面漆</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4B3B5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≤540</w:t>
            </w:r>
          </w:p>
        </w:tc>
        <w:tc>
          <w:tcPr>
            <w:tcW w:w="30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BBB65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≤540</w:t>
            </w:r>
          </w:p>
        </w:tc>
        <w:tc>
          <w:tcPr>
            <w:tcW w:w="25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5613F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≤580</w:t>
            </w:r>
          </w:p>
        </w:tc>
        <w:tc>
          <w:tcPr>
            <w:tcW w:w="2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69D3B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≤580</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5FD96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≤540</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0D629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≤380</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D6E04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≤540</w:t>
            </w:r>
          </w:p>
        </w:tc>
        <w:tc>
          <w:tcPr>
            <w:tcW w:w="3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84E34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val="0"/>
                <w:bCs w:val="0"/>
                <w:i w:val="0"/>
                <w:iCs w:val="0"/>
                <w:color w:val="000000"/>
                <w:kern w:val="0"/>
                <w:sz w:val="18"/>
                <w:szCs w:val="18"/>
                <w:highlight w:val="none"/>
                <w:u w:val="none"/>
                <w:lang w:val="en-US" w:eastAsia="zh-CN" w:bidi="ar"/>
              </w:rPr>
            </w:pPr>
            <w:r>
              <w:rPr>
                <w:rFonts w:hint="default" w:ascii="Times New Roman" w:hAnsi="Times New Roman" w:eastAsia="宋体" w:cs="Times New Roman"/>
                <w:b w:val="0"/>
                <w:bCs w:val="0"/>
                <w:i w:val="0"/>
                <w:iCs w:val="0"/>
                <w:color w:val="000000"/>
                <w:kern w:val="0"/>
                <w:sz w:val="18"/>
                <w:szCs w:val="18"/>
                <w:highlight w:val="none"/>
                <w:u w:val="none"/>
                <w:lang w:val="en-US" w:eastAsia="zh-CN" w:bidi="ar"/>
              </w:rPr>
              <w:t>≤540</w:t>
            </w:r>
          </w:p>
        </w:tc>
        <w:tc>
          <w:tcPr>
            <w:tcW w:w="2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F8AE6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≤580</w:t>
            </w:r>
          </w:p>
        </w:tc>
        <w:tc>
          <w:tcPr>
            <w:tcW w:w="21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24D26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≤380</w:t>
            </w:r>
          </w:p>
        </w:tc>
        <w:tc>
          <w:tcPr>
            <w:tcW w:w="2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6EF43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w:t>
            </w:r>
            <w:r>
              <w:rPr>
                <w:rFonts w:hint="default" w:ascii="Times New Roman" w:hAnsi="Times New Roman" w:cs="Times New Roman"/>
                <w:i w:val="0"/>
                <w:iCs w:val="0"/>
                <w:color w:val="000000"/>
                <w:kern w:val="0"/>
                <w:sz w:val="18"/>
                <w:szCs w:val="18"/>
                <w:highlight w:val="none"/>
                <w:u w:val="none"/>
                <w:lang w:val="en-US" w:eastAsia="zh-CN" w:bidi="ar"/>
              </w:rPr>
              <w:t>750</w:t>
            </w:r>
          </w:p>
        </w:tc>
        <w:tc>
          <w:tcPr>
            <w:tcW w:w="24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A107D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≤540</w:t>
            </w:r>
          </w:p>
        </w:tc>
        <w:tc>
          <w:tcPr>
            <w:tcW w:w="2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E464A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≤420</w:t>
            </w:r>
          </w:p>
        </w:tc>
        <w:tc>
          <w:tcPr>
            <w:tcW w:w="2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71D1B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≤420</w:t>
            </w:r>
          </w:p>
        </w:tc>
        <w:tc>
          <w:tcPr>
            <w:tcW w:w="21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D281C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≤420</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5016E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≤600</w:t>
            </w:r>
          </w:p>
        </w:tc>
        <w:tc>
          <w:tcPr>
            <w:tcW w:w="2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9C334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≤340</w:t>
            </w:r>
          </w:p>
        </w:tc>
        <w:tc>
          <w:tcPr>
            <w:tcW w:w="29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23497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≤340（金属面漆≤420）</w:t>
            </w:r>
          </w:p>
        </w:tc>
        <w:tc>
          <w:tcPr>
            <w:tcW w:w="20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7AF70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≤420</w:t>
            </w:r>
          </w:p>
        </w:tc>
      </w:tr>
      <w:tr w14:paraId="3FE45CB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6" w:hRule="atLeast"/>
          <w:jc w:val="center"/>
        </w:trPr>
        <w:tc>
          <w:tcPr>
            <w:tcW w:w="21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D3F585D">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18"/>
                <w:szCs w:val="18"/>
                <w:highlight w:val="none"/>
                <w:u w:val="none"/>
              </w:rPr>
            </w:pPr>
          </w:p>
        </w:tc>
        <w:tc>
          <w:tcPr>
            <w:tcW w:w="3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CA6B2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清漆-哑光清漆</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B9548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≤420</w:t>
            </w:r>
          </w:p>
        </w:tc>
        <w:tc>
          <w:tcPr>
            <w:tcW w:w="30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57C1D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≤420</w:t>
            </w:r>
          </w:p>
        </w:tc>
        <w:tc>
          <w:tcPr>
            <w:tcW w:w="25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46270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≤630</w:t>
            </w:r>
          </w:p>
        </w:tc>
        <w:tc>
          <w:tcPr>
            <w:tcW w:w="2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98546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≤630</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8CDDE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r>
              <w:rPr>
                <w:rFonts w:hint="eastAsia" w:cs="Times New Roman"/>
                <w:i w:val="0"/>
                <w:iCs w:val="0"/>
                <w:color w:val="000000"/>
                <w:kern w:val="0"/>
                <w:sz w:val="18"/>
                <w:szCs w:val="18"/>
                <w:highlight w:val="none"/>
                <w:u w:val="none"/>
                <w:lang w:val="en-US" w:eastAsia="zh-CN" w:bidi="ar"/>
              </w:rPr>
              <w:t>42</w:t>
            </w:r>
            <w:r>
              <w:rPr>
                <w:rFonts w:hint="default" w:ascii="Times New Roman" w:hAnsi="Times New Roman" w:eastAsia="宋体" w:cs="Times New Roman"/>
                <w:i w:val="0"/>
                <w:iCs w:val="0"/>
                <w:color w:val="000000"/>
                <w:kern w:val="0"/>
                <w:sz w:val="18"/>
                <w:szCs w:val="18"/>
                <w:highlight w:val="none"/>
                <w:u w:val="none"/>
                <w:lang w:val="en-US" w:eastAsia="zh-CN" w:bidi="ar"/>
              </w:rPr>
              <w:t>0</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B0DAD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≤420</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784B5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≤420</w:t>
            </w:r>
          </w:p>
        </w:tc>
        <w:tc>
          <w:tcPr>
            <w:tcW w:w="3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7FCAA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eastAsia" w:cs="Times New Roman"/>
                <w:b w:val="0"/>
                <w:bCs w:val="0"/>
                <w:i w:val="0"/>
                <w:iCs w:val="0"/>
                <w:color w:val="000000"/>
                <w:kern w:val="0"/>
                <w:sz w:val="18"/>
                <w:szCs w:val="18"/>
                <w:highlight w:val="none"/>
                <w:u w:val="none"/>
                <w:lang w:val="en-US" w:eastAsia="zh-CN" w:bidi="ar"/>
              </w:rPr>
            </w:pPr>
            <w:r>
              <w:rPr>
                <w:rFonts w:hint="default" w:ascii="Times New Roman" w:hAnsi="Times New Roman" w:eastAsia="宋体" w:cs="Times New Roman"/>
                <w:b w:val="0"/>
                <w:bCs w:val="0"/>
                <w:i w:val="0"/>
                <w:iCs w:val="0"/>
                <w:color w:val="000000"/>
                <w:kern w:val="0"/>
                <w:sz w:val="18"/>
                <w:szCs w:val="18"/>
                <w:highlight w:val="none"/>
                <w:u w:val="none"/>
                <w:lang w:val="en-US" w:eastAsia="zh-CN" w:bidi="ar"/>
              </w:rPr>
              <w:t>≤420</w:t>
            </w:r>
          </w:p>
        </w:tc>
        <w:tc>
          <w:tcPr>
            <w:tcW w:w="2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526CA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≤630</w:t>
            </w:r>
          </w:p>
        </w:tc>
        <w:tc>
          <w:tcPr>
            <w:tcW w:w="21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5BA19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≤420</w:t>
            </w:r>
          </w:p>
        </w:tc>
        <w:tc>
          <w:tcPr>
            <w:tcW w:w="2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F67D7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w:t>
            </w:r>
            <w:r>
              <w:rPr>
                <w:rFonts w:hint="default" w:ascii="Times New Roman" w:hAnsi="Times New Roman" w:cs="Times New Roman"/>
                <w:i w:val="0"/>
                <w:iCs w:val="0"/>
                <w:color w:val="000000"/>
                <w:kern w:val="0"/>
                <w:sz w:val="18"/>
                <w:szCs w:val="18"/>
                <w:highlight w:val="none"/>
                <w:u w:val="none"/>
                <w:lang w:val="en-US" w:eastAsia="zh-CN" w:bidi="ar"/>
              </w:rPr>
              <w:t>560</w:t>
            </w:r>
          </w:p>
        </w:tc>
        <w:tc>
          <w:tcPr>
            <w:tcW w:w="24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4F873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≤420</w:t>
            </w:r>
          </w:p>
        </w:tc>
        <w:tc>
          <w:tcPr>
            <w:tcW w:w="2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D1299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≤420</w:t>
            </w:r>
          </w:p>
        </w:tc>
        <w:tc>
          <w:tcPr>
            <w:tcW w:w="2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1DC48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≤420</w:t>
            </w:r>
          </w:p>
        </w:tc>
        <w:tc>
          <w:tcPr>
            <w:tcW w:w="21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74BCE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≤420</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B3DC4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B2173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≤250</w:t>
            </w:r>
          </w:p>
        </w:tc>
        <w:tc>
          <w:tcPr>
            <w:tcW w:w="29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EE386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0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F3945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r>
      <w:tr w14:paraId="3A32E7B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76" w:hRule="atLeast"/>
          <w:jc w:val="center"/>
        </w:trPr>
        <w:tc>
          <w:tcPr>
            <w:tcW w:w="21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8717EF5">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18"/>
                <w:szCs w:val="18"/>
                <w:highlight w:val="none"/>
                <w:u w:val="none"/>
              </w:rPr>
            </w:pPr>
          </w:p>
        </w:tc>
        <w:tc>
          <w:tcPr>
            <w:tcW w:w="3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D264C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清漆-其他清漆</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FE202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≤420</w:t>
            </w:r>
          </w:p>
        </w:tc>
        <w:tc>
          <w:tcPr>
            <w:tcW w:w="30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83044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≤420</w:t>
            </w:r>
          </w:p>
        </w:tc>
        <w:tc>
          <w:tcPr>
            <w:tcW w:w="25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05A57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≤480</w:t>
            </w:r>
          </w:p>
        </w:tc>
        <w:tc>
          <w:tcPr>
            <w:tcW w:w="2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6B3CC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≤480</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85A89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≤420</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3F119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≤420</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74EC6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≤420</w:t>
            </w:r>
          </w:p>
        </w:tc>
        <w:tc>
          <w:tcPr>
            <w:tcW w:w="3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2436E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val="0"/>
                <w:bCs w:val="0"/>
                <w:i w:val="0"/>
                <w:iCs w:val="0"/>
                <w:color w:val="000000"/>
                <w:kern w:val="0"/>
                <w:sz w:val="18"/>
                <w:szCs w:val="18"/>
                <w:highlight w:val="none"/>
                <w:u w:val="none"/>
                <w:lang w:val="en-US" w:eastAsia="zh-CN" w:bidi="ar"/>
              </w:rPr>
            </w:pPr>
            <w:r>
              <w:rPr>
                <w:rFonts w:hint="default" w:ascii="Times New Roman" w:hAnsi="Times New Roman" w:eastAsia="宋体" w:cs="Times New Roman"/>
                <w:b w:val="0"/>
                <w:bCs w:val="0"/>
                <w:i w:val="0"/>
                <w:iCs w:val="0"/>
                <w:color w:val="000000"/>
                <w:kern w:val="0"/>
                <w:sz w:val="18"/>
                <w:szCs w:val="18"/>
                <w:highlight w:val="none"/>
                <w:u w:val="none"/>
                <w:lang w:val="en-US" w:eastAsia="zh-CN" w:bidi="ar"/>
              </w:rPr>
              <w:t>≤420</w:t>
            </w:r>
          </w:p>
        </w:tc>
        <w:tc>
          <w:tcPr>
            <w:tcW w:w="2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E4BB4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≤480</w:t>
            </w:r>
          </w:p>
        </w:tc>
        <w:tc>
          <w:tcPr>
            <w:tcW w:w="21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EFEB5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≤420</w:t>
            </w:r>
          </w:p>
        </w:tc>
        <w:tc>
          <w:tcPr>
            <w:tcW w:w="2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0C2C4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w:t>
            </w:r>
            <w:r>
              <w:rPr>
                <w:rFonts w:hint="default" w:ascii="Times New Roman" w:hAnsi="Times New Roman" w:cs="Times New Roman"/>
                <w:i w:val="0"/>
                <w:iCs w:val="0"/>
                <w:color w:val="000000"/>
                <w:kern w:val="0"/>
                <w:sz w:val="18"/>
                <w:szCs w:val="18"/>
                <w:highlight w:val="none"/>
                <w:u w:val="none"/>
                <w:lang w:val="en-US" w:eastAsia="zh-CN" w:bidi="ar"/>
              </w:rPr>
              <w:t>560</w:t>
            </w:r>
          </w:p>
        </w:tc>
        <w:tc>
          <w:tcPr>
            <w:tcW w:w="24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28FAF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≤420</w:t>
            </w:r>
          </w:p>
        </w:tc>
        <w:tc>
          <w:tcPr>
            <w:tcW w:w="2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DB08F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≤420</w:t>
            </w:r>
          </w:p>
        </w:tc>
        <w:tc>
          <w:tcPr>
            <w:tcW w:w="2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A7BDB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≤420</w:t>
            </w:r>
          </w:p>
        </w:tc>
        <w:tc>
          <w:tcPr>
            <w:tcW w:w="21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E6512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≤420</w:t>
            </w:r>
          </w:p>
        </w:tc>
        <w:tc>
          <w:tcPr>
            <w:tcW w:w="1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044FA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DF368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≤250</w:t>
            </w:r>
          </w:p>
        </w:tc>
        <w:tc>
          <w:tcPr>
            <w:tcW w:w="29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BA4C1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0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A5B91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r>
    </w:tbl>
    <w:p w14:paraId="0931F339">
      <w:pPr>
        <w:keepNext w:val="0"/>
        <w:keepLines w:val="0"/>
        <w:pageBreakBefore w:val="0"/>
        <w:widowControl/>
        <w:kinsoku/>
        <w:wordWrap/>
        <w:autoSpaceDE/>
        <w:autoSpaceDN/>
        <w:bidi w:val="0"/>
        <w:jc w:val="left"/>
        <w:rPr>
          <w:rFonts w:hint="default" w:ascii="Times New Roman" w:hAnsi="Times New Roman" w:cs="Times New Roman"/>
          <w:sz w:val="20"/>
          <w:szCs w:val="21"/>
          <w:highlight w:val="none"/>
        </w:rPr>
      </w:pPr>
    </w:p>
    <w:p w14:paraId="399225C5">
      <w:pPr>
        <w:keepNext w:val="0"/>
        <w:keepLines w:val="0"/>
        <w:pageBreakBefore w:val="0"/>
        <w:widowControl/>
        <w:kinsoku/>
        <w:wordWrap/>
        <w:autoSpaceDE/>
        <w:autoSpaceDN/>
        <w:bidi w:val="0"/>
        <w:jc w:val="left"/>
        <w:rPr>
          <w:rFonts w:hint="default" w:ascii="Times New Roman" w:hAnsi="Times New Roman" w:eastAsia="宋体" w:cs="Times New Roman"/>
          <w:color w:val="0000FF"/>
          <w:sz w:val="20"/>
          <w:szCs w:val="21"/>
          <w:highlight w:val="none"/>
          <w:lang w:eastAsia="zh-CN"/>
        </w:rPr>
        <w:sectPr>
          <w:pgSz w:w="16838" w:h="11906" w:orient="landscape"/>
          <w:pgMar w:top="1797" w:right="1440" w:bottom="1797" w:left="1440" w:header="851" w:footer="992" w:gutter="0"/>
          <w:pgBorders>
            <w:top w:val="none" w:sz="0" w:space="0"/>
            <w:left w:val="none" w:sz="0" w:space="0"/>
            <w:bottom w:val="none" w:sz="0" w:space="0"/>
            <w:right w:val="none" w:sz="0" w:space="0"/>
          </w:pgBorders>
          <w:pgNumType w:fmt="decimal"/>
          <w:cols w:space="425" w:num="1"/>
          <w:docGrid w:type="linesAndChars" w:linePitch="312" w:charSpace="0"/>
        </w:sectPr>
      </w:pPr>
    </w:p>
    <w:p w14:paraId="0F66DF7E">
      <w:pPr>
        <w:pStyle w:val="4"/>
        <w:keepNext w:val="0"/>
        <w:keepLines w:val="0"/>
        <w:pageBreakBefore w:val="0"/>
        <w:widowControl/>
        <w:kinsoku/>
        <w:wordWrap/>
        <w:autoSpaceDE/>
        <w:autoSpaceDN/>
        <w:bidi w:val="0"/>
        <w:rPr>
          <w:rFonts w:hint="default" w:ascii="Times New Roman" w:hAnsi="Times New Roman" w:cs="Times New Roman"/>
          <w:highlight w:val="none"/>
        </w:rPr>
      </w:pPr>
      <w:bookmarkStart w:id="37" w:name="_Toc18175"/>
      <w:r>
        <w:rPr>
          <w:rFonts w:hint="default" w:ascii="Times New Roman" w:hAnsi="Times New Roman" w:cs="Times New Roman"/>
          <w:highlight w:val="none"/>
        </w:rPr>
        <w:t>有组织</w:t>
      </w:r>
      <w:bookmarkEnd w:id="37"/>
    </w:p>
    <w:p w14:paraId="794D2F9A">
      <w:pPr>
        <w:keepNext w:val="0"/>
        <w:keepLines w:val="0"/>
        <w:pageBreakBefore w:val="0"/>
        <w:widowControl/>
        <w:kinsoku/>
        <w:wordWrap/>
        <w:autoSpaceDE/>
        <w:autoSpaceDN/>
        <w:bidi w:val="0"/>
        <w:rPr>
          <w:rFonts w:hint="default" w:ascii="Times New Roman" w:hAnsi="Times New Roman" w:eastAsia="宋体" w:cs="Times New Roman"/>
          <w:b/>
          <w:bCs/>
          <w:highlight w:val="none"/>
          <w:lang w:val="en-US" w:eastAsia="zh-CN"/>
        </w:rPr>
      </w:pPr>
      <w:r>
        <w:rPr>
          <w:rFonts w:hint="default" w:ascii="Times New Roman" w:hAnsi="Times New Roman" w:cs="Times New Roman"/>
          <w:b/>
          <w:bCs/>
          <w:highlight w:val="none"/>
          <w:lang w:eastAsia="zh-CN"/>
        </w:rPr>
        <w:t>（</w:t>
      </w:r>
      <w:r>
        <w:rPr>
          <w:rFonts w:hint="default" w:ascii="Times New Roman" w:hAnsi="Times New Roman" w:cs="Times New Roman"/>
          <w:b/>
          <w:bCs/>
          <w:highlight w:val="none"/>
          <w:lang w:val="en-US" w:eastAsia="zh-CN"/>
        </w:rPr>
        <w:t>1</w:t>
      </w:r>
      <w:r>
        <w:rPr>
          <w:rFonts w:hint="default" w:ascii="Times New Roman" w:hAnsi="Times New Roman" w:cs="Times New Roman"/>
          <w:b/>
          <w:bCs/>
          <w:highlight w:val="none"/>
          <w:lang w:eastAsia="zh-CN"/>
        </w:rPr>
        <w:t>）</w:t>
      </w:r>
      <w:r>
        <w:rPr>
          <w:rFonts w:hint="default" w:ascii="Times New Roman" w:hAnsi="Times New Roman" w:cs="Times New Roman"/>
          <w:b/>
          <w:bCs/>
          <w:highlight w:val="none"/>
          <w:lang w:val="en-US" w:eastAsia="zh-CN"/>
        </w:rPr>
        <w:t>有组织控制指标</w:t>
      </w:r>
    </w:p>
    <w:p w14:paraId="42001F41">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lang w:val="en-US" w:eastAsia="zh-CN"/>
        </w:rPr>
        <w:t>现有8</w:t>
      </w:r>
      <w:r>
        <w:rPr>
          <w:rFonts w:hint="default" w:ascii="Times New Roman" w:hAnsi="Times New Roman" w:cs="Times New Roman"/>
          <w:highlight w:val="none"/>
        </w:rPr>
        <w:t>个省市的标准中有组织</w:t>
      </w:r>
      <w:r>
        <w:rPr>
          <w:rFonts w:hint="default" w:ascii="Times New Roman" w:hAnsi="Times New Roman" w:cs="Times New Roman"/>
          <w:highlight w:val="none"/>
          <w:lang w:eastAsia="zh-CN"/>
        </w:rPr>
        <w:t>控制指标均包括</w:t>
      </w:r>
      <w:r>
        <w:rPr>
          <w:rFonts w:hint="default" w:ascii="Times New Roman" w:hAnsi="Times New Roman" w:cs="Times New Roman"/>
          <w:highlight w:val="none"/>
        </w:rPr>
        <w:t>苯</w:t>
      </w:r>
      <w:r>
        <w:rPr>
          <w:rFonts w:hint="default" w:ascii="Times New Roman" w:hAnsi="Times New Roman" w:cs="Times New Roman"/>
          <w:highlight w:val="none"/>
          <w:lang w:eastAsia="zh-CN"/>
        </w:rPr>
        <w:t>、</w:t>
      </w:r>
      <w:r>
        <w:rPr>
          <w:rFonts w:hint="default" w:ascii="Times New Roman" w:hAnsi="Times New Roman" w:cs="Times New Roman"/>
          <w:highlight w:val="none"/>
        </w:rPr>
        <w:t>苯系物</w:t>
      </w:r>
      <w:r>
        <w:rPr>
          <w:rFonts w:hint="default" w:ascii="Times New Roman" w:hAnsi="Times New Roman" w:cs="Times New Roman"/>
          <w:highlight w:val="none"/>
          <w:lang w:eastAsia="zh-CN"/>
        </w:rPr>
        <w:t>、</w:t>
      </w:r>
      <w:r>
        <w:rPr>
          <w:rFonts w:hint="default" w:ascii="Times New Roman" w:hAnsi="Times New Roman" w:cs="Times New Roman"/>
          <w:highlight w:val="none"/>
        </w:rPr>
        <w:t>非甲烷总烃</w:t>
      </w:r>
      <w:r>
        <w:rPr>
          <w:rFonts w:hint="default" w:ascii="Times New Roman" w:hAnsi="Times New Roman" w:cs="Times New Roman"/>
          <w:highlight w:val="none"/>
          <w:lang w:eastAsia="zh-CN"/>
        </w:rPr>
        <w:t>、颗粒物等共性指标，此外</w:t>
      </w:r>
      <w:r>
        <w:rPr>
          <w:rFonts w:hint="default" w:ascii="Times New Roman" w:hAnsi="Times New Roman" w:cs="Times New Roman"/>
          <w:highlight w:val="none"/>
          <w:lang w:val="en-US" w:eastAsia="zh-CN"/>
        </w:rPr>
        <w:t>浙江的征求意见稿还</w:t>
      </w:r>
      <w:r>
        <w:rPr>
          <w:rFonts w:hint="default" w:ascii="Times New Roman" w:hAnsi="Times New Roman" w:cs="Times New Roman"/>
          <w:highlight w:val="none"/>
        </w:rPr>
        <w:t>设置了乙酸酯类</w:t>
      </w:r>
      <w:r>
        <w:rPr>
          <w:rFonts w:hint="default" w:ascii="Times New Roman" w:hAnsi="Times New Roman" w:cs="Times New Roman"/>
          <w:highlight w:val="none"/>
          <w:lang w:eastAsia="zh-CN"/>
        </w:rPr>
        <w:t>、</w:t>
      </w:r>
      <w:r>
        <w:rPr>
          <w:rFonts w:hint="default" w:ascii="Times New Roman" w:hAnsi="Times New Roman" w:cs="Times New Roman"/>
          <w:highlight w:val="none"/>
        </w:rPr>
        <w:t>臭气浓度指标；</w:t>
      </w:r>
      <w:r>
        <w:rPr>
          <w:rFonts w:hint="default" w:ascii="Times New Roman" w:hAnsi="Times New Roman" w:cs="Times New Roman"/>
          <w:highlight w:val="none"/>
          <w:lang w:val="en-US" w:eastAsia="zh-CN"/>
        </w:rPr>
        <w:t>安徽、浙江（征求意见稿）、北京</w:t>
      </w:r>
      <w:r>
        <w:rPr>
          <w:rFonts w:hint="eastAsia" w:cs="Times New Roman"/>
          <w:highlight w:val="none"/>
          <w:lang w:val="en-US" w:eastAsia="zh-CN"/>
        </w:rPr>
        <w:t>、广东</w:t>
      </w:r>
      <w:r>
        <w:rPr>
          <w:rFonts w:hint="default" w:ascii="Times New Roman" w:hAnsi="Times New Roman" w:cs="Times New Roman"/>
          <w:highlight w:val="none"/>
          <w:lang w:val="en-US" w:eastAsia="zh-CN"/>
        </w:rPr>
        <w:t>（</w:t>
      </w:r>
      <w:r>
        <w:rPr>
          <w:rFonts w:hint="eastAsia" w:cs="Times New Roman"/>
          <w:highlight w:val="none"/>
          <w:lang w:val="en-US" w:eastAsia="zh-CN"/>
        </w:rPr>
        <w:t>送审稿</w:t>
      </w:r>
      <w:r>
        <w:rPr>
          <w:rFonts w:hint="default" w:ascii="Times New Roman" w:hAnsi="Times New Roman" w:cs="Times New Roman"/>
          <w:highlight w:val="none"/>
          <w:lang w:val="en-US" w:eastAsia="zh-CN"/>
        </w:rPr>
        <w:t>）还设置了二氧化硫、氮氧化物限值指标</w:t>
      </w:r>
      <w:r>
        <w:rPr>
          <w:rFonts w:hint="default" w:ascii="Times New Roman" w:hAnsi="Times New Roman" w:cs="Times New Roman"/>
          <w:highlight w:val="none"/>
        </w:rPr>
        <w:t>。</w:t>
      </w:r>
    </w:p>
    <w:p w14:paraId="028EAEE4">
      <w:pPr>
        <w:keepNext w:val="0"/>
        <w:keepLines w:val="0"/>
        <w:pageBreakBefore w:val="0"/>
        <w:widowControl/>
        <w:kinsoku/>
        <w:wordWrap/>
        <w:autoSpaceDE/>
        <w:autoSpaceDN/>
        <w:bidi w:val="0"/>
        <w:rPr>
          <w:rFonts w:hint="default" w:ascii="Times New Roman" w:hAnsi="Times New Roman" w:eastAsia="宋体" w:cs="Times New Roman"/>
          <w:highlight w:val="none"/>
          <w:lang w:val="en-US" w:eastAsia="zh-CN"/>
        </w:rPr>
      </w:pPr>
      <w:r>
        <w:rPr>
          <w:rFonts w:hint="default" w:ascii="Times New Roman" w:hAnsi="Times New Roman" w:cs="Times New Roman"/>
          <w:highlight w:val="none"/>
          <w:lang w:eastAsia="zh-CN"/>
        </w:rPr>
        <w:t>本</w:t>
      </w:r>
      <w:r>
        <w:rPr>
          <w:rFonts w:hint="eastAsia" w:cs="Times New Roman"/>
          <w:highlight w:val="none"/>
          <w:lang w:val="en-US" w:eastAsia="zh-CN"/>
        </w:rPr>
        <w:t>标准</w:t>
      </w:r>
      <w:r>
        <w:rPr>
          <w:rFonts w:hint="default" w:ascii="Times New Roman" w:hAnsi="Times New Roman" w:cs="Times New Roman"/>
          <w:highlight w:val="none"/>
          <w:lang w:eastAsia="zh-CN"/>
        </w:rPr>
        <w:t>有组织控制指标为</w:t>
      </w:r>
      <w:r>
        <w:rPr>
          <w:rFonts w:hint="default" w:ascii="Times New Roman" w:hAnsi="Times New Roman" w:cs="Times New Roman"/>
          <w:highlight w:val="none"/>
          <w:lang w:val="en-US" w:eastAsia="zh-CN"/>
        </w:rPr>
        <w:t>:苯、苯系物、非甲烷总烃、颗粒物、二氧化硫、氮氧化物。</w:t>
      </w:r>
    </w:p>
    <w:p w14:paraId="3BF02384">
      <w:pPr>
        <w:keepNext w:val="0"/>
        <w:keepLines w:val="0"/>
        <w:pageBreakBefore w:val="0"/>
        <w:widowControl/>
        <w:kinsoku/>
        <w:wordWrap/>
        <w:autoSpaceDE/>
        <w:autoSpaceDN/>
        <w:bidi w:val="0"/>
        <w:rPr>
          <w:rFonts w:hint="default" w:ascii="Times New Roman" w:hAnsi="Times New Roman" w:cs="Times New Roman"/>
          <w:b/>
          <w:bCs/>
          <w:highlight w:val="none"/>
        </w:rPr>
      </w:pPr>
      <w:r>
        <w:rPr>
          <w:rFonts w:hint="default" w:ascii="Times New Roman" w:hAnsi="Times New Roman" w:cs="Times New Roman"/>
          <w:b/>
          <w:bCs/>
          <w:highlight w:val="none"/>
          <w:lang w:eastAsia="zh-CN"/>
        </w:rPr>
        <w:t>（</w:t>
      </w:r>
      <w:r>
        <w:rPr>
          <w:rFonts w:hint="default" w:ascii="Times New Roman" w:hAnsi="Times New Roman" w:cs="Times New Roman"/>
          <w:b/>
          <w:bCs/>
          <w:highlight w:val="none"/>
          <w:lang w:val="en-US" w:eastAsia="zh-CN"/>
        </w:rPr>
        <w:t>2</w:t>
      </w:r>
      <w:r>
        <w:rPr>
          <w:rFonts w:hint="default" w:ascii="Times New Roman" w:hAnsi="Times New Roman" w:cs="Times New Roman"/>
          <w:b/>
          <w:bCs/>
          <w:highlight w:val="none"/>
          <w:lang w:eastAsia="zh-CN"/>
        </w:rPr>
        <w:t>）</w:t>
      </w:r>
      <w:r>
        <w:rPr>
          <w:rFonts w:hint="default" w:ascii="Times New Roman" w:hAnsi="Times New Roman" w:cs="Times New Roman"/>
          <w:b/>
          <w:bCs/>
          <w:highlight w:val="none"/>
        </w:rPr>
        <w:t>有组织排放浓度限值</w:t>
      </w:r>
    </w:p>
    <w:p w14:paraId="0A4F010D">
      <w:pPr>
        <w:keepNext w:val="0"/>
        <w:keepLines w:val="0"/>
        <w:pageBreakBefore w:val="0"/>
        <w:widowControl/>
        <w:kinsoku/>
        <w:wordWrap/>
        <w:autoSpaceDE/>
        <w:autoSpaceDN/>
        <w:bidi w:val="0"/>
        <w:rPr>
          <w:rFonts w:hint="default" w:ascii="Times New Roman" w:hAnsi="Times New Roman" w:eastAsia="宋体" w:cs="Times New Roman"/>
          <w:highlight w:val="none"/>
          <w:lang w:eastAsia="zh-CN"/>
        </w:rPr>
      </w:pPr>
      <w:r>
        <w:rPr>
          <w:rFonts w:hint="default" w:ascii="Times New Roman" w:hAnsi="Times New Roman" w:cs="Times New Roman"/>
          <w:highlight w:val="none"/>
          <w:lang w:val="en-US" w:eastAsia="zh-CN"/>
        </w:rPr>
        <w:t>各</w:t>
      </w:r>
      <w:r>
        <w:rPr>
          <w:rFonts w:hint="default" w:ascii="Times New Roman" w:hAnsi="Times New Roman" w:cs="Times New Roman"/>
          <w:highlight w:val="none"/>
        </w:rPr>
        <w:t>省市苯</w:t>
      </w:r>
      <w:r>
        <w:rPr>
          <w:rFonts w:hint="default" w:ascii="Times New Roman" w:hAnsi="Times New Roman" w:cs="Times New Roman"/>
          <w:highlight w:val="none"/>
          <w:lang w:eastAsia="zh-CN"/>
        </w:rPr>
        <w:t>、</w:t>
      </w:r>
      <w:r>
        <w:rPr>
          <w:rFonts w:hint="default" w:ascii="Times New Roman" w:hAnsi="Times New Roman" w:cs="Times New Roman"/>
          <w:highlight w:val="none"/>
        </w:rPr>
        <w:t>苯系物</w:t>
      </w:r>
      <w:r>
        <w:rPr>
          <w:rFonts w:hint="default" w:ascii="Times New Roman" w:hAnsi="Times New Roman" w:cs="Times New Roman"/>
          <w:highlight w:val="none"/>
          <w:lang w:eastAsia="zh-CN"/>
        </w:rPr>
        <w:t>、</w:t>
      </w:r>
      <w:r>
        <w:rPr>
          <w:rFonts w:hint="default" w:ascii="Times New Roman" w:hAnsi="Times New Roman" w:cs="Times New Roman"/>
          <w:highlight w:val="none"/>
        </w:rPr>
        <w:t>非甲烷总烃</w:t>
      </w:r>
      <w:r>
        <w:rPr>
          <w:rFonts w:hint="default" w:ascii="Times New Roman" w:hAnsi="Times New Roman" w:cs="Times New Roman"/>
          <w:highlight w:val="none"/>
          <w:lang w:eastAsia="zh-CN"/>
        </w:rPr>
        <w:t>等共性指标的</w:t>
      </w:r>
      <w:r>
        <w:rPr>
          <w:rFonts w:hint="default" w:ascii="Times New Roman" w:hAnsi="Times New Roman" w:cs="Times New Roman"/>
          <w:highlight w:val="none"/>
        </w:rPr>
        <w:t>限值</w:t>
      </w:r>
      <w:r>
        <w:rPr>
          <w:rFonts w:hint="default" w:ascii="Times New Roman" w:hAnsi="Times New Roman" w:cs="Times New Roman"/>
          <w:highlight w:val="none"/>
          <w:lang w:eastAsia="zh-CN"/>
        </w:rPr>
        <w:t>一致，分别</w:t>
      </w:r>
      <w:r>
        <w:rPr>
          <w:rFonts w:hint="default" w:ascii="Times New Roman" w:hAnsi="Times New Roman" w:cs="Times New Roman"/>
          <w:highlight w:val="none"/>
        </w:rPr>
        <w:t>为0.5</w:t>
      </w:r>
      <w:r>
        <w:rPr>
          <w:rFonts w:hint="eastAsia" w:cs="Times New Roman"/>
          <w:highlight w:val="none"/>
          <w:lang w:val="en-US" w:eastAsia="zh-CN"/>
        </w:rPr>
        <w:t xml:space="preserve"> </w:t>
      </w:r>
      <w:r>
        <w:rPr>
          <w:rFonts w:hint="default" w:ascii="Times New Roman" w:hAnsi="Times New Roman" w:cs="Times New Roman"/>
          <w:highlight w:val="none"/>
        </w:rPr>
        <w:t>mg/m</w:t>
      </w:r>
      <w:r>
        <w:rPr>
          <w:rFonts w:hint="default" w:ascii="Times New Roman" w:hAnsi="Times New Roman" w:cs="Times New Roman"/>
          <w:highlight w:val="none"/>
          <w:vertAlign w:val="superscript"/>
        </w:rPr>
        <w:t>3</w:t>
      </w:r>
      <w:r>
        <w:rPr>
          <w:rFonts w:hint="default" w:ascii="Times New Roman" w:hAnsi="Times New Roman" w:cs="Times New Roman"/>
          <w:highlight w:val="none"/>
          <w:vertAlign w:val="baseline"/>
          <w:lang w:eastAsia="zh-CN"/>
        </w:rPr>
        <w:t>、</w:t>
      </w:r>
      <w:r>
        <w:rPr>
          <w:rFonts w:hint="default" w:ascii="Times New Roman" w:hAnsi="Times New Roman" w:cs="Times New Roman"/>
          <w:highlight w:val="none"/>
        </w:rPr>
        <w:t>10</w:t>
      </w:r>
      <w:r>
        <w:rPr>
          <w:rFonts w:hint="eastAsia" w:cs="Times New Roman"/>
          <w:highlight w:val="none"/>
          <w:lang w:val="en-US" w:eastAsia="zh-CN"/>
        </w:rPr>
        <w:t xml:space="preserve"> </w:t>
      </w:r>
      <w:r>
        <w:rPr>
          <w:rFonts w:hint="default" w:ascii="Times New Roman" w:hAnsi="Times New Roman" w:cs="Times New Roman"/>
          <w:highlight w:val="none"/>
        </w:rPr>
        <w:t>mg/m</w:t>
      </w:r>
      <w:r>
        <w:rPr>
          <w:rFonts w:hint="default" w:ascii="Times New Roman" w:hAnsi="Times New Roman" w:cs="Times New Roman"/>
          <w:highlight w:val="none"/>
          <w:vertAlign w:val="superscript"/>
        </w:rPr>
        <w:t>3</w:t>
      </w:r>
      <w:r>
        <w:rPr>
          <w:rFonts w:hint="default" w:ascii="Times New Roman" w:hAnsi="Times New Roman" w:cs="Times New Roman"/>
          <w:highlight w:val="none"/>
          <w:lang w:eastAsia="zh-CN"/>
        </w:rPr>
        <w:t>、</w:t>
      </w:r>
      <w:r>
        <w:rPr>
          <w:rFonts w:hint="default" w:ascii="Times New Roman" w:hAnsi="Times New Roman" w:cs="Times New Roman"/>
          <w:highlight w:val="none"/>
        </w:rPr>
        <w:t>20</w:t>
      </w:r>
      <w:r>
        <w:rPr>
          <w:rFonts w:hint="eastAsia" w:cs="Times New Roman"/>
          <w:highlight w:val="none"/>
          <w:lang w:val="en-US" w:eastAsia="zh-CN"/>
        </w:rPr>
        <w:t xml:space="preserve"> </w:t>
      </w:r>
      <w:r>
        <w:rPr>
          <w:rFonts w:hint="default" w:ascii="Times New Roman" w:hAnsi="Times New Roman" w:cs="Times New Roman"/>
          <w:highlight w:val="none"/>
        </w:rPr>
        <w:t>mg/m</w:t>
      </w:r>
      <w:r>
        <w:rPr>
          <w:rFonts w:hint="default" w:ascii="Times New Roman" w:hAnsi="Times New Roman" w:cs="Times New Roman"/>
          <w:highlight w:val="none"/>
          <w:vertAlign w:val="superscript"/>
        </w:rPr>
        <w:t>3</w:t>
      </w:r>
      <w:r>
        <w:rPr>
          <w:rFonts w:hint="default" w:ascii="Times New Roman" w:hAnsi="Times New Roman" w:cs="Times New Roman"/>
          <w:highlight w:val="none"/>
        </w:rPr>
        <w:t>，</w:t>
      </w:r>
      <w:r>
        <w:rPr>
          <w:rFonts w:hint="default" w:ascii="Times New Roman" w:hAnsi="Times New Roman" w:cs="Times New Roman"/>
          <w:highlight w:val="none"/>
          <w:lang w:eastAsia="zh-CN"/>
        </w:rPr>
        <w:t>颗粒物指标中，除</w:t>
      </w:r>
      <w:r>
        <w:rPr>
          <w:rFonts w:hint="default" w:ascii="Times New Roman" w:hAnsi="Times New Roman" w:cs="Times New Roman"/>
          <w:highlight w:val="none"/>
          <w:lang w:val="en-US" w:eastAsia="zh-CN"/>
        </w:rPr>
        <w:t>北京为5</w:t>
      </w:r>
      <w:r>
        <w:rPr>
          <w:rFonts w:hint="eastAsia" w:cs="Times New Roman"/>
          <w:highlight w:val="none"/>
          <w:lang w:val="en-US" w:eastAsia="zh-CN"/>
        </w:rPr>
        <w:t xml:space="preserve"> </w:t>
      </w:r>
      <w:r>
        <w:rPr>
          <w:rFonts w:hint="default" w:ascii="Times New Roman" w:hAnsi="Times New Roman" w:cs="Times New Roman"/>
          <w:highlight w:val="none"/>
        </w:rPr>
        <w:t>mg/m</w:t>
      </w:r>
      <w:r>
        <w:rPr>
          <w:rFonts w:hint="default" w:ascii="Times New Roman" w:hAnsi="Times New Roman" w:cs="Times New Roman"/>
          <w:highlight w:val="none"/>
          <w:vertAlign w:val="superscript"/>
        </w:rPr>
        <w:t>3</w:t>
      </w:r>
      <w:r>
        <w:rPr>
          <w:rFonts w:hint="default" w:ascii="Times New Roman" w:hAnsi="Times New Roman" w:cs="Times New Roman"/>
          <w:highlight w:val="none"/>
        </w:rPr>
        <w:t>，</w:t>
      </w:r>
      <w:r>
        <w:rPr>
          <w:rFonts w:hint="default" w:ascii="Times New Roman" w:hAnsi="Times New Roman" w:cs="Times New Roman"/>
          <w:highlight w:val="none"/>
          <w:lang w:val="en-US" w:eastAsia="zh-CN"/>
        </w:rPr>
        <w:t>其余省份</w:t>
      </w:r>
      <w:r>
        <w:rPr>
          <w:rFonts w:hint="default" w:ascii="Times New Roman" w:hAnsi="Times New Roman" w:cs="Times New Roman"/>
          <w:highlight w:val="none"/>
        </w:rPr>
        <w:t>均为10</w:t>
      </w:r>
      <w:r>
        <w:rPr>
          <w:rFonts w:hint="eastAsia" w:cs="Times New Roman"/>
          <w:highlight w:val="none"/>
          <w:lang w:val="en-US" w:eastAsia="zh-CN"/>
        </w:rPr>
        <w:t xml:space="preserve"> </w:t>
      </w:r>
      <w:r>
        <w:rPr>
          <w:rFonts w:hint="default" w:ascii="Times New Roman" w:hAnsi="Times New Roman" w:cs="Times New Roman"/>
          <w:highlight w:val="none"/>
        </w:rPr>
        <w:t>mg/m</w:t>
      </w:r>
      <w:r>
        <w:rPr>
          <w:rFonts w:hint="default" w:ascii="Times New Roman" w:hAnsi="Times New Roman" w:cs="Times New Roman"/>
          <w:highlight w:val="none"/>
          <w:vertAlign w:val="superscript"/>
        </w:rPr>
        <w:t>3</w:t>
      </w:r>
      <w:r>
        <w:rPr>
          <w:rFonts w:hint="default" w:ascii="Times New Roman" w:hAnsi="Times New Roman" w:cs="Times New Roman"/>
          <w:highlight w:val="none"/>
        </w:rPr>
        <w:t>。</w:t>
      </w:r>
      <w:r>
        <w:rPr>
          <w:rFonts w:hint="default" w:ascii="Times New Roman" w:hAnsi="Times New Roman" w:cs="Times New Roman"/>
          <w:highlight w:val="none"/>
          <w:lang w:val="en-US" w:eastAsia="zh-CN"/>
        </w:rPr>
        <w:t>二氧化硫、氮氧化物主要是针对</w:t>
      </w:r>
      <w:r>
        <w:rPr>
          <w:rFonts w:hint="default" w:ascii="Times New Roman" w:hAnsi="Times New Roman" w:cs="Times New Roman"/>
          <w:color w:val="auto"/>
          <w:highlight w:val="none"/>
          <w:lang w:val="zh-CN" w:eastAsia="zh-CN"/>
        </w:rPr>
        <w:t>VOCs燃烧（焚烧、氧化）装置的烟气限值，已发布标准中，仅</w:t>
      </w:r>
      <w:r>
        <w:rPr>
          <w:rFonts w:hint="eastAsia" w:cs="Times New Roman"/>
          <w:color w:val="auto"/>
          <w:highlight w:val="none"/>
          <w:lang w:val="en-US" w:eastAsia="zh-CN"/>
        </w:rPr>
        <w:t>北京、</w:t>
      </w:r>
      <w:r>
        <w:rPr>
          <w:rFonts w:hint="default" w:ascii="Times New Roman" w:hAnsi="Times New Roman" w:cs="Times New Roman"/>
          <w:color w:val="auto"/>
          <w:highlight w:val="none"/>
          <w:lang w:val="zh-CN" w:eastAsia="zh-CN"/>
        </w:rPr>
        <w:t>安徽规定了该限值，</w:t>
      </w:r>
      <w:r>
        <w:rPr>
          <w:rFonts w:hint="default" w:ascii="Times New Roman" w:hAnsi="Times New Roman" w:cs="Times New Roman"/>
          <w:highlight w:val="none"/>
          <w:lang w:val="en-US" w:eastAsia="zh-CN"/>
        </w:rPr>
        <w:t>浙江（征求意见稿）、</w:t>
      </w:r>
      <w:r>
        <w:rPr>
          <w:rFonts w:hint="default" w:ascii="Times New Roman" w:hAnsi="Times New Roman" w:cs="Times New Roman"/>
          <w:color w:val="auto"/>
          <w:highlight w:val="none"/>
          <w:lang w:val="zh-CN" w:eastAsia="zh-CN"/>
        </w:rPr>
        <w:t>广东（送审稿）也明确了以上两项指标，其中北京最严，其次是安徽。</w:t>
      </w:r>
      <w:r>
        <w:rPr>
          <w:rFonts w:hint="default" w:ascii="Times New Roman" w:hAnsi="Times New Roman" w:cs="Times New Roman"/>
          <w:highlight w:val="none"/>
          <w:lang w:eastAsia="zh-CN"/>
        </w:rPr>
        <w:t>本</w:t>
      </w:r>
      <w:r>
        <w:rPr>
          <w:rFonts w:hint="eastAsia" w:cs="Times New Roman"/>
          <w:highlight w:val="none"/>
          <w:lang w:eastAsia="zh-CN"/>
        </w:rPr>
        <w:t>标准</w:t>
      </w:r>
      <w:r>
        <w:rPr>
          <w:rFonts w:hint="default" w:ascii="Times New Roman" w:hAnsi="Times New Roman" w:cs="Times New Roman"/>
          <w:highlight w:val="none"/>
          <w:lang w:eastAsia="zh-CN"/>
        </w:rPr>
        <w:t>有组织限值指标与其他省市地标基本保持一致。</w:t>
      </w:r>
    </w:p>
    <w:p w14:paraId="6DF29DD8">
      <w:pPr>
        <w:keepNext w:val="0"/>
        <w:keepLines w:val="0"/>
        <w:pageBreakBefore w:val="0"/>
        <w:widowControl/>
        <w:kinsoku/>
        <w:wordWrap/>
        <w:autoSpaceDE/>
        <w:autoSpaceDN/>
        <w:bidi w:val="0"/>
        <w:ind w:firstLine="720"/>
        <w:rPr>
          <w:rFonts w:hint="default" w:ascii="Times New Roman" w:hAnsi="Times New Roman" w:cs="Times New Roman"/>
          <w:b/>
          <w:bCs/>
          <w:highlight w:val="none"/>
          <w:lang w:eastAsia="zh-CN"/>
        </w:rPr>
      </w:pPr>
      <w:r>
        <w:rPr>
          <w:rFonts w:hint="default" w:ascii="Times New Roman" w:hAnsi="Times New Roman" w:cs="Times New Roman"/>
          <w:b/>
          <w:bCs/>
          <w:highlight w:val="none"/>
          <w:lang w:eastAsia="zh-CN"/>
        </w:rPr>
        <w:t>（</w:t>
      </w:r>
      <w:r>
        <w:rPr>
          <w:rFonts w:hint="default" w:ascii="Times New Roman" w:hAnsi="Times New Roman" w:cs="Times New Roman"/>
          <w:b/>
          <w:bCs/>
          <w:highlight w:val="none"/>
          <w:lang w:val="en-US" w:eastAsia="zh-CN"/>
        </w:rPr>
        <w:t>4</w:t>
      </w:r>
      <w:r>
        <w:rPr>
          <w:rFonts w:hint="default" w:ascii="Times New Roman" w:hAnsi="Times New Roman" w:cs="Times New Roman"/>
          <w:b/>
          <w:bCs/>
          <w:highlight w:val="none"/>
          <w:lang w:eastAsia="zh-CN"/>
        </w:rPr>
        <w:t>）去除效率</w:t>
      </w:r>
    </w:p>
    <w:p w14:paraId="7D6F0FEE">
      <w:pPr>
        <w:keepNext w:val="0"/>
        <w:keepLines w:val="0"/>
        <w:pageBreakBefore w:val="0"/>
        <w:widowControl/>
        <w:kinsoku/>
        <w:wordWrap/>
        <w:autoSpaceDE/>
        <w:autoSpaceDN/>
        <w:bidi w:val="0"/>
        <w:spacing w:line="360" w:lineRule="auto"/>
        <w:rPr>
          <w:rFonts w:hint="default" w:ascii="Times New Roman" w:hAnsi="Times New Roman" w:cs="Times New Roman"/>
          <w:sz w:val="24"/>
          <w:highlight w:val="none"/>
        </w:rPr>
      </w:pPr>
      <w:r>
        <w:rPr>
          <w:rFonts w:hint="default" w:ascii="Times New Roman" w:hAnsi="Times New Roman" w:cs="Times New Roman"/>
          <w:sz w:val="24"/>
          <w:highlight w:val="none"/>
          <w:lang w:val="en-US" w:eastAsia="zh-CN"/>
        </w:rPr>
        <w:t>已发布标准中，仅安徽规定了</w:t>
      </w:r>
      <w:r>
        <w:rPr>
          <w:rFonts w:hint="default" w:ascii="Times New Roman" w:hAnsi="Times New Roman" w:cs="Times New Roman"/>
          <w:sz w:val="24"/>
          <w:highlight w:val="none"/>
        </w:rPr>
        <w:t>非甲烷总烃（NMHC）的去除效率</w:t>
      </w:r>
      <w:r>
        <w:rPr>
          <w:rFonts w:hint="default" w:ascii="Times New Roman" w:hAnsi="Times New Roman" w:cs="Times New Roman"/>
          <w:sz w:val="24"/>
          <w:highlight w:val="none"/>
          <w:lang w:val="en-US" w:eastAsia="zh-CN"/>
        </w:rPr>
        <w:t>，要求车间或生产设施排气中NMHC初始排放速率&gt;2kg/h的，VOCs处理设施的处理效率不应低于80%；</w:t>
      </w:r>
      <w:r>
        <w:rPr>
          <w:rFonts w:hint="default" w:ascii="Times New Roman" w:hAnsi="Times New Roman" w:cs="Times New Roman"/>
          <w:b/>
          <w:bCs/>
          <w:highlight w:val="none"/>
        </w:rPr>
        <w:t>四川（本</w:t>
      </w:r>
      <w:r>
        <w:rPr>
          <w:rFonts w:hint="eastAsia" w:cs="Times New Roman"/>
          <w:b/>
          <w:bCs/>
          <w:highlight w:val="none"/>
          <w:lang w:eastAsia="zh-CN"/>
        </w:rPr>
        <w:t>标准</w:t>
      </w:r>
      <w:r>
        <w:rPr>
          <w:rFonts w:hint="default" w:ascii="Times New Roman" w:hAnsi="Times New Roman" w:cs="Times New Roman"/>
          <w:b/>
          <w:bCs/>
          <w:highlight w:val="none"/>
        </w:rPr>
        <w:t>）</w:t>
      </w:r>
      <w:r>
        <w:rPr>
          <w:rFonts w:hint="default" w:ascii="Times New Roman" w:hAnsi="Times New Roman" w:cs="Times New Roman"/>
          <w:sz w:val="24"/>
          <w:highlight w:val="none"/>
          <w:lang w:val="en-US" w:eastAsia="zh-CN"/>
        </w:rPr>
        <w:t>要求车间或生产设施排气中NMHC初始排放速率≥2 kg/h（其他区域≥3 kg/h）时，VOCs处理设施的处理效率不应低于80%</w:t>
      </w:r>
      <w:r>
        <w:rPr>
          <w:rFonts w:hint="default" w:ascii="Times New Roman" w:hAnsi="Times New Roman" w:cs="Times New Roman"/>
          <w:sz w:val="24"/>
          <w:highlight w:val="none"/>
        </w:rPr>
        <w:t>。</w:t>
      </w:r>
    </w:p>
    <w:p w14:paraId="44839025">
      <w:pPr>
        <w:keepNext w:val="0"/>
        <w:keepLines w:val="0"/>
        <w:pageBreakBefore w:val="0"/>
        <w:widowControl/>
        <w:kinsoku/>
        <w:wordWrap/>
        <w:autoSpaceDE/>
        <w:autoSpaceDN/>
        <w:bidi w:val="0"/>
        <w:spacing w:line="360" w:lineRule="auto"/>
        <w:rPr>
          <w:rFonts w:hint="default" w:ascii="Times New Roman" w:hAnsi="Times New Roman" w:cs="Times New Roman"/>
          <w:sz w:val="24"/>
          <w:highlight w:val="none"/>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14:paraId="24906DB4">
      <w:pPr>
        <w:keepNext w:val="0"/>
        <w:keepLines w:val="0"/>
        <w:pageBreakBefore w:val="0"/>
        <w:widowControl/>
        <w:kinsoku/>
        <w:wordWrap/>
        <w:autoSpaceDE/>
        <w:autoSpaceDN/>
        <w:bidi w:val="0"/>
        <w:ind w:left="0" w:leftChars="0" w:firstLine="0" w:firstLineChars="0"/>
        <w:jc w:val="center"/>
        <w:rPr>
          <w:rFonts w:hint="default" w:ascii="Times New Roman" w:hAnsi="Times New Roman" w:cs="Times New Roman"/>
          <w:highlight w:val="none"/>
          <w:lang w:val="en-US" w:eastAsia="zh-CN"/>
        </w:rPr>
      </w:pPr>
      <w:r>
        <w:rPr>
          <w:rFonts w:hint="default" w:ascii="Times New Roman" w:hAnsi="Times New Roman" w:cs="Times New Roman"/>
          <w:highlight w:val="none"/>
          <w:lang w:val="en-US" w:eastAsia="zh-CN"/>
        </w:rPr>
        <w:t>表3.2-</w:t>
      </w:r>
      <w:r>
        <w:rPr>
          <w:rFonts w:hint="eastAsia" w:ascii="Times New Roman" w:hAnsi="Times New Roman" w:cs="Times New Roman"/>
          <w:highlight w:val="none"/>
          <w:lang w:val="en-US" w:eastAsia="zh-CN"/>
        </w:rPr>
        <w:t>4</w:t>
      </w:r>
      <w:r>
        <w:rPr>
          <w:rFonts w:hint="default" w:ascii="Times New Roman" w:hAnsi="Times New Roman" w:cs="Times New Roman"/>
          <w:highlight w:val="none"/>
          <w:lang w:val="en-US" w:eastAsia="zh-CN"/>
        </w:rPr>
        <w:t xml:space="preserve"> 各标准有组织控制指标与限值</w:t>
      </w:r>
    </w:p>
    <w:p w14:paraId="78CD5073">
      <w:pPr>
        <w:keepNext w:val="0"/>
        <w:keepLines w:val="0"/>
        <w:pageBreakBefore w:val="0"/>
        <w:widowControl/>
        <w:kinsoku/>
        <w:wordWrap/>
        <w:autoSpaceDE/>
        <w:autoSpaceDN/>
        <w:bidi w:val="0"/>
        <w:ind w:left="0" w:leftChars="0" w:firstLine="0" w:firstLineChars="0"/>
        <w:jc w:val="right"/>
        <w:rPr>
          <w:rFonts w:hint="default" w:ascii="Times New Roman" w:hAnsi="Times New Roman" w:cs="Times New Roman"/>
          <w:highlight w:val="none"/>
          <w:lang w:val="en-US" w:eastAsia="zh-CN"/>
        </w:rPr>
      </w:pPr>
      <w:r>
        <w:rPr>
          <w:rFonts w:hint="default" w:ascii="Times New Roman" w:hAnsi="Times New Roman" w:cs="Times New Roman"/>
          <w:highlight w:val="none"/>
          <w:lang w:val="en-US" w:eastAsia="zh-CN"/>
        </w:rPr>
        <w:t>单位：mg/m</w:t>
      </w:r>
      <w:r>
        <w:rPr>
          <w:rFonts w:hint="default" w:ascii="Times New Roman" w:hAnsi="Times New Roman" w:cs="Times New Roman"/>
          <w:highlight w:val="none"/>
          <w:vertAlign w:val="superscript"/>
          <w:lang w:val="en-US" w:eastAsia="zh-CN"/>
        </w:rPr>
        <w:t>3</w:t>
      </w:r>
    </w:p>
    <w:tbl>
      <w:tblPr>
        <w:tblStyle w:val="21"/>
        <w:tblW w:w="4996"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906"/>
        <w:gridCol w:w="662"/>
        <w:gridCol w:w="787"/>
        <w:gridCol w:w="799"/>
        <w:gridCol w:w="802"/>
        <w:gridCol w:w="805"/>
        <w:gridCol w:w="805"/>
        <w:gridCol w:w="805"/>
        <w:gridCol w:w="805"/>
        <w:gridCol w:w="809"/>
        <w:gridCol w:w="933"/>
        <w:gridCol w:w="805"/>
        <w:gridCol w:w="805"/>
        <w:gridCol w:w="1346"/>
        <w:gridCol w:w="2289"/>
      </w:tblGrid>
      <w:tr w14:paraId="59724E8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85" w:hRule="atLeast"/>
          <w:tblHeader/>
        </w:trPr>
        <w:tc>
          <w:tcPr>
            <w:tcW w:w="31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3AB58A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省市</w:t>
            </w:r>
          </w:p>
        </w:tc>
        <w:tc>
          <w:tcPr>
            <w:tcW w:w="4680" w:type="pct"/>
            <w:gridSpan w:val="14"/>
            <w:tcBorders>
              <w:top w:val="single" w:color="000000" w:sz="4" w:space="0"/>
              <w:left w:val="single" w:color="000000" w:sz="4" w:space="0"/>
              <w:bottom w:val="single" w:color="000000" w:sz="4" w:space="0"/>
              <w:right w:val="single" w:color="000000" w:sz="4" w:space="0"/>
            </w:tcBorders>
            <w:shd w:val="clear" w:color="auto" w:fill="auto"/>
            <w:vAlign w:val="center"/>
          </w:tcPr>
          <w:p w14:paraId="54A29F5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指标项目</w:t>
            </w:r>
          </w:p>
        </w:tc>
      </w:tr>
      <w:tr w14:paraId="0CF282E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4" w:hRule="atLeast"/>
          <w:tblHeader/>
        </w:trPr>
        <w:tc>
          <w:tcPr>
            <w:tcW w:w="31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76B89E1">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b/>
                <w:bCs/>
                <w:i w:val="0"/>
                <w:iCs w:val="0"/>
                <w:color w:val="000000"/>
                <w:sz w:val="18"/>
                <w:szCs w:val="18"/>
                <w:highlight w:val="none"/>
                <w:u w:val="none"/>
              </w:rPr>
            </w:pPr>
          </w:p>
        </w:tc>
        <w:tc>
          <w:tcPr>
            <w:tcW w:w="2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B8AD7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苯</w:t>
            </w:r>
          </w:p>
        </w:tc>
        <w:tc>
          <w:tcPr>
            <w:tcW w:w="2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1CD15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甲苯</w:t>
            </w:r>
          </w:p>
        </w:tc>
        <w:tc>
          <w:tcPr>
            <w:tcW w:w="28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3F8DE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二甲苯</w:t>
            </w:r>
          </w:p>
        </w:tc>
        <w:tc>
          <w:tcPr>
            <w:tcW w:w="28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5E0B9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甲苯+二甲苯</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C0970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苯系物</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A092A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乙酸酯类</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E7D82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臭气浓度</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AD37E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非甲烷总烃</w:t>
            </w:r>
          </w:p>
        </w:tc>
        <w:tc>
          <w:tcPr>
            <w:tcW w:w="28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DF084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TVOC</w:t>
            </w:r>
            <w:r>
              <w:rPr>
                <w:rFonts w:hint="eastAsia" w:cs="Times New Roman"/>
                <w:b/>
                <w:bCs/>
                <w:i w:val="0"/>
                <w:iCs w:val="0"/>
                <w:color w:val="000000"/>
                <w:kern w:val="0"/>
                <w:sz w:val="18"/>
                <w:szCs w:val="18"/>
                <w:highlight w:val="none"/>
                <w:u w:val="none"/>
                <w:lang w:val="en-US" w:eastAsia="zh-CN" w:bidi="ar"/>
              </w:rPr>
              <w:t>s</w:t>
            </w:r>
          </w:p>
        </w:tc>
        <w:tc>
          <w:tcPr>
            <w:tcW w:w="3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2E183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颗粒物</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3F3CD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lang w:val="en-US"/>
              </w:rPr>
            </w:pPr>
            <w:r>
              <w:rPr>
                <w:rFonts w:hint="default" w:ascii="Times New Roman" w:hAnsi="Times New Roman" w:eastAsia="宋体" w:cs="Times New Roman"/>
                <w:b/>
                <w:bCs/>
                <w:i w:val="0"/>
                <w:iCs w:val="0"/>
                <w:color w:val="000000"/>
                <w:kern w:val="0"/>
                <w:sz w:val="18"/>
                <w:szCs w:val="18"/>
                <w:highlight w:val="none"/>
                <w:u w:val="none"/>
                <w:lang w:val="en-US" w:eastAsia="zh-CN" w:bidi="ar"/>
              </w:rPr>
              <w:t>二氧化硫</w:t>
            </w:r>
            <w:r>
              <w:rPr>
                <w:rFonts w:hint="default" w:ascii="Times New Roman" w:hAnsi="Times New Roman" w:cs="Times New Roman"/>
                <w:b/>
                <w:bCs/>
                <w:i w:val="0"/>
                <w:iCs w:val="0"/>
                <w:color w:val="000000"/>
                <w:kern w:val="0"/>
                <w:sz w:val="18"/>
                <w:szCs w:val="18"/>
                <w:highlight w:val="none"/>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2FCD1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lang w:val="en-US"/>
              </w:rPr>
            </w:pPr>
            <w:r>
              <w:rPr>
                <w:rFonts w:hint="default" w:ascii="Times New Roman" w:hAnsi="Times New Roman" w:eastAsia="宋体" w:cs="Times New Roman"/>
                <w:b/>
                <w:bCs/>
                <w:i w:val="0"/>
                <w:iCs w:val="0"/>
                <w:color w:val="000000"/>
                <w:kern w:val="0"/>
                <w:sz w:val="18"/>
                <w:szCs w:val="18"/>
                <w:highlight w:val="none"/>
                <w:u w:val="none"/>
                <w:lang w:val="en-US" w:eastAsia="zh-CN" w:bidi="ar"/>
              </w:rPr>
              <w:t>氮氧化物</w:t>
            </w:r>
            <w:r>
              <w:rPr>
                <w:rFonts w:hint="default" w:ascii="Times New Roman" w:hAnsi="Times New Roman" w:cs="Times New Roman"/>
                <w:b/>
                <w:bCs/>
                <w:i w:val="0"/>
                <w:iCs w:val="0"/>
                <w:color w:val="000000"/>
                <w:kern w:val="0"/>
                <w:sz w:val="18"/>
                <w:szCs w:val="18"/>
                <w:highlight w:val="none"/>
                <w:u w:val="none"/>
                <w:lang w:val="en-US" w:eastAsia="zh-CN" w:bidi="ar"/>
              </w:rPr>
              <w:t>*</w:t>
            </w:r>
          </w:p>
        </w:tc>
        <w:tc>
          <w:tcPr>
            <w:tcW w:w="4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A16FD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污染物排放监控位置</w:t>
            </w:r>
          </w:p>
        </w:tc>
        <w:tc>
          <w:tcPr>
            <w:tcW w:w="80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FDECE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去除效率</w:t>
            </w:r>
          </w:p>
        </w:tc>
      </w:tr>
      <w:tr w14:paraId="18D81B9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21" w:hRule="atLeast"/>
        </w:trPr>
        <w:tc>
          <w:tcPr>
            <w:tcW w:w="319" w:type="pct"/>
            <w:vMerge w:val="restart"/>
            <w:tcBorders>
              <w:top w:val="single" w:color="000000" w:sz="4" w:space="0"/>
              <w:left w:val="single" w:color="000000" w:sz="4" w:space="0"/>
              <w:right w:val="single" w:color="000000" w:sz="4" w:space="0"/>
            </w:tcBorders>
            <w:shd w:val="clear" w:color="auto" w:fill="auto"/>
            <w:vAlign w:val="center"/>
          </w:tcPr>
          <w:p w14:paraId="34FA3B2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四川（本</w:t>
            </w:r>
            <w:r>
              <w:rPr>
                <w:rFonts w:hint="eastAsia" w:cs="Times New Roman"/>
                <w:b/>
                <w:bCs/>
                <w:i w:val="0"/>
                <w:iCs w:val="0"/>
                <w:color w:val="000000"/>
                <w:kern w:val="0"/>
                <w:sz w:val="18"/>
                <w:szCs w:val="18"/>
                <w:highlight w:val="none"/>
                <w:u w:val="none"/>
                <w:lang w:val="en-US" w:eastAsia="zh-CN" w:bidi="ar"/>
              </w:rPr>
              <w:t>标准</w:t>
            </w:r>
            <w:r>
              <w:rPr>
                <w:rFonts w:hint="default" w:ascii="Times New Roman" w:hAnsi="Times New Roman" w:eastAsia="宋体" w:cs="Times New Roman"/>
                <w:b/>
                <w:bCs/>
                <w:i w:val="0"/>
                <w:iCs w:val="0"/>
                <w:color w:val="000000"/>
                <w:kern w:val="0"/>
                <w:sz w:val="18"/>
                <w:szCs w:val="18"/>
                <w:highlight w:val="none"/>
                <w:u w:val="none"/>
                <w:lang w:val="en-US" w:eastAsia="zh-CN" w:bidi="ar"/>
              </w:rPr>
              <w:t>）</w:t>
            </w:r>
          </w:p>
        </w:tc>
        <w:tc>
          <w:tcPr>
            <w:tcW w:w="233" w:type="pct"/>
            <w:vMerge w:val="restart"/>
            <w:tcBorders>
              <w:top w:val="single" w:color="000000" w:sz="4" w:space="0"/>
              <w:left w:val="single" w:color="000000" w:sz="4" w:space="0"/>
              <w:right w:val="single" w:color="000000" w:sz="4" w:space="0"/>
            </w:tcBorders>
            <w:shd w:val="clear" w:color="auto" w:fill="auto"/>
            <w:vAlign w:val="center"/>
          </w:tcPr>
          <w:p w14:paraId="5E6A5CA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r>
              <w:rPr>
                <w:rFonts w:hint="default" w:ascii="Times New Roman" w:hAnsi="Times New Roman" w:eastAsia="宋体" w:cs="Times New Roman"/>
                <w:b/>
                <w:bCs/>
                <w:i w:val="0"/>
                <w:iCs w:val="0"/>
                <w:color w:val="000000"/>
                <w:kern w:val="0"/>
                <w:sz w:val="18"/>
                <w:szCs w:val="18"/>
                <w:highlight w:val="none"/>
                <w:u w:val="none"/>
                <w:lang w:val="en-US" w:eastAsia="zh-CN" w:bidi="ar"/>
              </w:rPr>
              <w:t>0.5</w:t>
            </w:r>
          </w:p>
        </w:tc>
        <w:tc>
          <w:tcPr>
            <w:tcW w:w="277" w:type="pct"/>
            <w:vMerge w:val="restart"/>
            <w:tcBorders>
              <w:top w:val="single" w:color="000000" w:sz="4" w:space="0"/>
              <w:left w:val="single" w:color="000000" w:sz="4" w:space="0"/>
              <w:right w:val="single" w:color="000000" w:sz="4" w:space="0"/>
            </w:tcBorders>
            <w:shd w:val="clear" w:color="auto" w:fill="auto"/>
            <w:vAlign w:val="center"/>
          </w:tcPr>
          <w:p w14:paraId="6BE2815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2" w:type="pct"/>
            <w:vMerge w:val="restart"/>
            <w:tcBorders>
              <w:top w:val="single" w:color="000000" w:sz="4" w:space="0"/>
              <w:left w:val="single" w:color="000000" w:sz="4" w:space="0"/>
              <w:right w:val="single" w:color="000000" w:sz="4" w:space="0"/>
            </w:tcBorders>
            <w:shd w:val="clear" w:color="auto" w:fill="auto"/>
            <w:vAlign w:val="center"/>
          </w:tcPr>
          <w:p w14:paraId="0DBC79D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3" w:type="pct"/>
            <w:vMerge w:val="restart"/>
            <w:tcBorders>
              <w:top w:val="single" w:color="000000" w:sz="4" w:space="0"/>
              <w:left w:val="single" w:color="000000" w:sz="4" w:space="0"/>
              <w:right w:val="single" w:color="000000" w:sz="4" w:space="0"/>
            </w:tcBorders>
            <w:shd w:val="clear" w:color="auto" w:fill="auto"/>
            <w:vAlign w:val="center"/>
          </w:tcPr>
          <w:p w14:paraId="7A414B8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4" w:type="pct"/>
            <w:vMerge w:val="restart"/>
            <w:tcBorders>
              <w:top w:val="single" w:color="000000" w:sz="4" w:space="0"/>
              <w:left w:val="single" w:color="000000" w:sz="4" w:space="0"/>
              <w:right w:val="single" w:color="000000" w:sz="4" w:space="0"/>
            </w:tcBorders>
            <w:shd w:val="clear" w:color="auto" w:fill="auto"/>
            <w:vAlign w:val="center"/>
          </w:tcPr>
          <w:p w14:paraId="5F33442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r>
              <w:rPr>
                <w:rFonts w:hint="default" w:ascii="Times New Roman" w:hAnsi="Times New Roman" w:eastAsia="宋体" w:cs="Times New Roman"/>
                <w:b/>
                <w:bCs/>
                <w:i w:val="0"/>
                <w:iCs w:val="0"/>
                <w:color w:val="000000"/>
                <w:kern w:val="0"/>
                <w:sz w:val="18"/>
                <w:szCs w:val="18"/>
                <w:highlight w:val="none"/>
                <w:u w:val="none"/>
                <w:lang w:val="en-US" w:eastAsia="zh-CN" w:bidi="ar"/>
              </w:rPr>
              <w:t>10</w:t>
            </w:r>
          </w:p>
        </w:tc>
        <w:tc>
          <w:tcPr>
            <w:tcW w:w="284" w:type="pct"/>
            <w:vMerge w:val="restart"/>
            <w:tcBorders>
              <w:top w:val="single" w:color="000000" w:sz="4" w:space="0"/>
              <w:left w:val="single" w:color="000000" w:sz="4" w:space="0"/>
              <w:right w:val="single" w:color="000000" w:sz="4" w:space="0"/>
            </w:tcBorders>
            <w:shd w:val="clear" w:color="auto" w:fill="auto"/>
            <w:vAlign w:val="center"/>
          </w:tcPr>
          <w:p w14:paraId="5F896BC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r>
              <w:rPr>
                <w:rFonts w:hint="default" w:ascii="Times New Roman" w:hAnsi="Times New Roman" w:eastAsia="宋体" w:cs="Times New Roman"/>
                <w:b/>
                <w:bCs/>
                <w:i w:val="0"/>
                <w:iCs w:val="0"/>
                <w:color w:val="000000"/>
                <w:kern w:val="0"/>
                <w:sz w:val="18"/>
                <w:szCs w:val="18"/>
                <w:highlight w:val="none"/>
                <w:u w:val="none"/>
                <w:lang w:val="en-US" w:eastAsia="zh-CN" w:bidi="ar"/>
              </w:rPr>
              <w:t>/</w:t>
            </w:r>
          </w:p>
        </w:tc>
        <w:tc>
          <w:tcPr>
            <w:tcW w:w="284" w:type="pct"/>
            <w:vMerge w:val="restart"/>
            <w:tcBorders>
              <w:top w:val="single" w:color="000000" w:sz="4" w:space="0"/>
              <w:left w:val="single" w:color="000000" w:sz="4" w:space="0"/>
              <w:right w:val="single" w:color="000000" w:sz="4" w:space="0"/>
            </w:tcBorders>
            <w:shd w:val="clear" w:color="auto" w:fill="auto"/>
            <w:vAlign w:val="center"/>
          </w:tcPr>
          <w:p w14:paraId="335FF1D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4" w:type="pct"/>
            <w:vMerge w:val="restart"/>
            <w:tcBorders>
              <w:top w:val="single" w:color="000000" w:sz="4" w:space="0"/>
              <w:left w:val="single" w:color="000000" w:sz="4" w:space="0"/>
              <w:right w:val="single" w:color="000000" w:sz="4" w:space="0"/>
            </w:tcBorders>
            <w:shd w:val="clear" w:color="auto" w:fill="auto"/>
            <w:vAlign w:val="center"/>
          </w:tcPr>
          <w:p w14:paraId="2850A6E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r>
              <w:rPr>
                <w:rFonts w:hint="default" w:ascii="Times New Roman" w:hAnsi="Times New Roman" w:eastAsia="宋体" w:cs="Times New Roman"/>
                <w:b/>
                <w:bCs/>
                <w:i w:val="0"/>
                <w:iCs w:val="0"/>
                <w:color w:val="000000"/>
                <w:kern w:val="0"/>
                <w:sz w:val="18"/>
                <w:szCs w:val="18"/>
                <w:highlight w:val="none"/>
                <w:u w:val="none"/>
                <w:lang w:val="en-US" w:eastAsia="zh-CN" w:bidi="ar"/>
              </w:rPr>
              <w:t>20</w:t>
            </w:r>
          </w:p>
        </w:tc>
        <w:tc>
          <w:tcPr>
            <w:tcW w:w="285" w:type="pct"/>
            <w:vMerge w:val="restart"/>
            <w:tcBorders>
              <w:top w:val="single" w:color="000000" w:sz="4" w:space="0"/>
              <w:left w:val="single" w:color="000000" w:sz="4" w:space="0"/>
              <w:right w:val="single" w:color="000000" w:sz="4" w:space="0"/>
            </w:tcBorders>
            <w:shd w:val="clear" w:color="auto" w:fill="auto"/>
            <w:vAlign w:val="center"/>
          </w:tcPr>
          <w:p w14:paraId="6FD14B1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29" w:type="pct"/>
            <w:tcBorders>
              <w:top w:val="single" w:color="000000" w:sz="4" w:space="0"/>
              <w:left w:val="single" w:color="000000" w:sz="4" w:space="0"/>
              <w:bottom w:val="single" w:color="auto" w:sz="4" w:space="0"/>
              <w:right w:val="single" w:color="000000" w:sz="4" w:space="0"/>
            </w:tcBorders>
            <w:shd w:val="clear" w:color="auto" w:fill="auto"/>
            <w:vAlign w:val="center"/>
          </w:tcPr>
          <w:p w14:paraId="4DD414B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r>
              <w:rPr>
                <w:rFonts w:hint="default" w:ascii="Times New Roman" w:hAnsi="Times New Roman" w:eastAsia="宋体" w:cs="Times New Roman"/>
                <w:b/>
                <w:bCs/>
                <w:i w:val="0"/>
                <w:iCs w:val="0"/>
                <w:color w:val="000000"/>
                <w:kern w:val="0"/>
                <w:sz w:val="18"/>
                <w:szCs w:val="18"/>
                <w:highlight w:val="none"/>
                <w:u w:val="none"/>
                <w:lang w:val="en-US" w:eastAsia="zh-CN" w:bidi="ar"/>
              </w:rPr>
              <w:t>10（控制区）</w:t>
            </w:r>
          </w:p>
        </w:tc>
        <w:tc>
          <w:tcPr>
            <w:tcW w:w="284" w:type="pct"/>
            <w:vMerge w:val="restart"/>
            <w:tcBorders>
              <w:top w:val="single" w:color="000000" w:sz="4" w:space="0"/>
              <w:left w:val="single" w:color="000000" w:sz="4" w:space="0"/>
              <w:right w:val="single" w:color="000000" w:sz="4" w:space="0"/>
            </w:tcBorders>
            <w:shd w:val="clear" w:color="auto" w:fill="auto"/>
            <w:vAlign w:val="center"/>
          </w:tcPr>
          <w:p w14:paraId="4699485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r>
              <w:rPr>
                <w:rFonts w:hint="eastAsia" w:cs="Times New Roman"/>
                <w:b/>
                <w:bCs/>
                <w:i w:val="0"/>
                <w:iCs w:val="0"/>
                <w:color w:val="000000"/>
                <w:kern w:val="0"/>
                <w:sz w:val="18"/>
                <w:szCs w:val="18"/>
                <w:highlight w:val="none"/>
                <w:u w:val="none"/>
                <w:lang w:val="en-US" w:eastAsia="zh-CN" w:bidi="ar"/>
              </w:rPr>
              <w:t>5</w:t>
            </w:r>
            <w:r>
              <w:rPr>
                <w:rFonts w:hint="default" w:ascii="Times New Roman" w:hAnsi="Times New Roman" w:cs="Times New Roman"/>
                <w:b/>
                <w:bCs/>
                <w:i w:val="0"/>
                <w:iCs w:val="0"/>
                <w:color w:val="000000"/>
                <w:kern w:val="0"/>
                <w:sz w:val="18"/>
                <w:szCs w:val="18"/>
                <w:highlight w:val="none"/>
                <w:u w:val="none"/>
                <w:lang w:val="en-US" w:eastAsia="zh-CN" w:bidi="ar"/>
              </w:rPr>
              <w:t>0</w:t>
            </w:r>
          </w:p>
        </w:tc>
        <w:tc>
          <w:tcPr>
            <w:tcW w:w="284" w:type="pct"/>
            <w:vMerge w:val="restart"/>
            <w:tcBorders>
              <w:top w:val="single" w:color="000000" w:sz="4" w:space="0"/>
              <w:left w:val="single" w:color="000000" w:sz="4" w:space="0"/>
              <w:right w:val="single" w:color="000000" w:sz="4" w:space="0"/>
            </w:tcBorders>
            <w:shd w:val="clear" w:color="auto" w:fill="auto"/>
            <w:vAlign w:val="center"/>
          </w:tcPr>
          <w:p w14:paraId="5F4FDBB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r>
              <w:rPr>
                <w:rFonts w:hint="eastAsia" w:cs="Times New Roman"/>
                <w:b/>
                <w:bCs/>
                <w:i w:val="0"/>
                <w:iCs w:val="0"/>
                <w:color w:val="000000"/>
                <w:kern w:val="0"/>
                <w:sz w:val="18"/>
                <w:szCs w:val="18"/>
                <w:highlight w:val="none"/>
                <w:u w:val="none"/>
                <w:lang w:val="en-US" w:eastAsia="zh-CN" w:bidi="ar"/>
              </w:rPr>
              <w:t>15</w:t>
            </w:r>
            <w:r>
              <w:rPr>
                <w:rFonts w:hint="default" w:ascii="Times New Roman" w:hAnsi="Times New Roman" w:eastAsia="宋体" w:cs="Times New Roman"/>
                <w:b/>
                <w:bCs/>
                <w:i w:val="0"/>
                <w:iCs w:val="0"/>
                <w:color w:val="000000"/>
                <w:kern w:val="0"/>
                <w:sz w:val="18"/>
                <w:szCs w:val="18"/>
                <w:highlight w:val="none"/>
                <w:u w:val="none"/>
                <w:lang w:val="en-US" w:eastAsia="zh-CN" w:bidi="ar"/>
              </w:rPr>
              <w:t>0</w:t>
            </w:r>
          </w:p>
        </w:tc>
        <w:tc>
          <w:tcPr>
            <w:tcW w:w="475" w:type="pct"/>
            <w:vMerge w:val="restart"/>
            <w:tcBorders>
              <w:top w:val="single" w:color="000000" w:sz="4" w:space="0"/>
              <w:left w:val="single" w:color="000000" w:sz="4" w:space="0"/>
              <w:right w:val="single" w:color="000000" w:sz="4" w:space="0"/>
            </w:tcBorders>
            <w:shd w:val="clear" w:color="auto" w:fill="auto"/>
            <w:vAlign w:val="center"/>
          </w:tcPr>
          <w:p w14:paraId="0DD9569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r>
              <w:rPr>
                <w:rStyle w:val="51"/>
                <w:rFonts w:hint="default" w:ascii="Times New Roman" w:hAnsi="Times New Roman" w:cs="Times New Roman"/>
                <w:sz w:val="18"/>
                <w:szCs w:val="18"/>
                <w:highlight w:val="none"/>
                <w:lang w:val="en-US" w:eastAsia="zh-CN" w:bidi="ar"/>
              </w:rPr>
              <w:t>车间或生产设施排气筒</w:t>
            </w:r>
          </w:p>
        </w:tc>
        <w:tc>
          <w:tcPr>
            <w:tcW w:w="808" w:type="pct"/>
            <w:vMerge w:val="restart"/>
            <w:tcBorders>
              <w:top w:val="single" w:color="000000" w:sz="4" w:space="0"/>
              <w:left w:val="single" w:color="000000" w:sz="4" w:space="0"/>
              <w:right w:val="single" w:color="000000" w:sz="4" w:space="0"/>
            </w:tcBorders>
            <w:shd w:val="clear" w:color="auto" w:fill="auto"/>
            <w:vAlign w:val="center"/>
          </w:tcPr>
          <w:p w14:paraId="1C40F77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NMHC初始排放速率≥2 kg/h（其他区域≥3 kg/h）时</w:t>
            </w:r>
            <w:r>
              <w:rPr>
                <w:rFonts w:hint="default" w:ascii="Times New Roman" w:hAnsi="Times New Roman" w:cs="Times New Roman"/>
                <w:i w:val="0"/>
                <w:iCs w:val="0"/>
                <w:color w:val="000000"/>
                <w:kern w:val="0"/>
                <w:sz w:val="18"/>
                <w:szCs w:val="18"/>
                <w:highlight w:val="none"/>
                <w:u w:val="none"/>
                <w:lang w:val="en-US" w:eastAsia="zh-CN" w:bidi="ar"/>
              </w:rPr>
              <w:t>，</w:t>
            </w:r>
            <w:r>
              <w:rPr>
                <w:rFonts w:hint="default" w:ascii="Times New Roman" w:hAnsi="Times New Roman" w:eastAsia="宋体" w:cs="Times New Roman"/>
                <w:i w:val="0"/>
                <w:iCs w:val="0"/>
                <w:color w:val="000000"/>
                <w:kern w:val="0"/>
                <w:sz w:val="18"/>
                <w:szCs w:val="18"/>
                <w:highlight w:val="none"/>
                <w:u w:val="none"/>
                <w:lang w:val="en-US" w:eastAsia="zh-CN" w:bidi="ar"/>
              </w:rPr>
              <w:t>NMHC最低去除效率（80%）</w:t>
            </w:r>
          </w:p>
        </w:tc>
      </w:tr>
      <w:tr w14:paraId="28A18B7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7" w:hRule="atLeast"/>
        </w:trPr>
        <w:tc>
          <w:tcPr>
            <w:tcW w:w="319" w:type="pct"/>
            <w:vMerge w:val="continue"/>
            <w:tcBorders>
              <w:left w:val="single" w:color="000000" w:sz="4" w:space="0"/>
              <w:bottom w:val="single" w:color="000000" w:sz="4" w:space="0"/>
              <w:right w:val="single" w:color="000000" w:sz="4" w:space="0"/>
            </w:tcBorders>
            <w:shd w:val="clear" w:color="auto" w:fill="auto"/>
            <w:vAlign w:val="center"/>
          </w:tcPr>
          <w:p w14:paraId="2074558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p>
        </w:tc>
        <w:tc>
          <w:tcPr>
            <w:tcW w:w="233" w:type="pct"/>
            <w:vMerge w:val="continue"/>
            <w:tcBorders>
              <w:left w:val="single" w:color="000000" w:sz="4" w:space="0"/>
              <w:bottom w:val="single" w:color="000000" w:sz="4" w:space="0"/>
              <w:right w:val="single" w:color="000000" w:sz="4" w:space="0"/>
            </w:tcBorders>
            <w:shd w:val="clear" w:color="auto" w:fill="auto"/>
            <w:vAlign w:val="center"/>
          </w:tcPr>
          <w:p w14:paraId="4E2502B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p>
        </w:tc>
        <w:tc>
          <w:tcPr>
            <w:tcW w:w="277" w:type="pct"/>
            <w:vMerge w:val="continue"/>
            <w:tcBorders>
              <w:left w:val="single" w:color="000000" w:sz="4" w:space="0"/>
              <w:bottom w:val="single" w:color="000000" w:sz="4" w:space="0"/>
              <w:right w:val="single" w:color="000000" w:sz="4" w:space="0"/>
            </w:tcBorders>
            <w:shd w:val="clear" w:color="auto" w:fill="auto"/>
            <w:vAlign w:val="center"/>
          </w:tcPr>
          <w:p w14:paraId="5999432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p>
        </w:tc>
        <w:tc>
          <w:tcPr>
            <w:tcW w:w="282" w:type="pct"/>
            <w:vMerge w:val="continue"/>
            <w:tcBorders>
              <w:left w:val="single" w:color="000000" w:sz="4" w:space="0"/>
              <w:bottom w:val="single" w:color="000000" w:sz="4" w:space="0"/>
              <w:right w:val="single" w:color="000000" w:sz="4" w:space="0"/>
            </w:tcBorders>
            <w:shd w:val="clear" w:color="auto" w:fill="auto"/>
            <w:vAlign w:val="center"/>
          </w:tcPr>
          <w:p w14:paraId="19AA068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p>
        </w:tc>
        <w:tc>
          <w:tcPr>
            <w:tcW w:w="283" w:type="pct"/>
            <w:vMerge w:val="continue"/>
            <w:tcBorders>
              <w:left w:val="single" w:color="000000" w:sz="4" w:space="0"/>
              <w:bottom w:val="single" w:color="000000" w:sz="4" w:space="0"/>
              <w:right w:val="single" w:color="000000" w:sz="4" w:space="0"/>
            </w:tcBorders>
            <w:shd w:val="clear" w:color="auto" w:fill="auto"/>
            <w:vAlign w:val="center"/>
          </w:tcPr>
          <w:p w14:paraId="74132A0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p>
        </w:tc>
        <w:tc>
          <w:tcPr>
            <w:tcW w:w="284" w:type="pct"/>
            <w:vMerge w:val="continue"/>
            <w:tcBorders>
              <w:left w:val="single" w:color="000000" w:sz="4" w:space="0"/>
              <w:bottom w:val="single" w:color="000000" w:sz="4" w:space="0"/>
              <w:right w:val="single" w:color="000000" w:sz="4" w:space="0"/>
            </w:tcBorders>
            <w:shd w:val="clear" w:color="auto" w:fill="auto"/>
            <w:vAlign w:val="center"/>
          </w:tcPr>
          <w:p w14:paraId="3E6C528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p>
        </w:tc>
        <w:tc>
          <w:tcPr>
            <w:tcW w:w="284" w:type="pct"/>
            <w:vMerge w:val="continue"/>
            <w:tcBorders>
              <w:left w:val="single" w:color="000000" w:sz="4" w:space="0"/>
              <w:bottom w:val="single" w:color="000000" w:sz="4" w:space="0"/>
              <w:right w:val="single" w:color="000000" w:sz="4" w:space="0"/>
            </w:tcBorders>
            <w:shd w:val="clear" w:color="auto" w:fill="auto"/>
            <w:vAlign w:val="center"/>
          </w:tcPr>
          <w:p w14:paraId="13CDA26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p>
        </w:tc>
        <w:tc>
          <w:tcPr>
            <w:tcW w:w="284" w:type="pct"/>
            <w:vMerge w:val="continue"/>
            <w:tcBorders>
              <w:left w:val="single" w:color="000000" w:sz="4" w:space="0"/>
              <w:bottom w:val="single" w:color="000000" w:sz="4" w:space="0"/>
              <w:right w:val="single" w:color="000000" w:sz="4" w:space="0"/>
            </w:tcBorders>
            <w:shd w:val="clear" w:color="auto" w:fill="auto"/>
            <w:vAlign w:val="center"/>
          </w:tcPr>
          <w:p w14:paraId="5735426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p>
        </w:tc>
        <w:tc>
          <w:tcPr>
            <w:tcW w:w="284" w:type="pct"/>
            <w:vMerge w:val="continue"/>
            <w:tcBorders>
              <w:left w:val="single" w:color="000000" w:sz="4" w:space="0"/>
              <w:bottom w:val="single" w:color="000000" w:sz="4" w:space="0"/>
              <w:right w:val="single" w:color="000000" w:sz="4" w:space="0"/>
            </w:tcBorders>
            <w:shd w:val="clear" w:color="auto" w:fill="auto"/>
            <w:vAlign w:val="center"/>
          </w:tcPr>
          <w:p w14:paraId="58345A0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p>
        </w:tc>
        <w:tc>
          <w:tcPr>
            <w:tcW w:w="285" w:type="pct"/>
            <w:vMerge w:val="continue"/>
            <w:tcBorders>
              <w:left w:val="single" w:color="000000" w:sz="4" w:space="0"/>
              <w:bottom w:val="single" w:color="000000" w:sz="4" w:space="0"/>
              <w:right w:val="single" w:color="000000" w:sz="4" w:space="0"/>
            </w:tcBorders>
            <w:shd w:val="clear" w:color="auto" w:fill="auto"/>
            <w:vAlign w:val="center"/>
          </w:tcPr>
          <w:p w14:paraId="596C2E7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p>
        </w:tc>
        <w:tc>
          <w:tcPr>
            <w:tcW w:w="329" w:type="pct"/>
            <w:tcBorders>
              <w:top w:val="single" w:color="auto" w:sz="4" w:space="0"/>
              <w:left w:val="single" w:color="000000" w:sz="4" w:space="0"/>
              <w:bottom w:val="single" w:color="000000" w:sz="4" w:space="0"/>
              <w:right w:val="single" w:color="000000" w:sz="4" w:space="0"/>
            </w:tcBorders>
            <w:shd w:val="clear" w:color="auto" w:fill="auto"/>
            <w:vAlign w:val="center"/>
          </w:tcPr>
          <w:p w14:paraId="405DD93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r>
              <w:rPr>
                <w:rFonts w:hint="default" w:ascii="Times New Roman" w:hAnsi="Times New Roman" w:eastAsia="宋体" w:cs="Times New Roman"/>
                <w:b/>
                <w:bCs/>
                <w:i w:val="0"/>
                <w:iCs w:val="0"/>
                <w:color w:val="000000"/>
                <w:kern w:val="0"/>
                <w:sz w:val="18"/>
                <w:szCs w:val="18"/>
                <w:highlight w:val="none"/>
                <w:u w:val="none"/>
                <w:lang w:val="en-US" w:eastAsia="zh-CN" w:bidi="ar"/>
              </w:rPr>
              <w:t>20（其他区）</w:t>
            </w:r>
          </w:p>
        </w:tc>
        <w:tc>
          <w:tcPr>
            <w:tcW w:w="284" w:type="pct"/>
            <w:vMerge w:val="continue"/>
            <w:tcBorders>
              <w:left w:val="single" w:color="000000" w:sz="4" w:space="0"/>
              <w:bottom w:val="single" w:color="000000" w:sz="4" w:space="0"/>
              <w:right w:val="single" w:color="000000" w:sz="4" w:space="0"/>
            </w:tcBorders>
            <w:shd w:val="clear" w:color="auto" w:fill="auto"/>
            <w:vAlign w:val="center"/>
          </w:tcPr>
          <w:p w14:paraId="426EA32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cs="Times New Roman"/>
                <w:b/>
                <w:bCs/>
                <w:i w:val="0"/>
                <w:iCs w:val="0"/>
                <w:color w:val="000000"/>
                <w:kern w:val="0"/>
                <w:sz w:val="18"/>
                <w:szCs w:val="18"/>
                <w:highlight w:val="none"/>
                <w:u w:val="none"/>
                <w:lang w:val="en-US" w:eastAsia="zh-CN" w:bidi="ar"/>
              </w:rPr>
            </w:pPr>
          </w:p>
        </w:tc>
        <w:tc>
          <w:tcPr>
            <w:tcW w:w="284" w:type="pct"/>
            <w:vMerge w:val="continue"/>
            <w:tcBorders>
              <w:left w:val="single" w:color="000000" w:sz="4" w:space="0"/>
              <w:bottom w:val="single" w:color="000000" w:sz="4" w:space="0"/>
              <w:right w:val="single" w:color="000000" w:sz="4" w:space="0"/>
            </w:tcBorders>
            <w:shd w:val="clear" w:color="auto" w:fill="auto"/>
            <w:vAlign w:val="center"/>
          </w:tcPr>
          <w:p w14:paraId="6372108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cs="Times New Roman"/>
                <w:b/>
                <w:bCs/>
                <w:i w:val="0"/>
                <w:iCs w:val="0"/>
                <w:color w:val="000000"/>
                <w:kern w:val="0"/>
                <w:sz w:val="18"/>
                <w:szCs w:val="18"/>
                <w:highlight w:val="none"/>
                <w:u w:val="none"/>
                <w:lang w:val="en-US" w:eastAsia="zh-CN" w:bidi="ar"/>
              </w:rPr>
            </w:pPr>
          </w:p>
        </w:tc>
        <w:tc>
          <w:tcPr>
            <w:tcW w:w="475" w:type="pct"/>
            <w:vMerge w:val="continue"/>
            <w:tcBorders>
              <w:left w:val="single" w:color="000000" w:sz="4" w:space="0"/>
              <w:bottom w:val="single" w:color="000000" w:sz="4" w:space="0"/>
              <w:right w:val="single" w:color="000000" w:sz="4" w:space="0"/>
            </w:tcBorders>
            <w:shd w:val="clear" w:color="auto" w:fill="auto"/>
            <w:vAlign w:val="center"/>
          </w:tcPr>
          <w:p w14:paraId="7AF8C54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Style w:val="51"/>
                <w:rFonts w:hint="default" w:ascii="Times New Roman" w:hAnsi="Times New Roman" w:cs="Times New Roman"/>
                <w:sz w:val="18"/>
                <w:szCs w:val="18"/>
                <w:highlight w:val="none"/>
                <w:lang w:val="en-US" w:eastAsia="zh-CN" w:bidi="ar"/>
              </w:rPr>
            </w:pPr>
          </w:p>
        </w:tc>
        <w:tc>
          <w:tcPr>
            <w:tcW w:w="808" w:type="pct"/>
            <w:vMerge w:val="continue"/>
            <w:tcBorders>
              <w:left w:val="single" w:color="000000" w:sz="4" w:space="0"/>
              <w:bottom w:val="single" w:color="000000" w:sz="4" w:space="0"/>
              <w:right w:val="single" w:color="000000" w:sz="4" w:space="0"/>
            </w:tcBorders>
            <w:shd w:val="clear" w:color="auto" w:fill="auto"/>
            <w:vAlign w:val="center"/>
          </w:tcPr>
          <w:p w14:paraId="4221376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p>
        </w:tc>
      </w:tr>
      <w:tr w14:paraId="4752D64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58" w:hRule="atLeast"/>
        </w:trPr>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79F47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安徽</w:t>
            </w:r>
          </w:p>
        </w:tc>
        <w:tc>
          <w:tcPr>
            <w:tcW w:w="2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F752A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0.5</w:t>
            </w:r>
          </w:p>
        </w:tc>
        <w:tc>
          <w:tcPr>
            <w:tcW w:w="2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4DBB7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4D8FA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DC64E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58079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10</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19BB6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2CC39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DBE0F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20</w:t>
            </w:r>
          </w:p>
        </w:tc>
        <w:tc>
          <w:tcPr>
            <w:tcW w:w="28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DF7EB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BC868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10</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59E0C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50</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8B474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150</w:t>
            </w:r>
          </w:p>
        </w:tc>
        <w:tc>
          <w:tcPr>
            <w:tcW w:w="4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E026C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Style w:val="50"/>
                <w:rFonts w:hint="default" w:ascii="Times New Roman" w:hAnsi="Times New Roman" w:cs="Times New Roman"/>
                <w:sz w:val="18"/>
                <w:szCs w:val="18"/>
                <w:highlight w:val="none"/>
                <w:lang w:val="en-US" w:eastAsia="zh-CN" w:bidi="ar"/>
              </w:rPr>
              <w:t>车间或生产设施排气筒</w:t>
            </w:r>
          </w:p>
        </w:tc>
        <w:tc>
          <w:tcPr>
            <w:tcW w:w="80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4CEFB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NMHC初始排放速率&gt;2kg/h的，VOCs处理设施的处理效率不应低于80%</w:t>
            </w:r>
          </w:p>
        </w:tc>
      </w:tr>
      <w:tr w14:paraId="12F334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9" w:hRule="atLeast"/>
        </w:trPr>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8C111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上海</w:t>
            </w:r>
          </w:p>
        </w:tc>
        <w:tc>
          <w:tcPr>
            <w:tcW w:w="2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96C5B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0.5</w:t>
            </w:r>
          </w:p>
        </w:tc>
        <w:tc>
          <w:tcPr>
            <w:tcW w:w="2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916B8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DBE8F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87AFB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04F6B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10</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7E1DE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EBC0D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2ED71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20</w:t>
            </w:r>
          </w:p>
        </w:tc>
        <w:tc>
          <w:tcPr>
            <w:tcW w:w="28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7483F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EEBB2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10</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20E93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14CFC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4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0D90A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排气筒出口</w:t>
            </w:r>
          </w:p>
        </w:tc>
        <w:tc>
          <w:tcPr>
            <w:tcW w:w="80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3BB146">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18"/>
                <w:szCs w:val="18"/>
                <w:highlight w:val="none"/>
                <w:u w:val="none"/>
              </w:rPr>
            </w:pPr>
          </w:p>
        </w:tc>
      </w:tr>
      <w:tr w14:paraId="5D8C919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0" w:hRule="atLeast"/>
        </w:trPr>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E9CE3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江苏（Ⅱ阶段）</w:t>
            </w:r>
          </w:p>
        </w:tc>
        <w:tc>
          <w:tcPr>
            <w:tcW w:w="2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C18BF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0.5</w:t>
            </w:r>
          </w:p>
        </w:tc>
        <w:tc>
          <w:tcPr>
            <w:tcW w:w="2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EF6D9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E7B83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B1198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A5CAF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10</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3BEEE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225F2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EEF66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20</w:t>
            </w:r>
          </w:p>
        </w:tc>
        <w:tc>
          <w:tcPr>
            <w:tcW w:w="28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2EA07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4C3AB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10</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A750D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1DE58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4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B0D2E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排气筒出口</w:t>
            </w:r>
          </w:p>
        </w:tc>
        <w:tc>
          <w:tcPr>
            <w:tcW w:w="80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2DC522">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18"/>
                <w:szCs w:val="18"/>
                <w:highlight w:val="none"/>
                <w:u w:val="none"/>
              </w:rPr>
            </w:pPr>
          </w:p>
        </w:tc>
      </w:tr>
      <w:tr w14:paraId="4ED42C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31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C09139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重庆（Ⅱ阶段）</w:t>
            </w:r>
          </w:p>
        </w:tc>
        <w:tc>
          <w:tcPr>
            <w:tcW w:w="2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24D2D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1</w:t>
            </w:r>
          </w:p>
        </w:tc>
        <w:tc>
          <w:tcPr>
            <w:tcW w:w="2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D848F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F35C9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41A9A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BAD82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30</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70892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B1F72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2C9A0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50</w:t>
            </w:r>
          </w:p>
        </w:tc>
        <w:tc>
          <w:tcPr>
            <w:tcW w:w="28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5DA2F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0C975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10</w:t>
            </w:r>
            <w:r>
              <w:rPr>
                <w:rFonts w:hint="eastAsia" w:cs="Times New Roman"/>
                <w:i w:val="0"/>
                <w:iCs w:val="0"/>
                <w:color w:val="000000"/>
                <w:kern w:val="0"/>
                <w:sz w:val="18"/>
                <w:szCs w:val="18"/>
                <w:highlight w:val="none"/>
                <w:u w:val="none"/>
                <w:lang w:val="en-US" w:eastAsia="zh-CN" w:bidi="ar"/>
              </w:rPr>
              <w:t>（</w:t>
            </w:r>
            <w:r>
              <w:rPr>
                <w:rFonts w:hint="default" w:ascii="Times New Roman" w:hAnsi="Times New Roman" w:eastAsia="宋体" w:cs="Times New Roman"/>
                <w:i w:val="0"/>
                <w:iCs w:val="0"/>
                <w:color w:val="000000"/>
                <w:kern w:val="0"/>
                <w:sz w:val="18"/>
                <w:szCs w:val="18"/>
                <w:highlight w:val="none"/>
                <w:u w:val="none"/>
                <w:lang w:val="en-US" w:eastAsia="zh-CN" w:bidi="ar"/>
              </w:rPr>
              <w:t>城市建成区</w:t>
            </w:r>
            <w:r>
              <w:rPr>
                <w:rFonts w:hint="eastAsia" w:cs="Times New Roman"/>
                <w:i w:val="0"/>
                <w:iCs w:val="0"/>
                <w:color w:val="000000"/>
                <w:kern w:val="0"/>
                <w:sz w:val="18"/>
                <w:szCs w:val="18"/>
                <w:highlight w:val="none"/>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5CB43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B339E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475" w:type="pct"/>
            <w:vMerge w:val="restart"/>
            <w:tcBorders>
              <w:top w:val="single" w:color="000000" w:sz="4" w:space="0"/>
              <w:left w:val="single" w:color="000000" w:sz="4" w:space="0"/>
              <w:right w:val="single" w:color="000000" w:sz="4" w:space="0"/>
            </w:tcBorders>
            <w:shd w:val="clear" w:color="auto" w:fill="auto"/>
            <w:vAlign w:val="center"/>
          </w:tcPr>
          <w:p w14:paraId="7267DEC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排气筒出口</w:t>
            </w:r>
          </w:p>
        </w:tc>
        <w:tc>
          <w:tcPr>
            <w:tcW w:w="80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96BE7A">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18"/>
                <w:szCs w:val="18"/>
                <w:highlight w:val="none"/>
                <w:u w:val="none"/>
              </w:rPr>
            </w:pPr>
          </w:p>
        </w:tc>
      </w:tr>
      <w:tr w14:paraId="68D64D7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31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D5E2933">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18"/>
                <w:szCs w:val="18"/>
                <w:highlight w:val="none"/>
                <w:u w:val="none"/>
              </w:rPr>
            </w:pPr>
          </w:p>
        </w:tc>
        <w:tc>
          <w:tcPr>
            <w:tcW w:w="2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1DB10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1</w:t>
            </w:r>
          </w:p>
        </w:tc>
        <w:tc>
          <w:tcPr>
            <w:tcW w:w="2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CC70D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BC078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97F22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970A1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35</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192E2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C22EA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F5194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60</w:t>
            </w:r>
          </w:p>
        </w:tc>
        <w:tc>
          <w:tcPr>
            <w:tcW w:w="28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D7C30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F681A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20</w:t>
            </w:r>
            <w:r>
              <w:rPr>
                <w:rFonts w:hint="eastAsia" w:cs="Times New Roman"/>
                <w:i w:val="0"/>
                <w:iCs w:val="0"/>
                <w:color w:val="000000"/>
                <w:kern w:val="0"/>
                <w:sz w:val="18"/>
                <w:szCs w:val="18"/>
                <w:highlight w:val="none"/>
                <w:u w:val="none"/>
                <w:lang w:val="en-US" w:eastAsia="zh-CN" w:bidi="ar"/>
              </w:rPr>
              <w:t>（</w:t>
            </w:r>
            <w:r>
              <w:rPr>
                <w:rFonts w:hint="default" w:ascii="Times New Roman" w:hAnsi="Times New Roman" w:eastAsia="宋体" w:cs="Times New Roman"/>
                <w:i w:val="0"/>
                <w:iCs w:val="0"/>
                <w:color w:val="000000"/>
                <w:kern w:val="0"/>
                <w:sz w:val="18"/>
                <w:szCs w:val="18"/>
                <w:highlight w:val="none"/>
                <w:u w:val="none"/>
                <w:lang w:val="en-US" w:eastAsia="zh-CN" w:bidi="ar"/>
              </w:rPr>
              <w:t>其他区域</w:t>
            </w:r>
            <w:r>
              <w:rPr>
                <w:rFonts w:hint="eastAsia" w:cs="Times New Roman"/>
                <w:i w:val="0"/>
                <w:iCs w:val="0"/>
                <w:color w:val="000000"/>
                <w:kern w:val="0"/>
                <w:sz w:val="18"/>
                <w:szCs w:val="18"/>
                <w:highlight w:val="none"/>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2E5C5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56B2C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475" w:type="pct"/>
            <w:vMerge w:val="continue"/>
            <w:tcBorders>
              <w:left w:val="single" w:color="000000" w:sz="4" w:space="0"/>
              <w:bottom w:val="single" w:color="000000" w:sz="4" w:space="0"/>
              <w:right w:val="single" w:color="000000" w:sz="4" w:space="0"/>
            </w:tcBorders>
            <w:shd w:val="clear" w:color="auto" w:fill="auto"/>
            <w:vAlign w:val="center"/>
          </w:tcPr>
          <w:p w14:paraId="1EB032C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p>
        </w:tc>
        <w:tc>
          <w:tcPr>
            <w:tcW w:w="80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586789">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18"/>
                <w:szCs w:val="18"/>
                <w:highlight w:val="none"/>
                <w:u w:val="none"/>
              </w:rPr>
            </w:pPr>
          </w:p>
        </w:tc>
      </w:tr>
      <w:tr w14:paraId="77391B4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94" w:hRule="atLeast"/>
        </w:trPr>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B16A6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Style w:val="50"/>
                <w:rFonts w:hint="default" w:ascii="Times New Roman" w:hAnsi="Times New Roman" w:cs="Times New Roman"/>
                <w:sz w:val="18"/>
                <w:szCs w:val="18"/>
                <w:highlight w:val="none"/>
                <w:lang w:val="en-US" w:eastAsia="zh-CN" w:bidi="ar"/>
              </w:rPr>
              <w:t>北京</w:t>
            </w:r>
          </w:p>
        </w:tc>
        <w:tc>
          <w:tcPr>
            <w:tcW w:w="2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2285A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0.5</w:t>
            </w:r>
          </w:p>
        </w:tc>
        <w:tc>
          <w:tcPr>
            <w:tcW w:w="2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E9351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A16B2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4E02D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F22E8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10</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E4DD8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6D183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48AEF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20</w:t>
            </w:r>
          </w:p>
        </w:tc>
        <w:tc>
          <w:tcPr>
            <w:tcW w:w="28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26C42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3F31A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eastAsia" w:cs="Times New Roman"/>
                <w:i w:val="0"/>
                <w:iCs w:val="0"/>
                <w:color w:val="000000"/>
                <w:kern w:val="0"/>
                <w:sz w:val="18"/>
                <w:szCs w:val="18"/>
                <w:highlight w:val="none"/>
                <w:u w:val="none"/>
                <w:lang w:val="en-US" w:eastAsia="zh-CN" w:bidi="ar"/>
              </w:rPr>
              <w:t>5</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FE451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lang w:val="en-US"/>
              </w:rPr>
            </w:pPr>
            <w:r>
              <w:rPr>
                <w:rFonts w:hint="eastAsia" w:cs="Times New Roman"/>
                <w:i w:val="0"/>
                <w:iCs w:val="0"/>
                <w:color w:val="000000"/>
                <w:kern w:val="0"/>
                <w:sz w:val="18"/>
                <w:szCs w:val="18"/>
                <w:highlight w:val="none"/>
                <w:u w:val="none"/>
                <w:lang w:val="en-US" w:eastAsia="zh-CN" w:bidi="ar"/>
              </w:rPr>
              <w:t>10</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53E82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lang w:val="en-US"/>
              </w:rPr>
            </w:pPr>
            <w:r>
              <w:rPr>
                <w:rFonts w:hint="eastAsia" w:cs="Times New Roman"/>
                <w:i w:val="0"/>
                <w:iCs w:val="0"/>
                <w:color w:val="000000"/>
                <w:kern w:val="0"/>
                <w:sz w:val="18"/>
                <w:szCs w:val="18"/>
                <w:highlight w:val="none"/>
                <w:u w:val="none"/>
                <w:lang w:val="en-US" w:eastAsia="zh-CN" w:bidi="ar"/>
              </w:rPr>
              <w:t>80</w:t>
            </w:r>
          </w:p>
        </w:tc>
        <w:tc>
          <w:tcPr>
            <w:tcW w:w="4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ABD0B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排气筒出口</w:t>
            </w:r>
          </w:p>
        </w:tc>
        <w:tc>
          <w:tcPr>
            <w:tcW w:w="80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F0A33D">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18"/>
                <w:szCs w:val="18"/>
                <w:highlight w:val="none"/>
                <w:u w:val="none"/>
              </w:rPr>
            </w:pPr>
          </w:p>
        </w:tc>
      </w:tr>
      <w:tr w14:paraId="2514BDE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79" w:hRule="atLeast"/>
        </w:trPr>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ADB98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浙江（征求意见稿）</w:t>
            </w:r>
          </w:p>
        </w:tc>
        <w:tc>
          <w:tcPr>
            <w:tcW w:w="2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FEAC5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0.5</w:t>
            </w:r>
          </w:p>
        </w:tc>
        <w:tc>
          <w:tcPr>
            <w:tcW w:w="2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F0CDC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9F16D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23D7C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CF549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10</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C9349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20</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F4C1C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800</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0C980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20</w:t>
            </w:r>
          </w:p>
        </w:tc>
        <w:tc>
          <w:tcPr>
            <w:tcW w:w="28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D9804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C9A23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10</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802B4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cs="Times New Roman"/>
                <w:i w:val="0"/>
                <w:iCs w:val="0"/>
                <w:color w:val="000000"/>
                <w:kern w:val="0"/>
                <w:sz w:val="18"/>
                <w:szCs w:val="18"/>
                <w:highlight w:val="none"/>
                <w:u w:val="none"/>
                <w:lang w:val="en-US" w:eastAsia="zh-CN" w:bidi="ar"/>
              </w:rPr>
              <w:t>200</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46333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cs="Times New Roman"/>
                <w:i w:val="0"/>
                <w:iCs w:val="0"/>
                <w:color w:val="000000"/>
                <w:kern w:val="0"/>
                <w:sz w:val="18"/>
                <w:szCs w:val="18"/>
                <w:highlight w:val="none"/>
                <w:u w:val="none"/>
                <w:lang w:val="en-US" w:eastAsia="zh-CN" w:bidi="ar"/>
              </w:rPr>
              <w:t>200</w:t>
            </w:r>
          </w:p>
        </w:tc>
        <w:tc>
          <w:tcPr>
            <w:tcW w:w="4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83D7A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Style w:val="50"/>
                <w:rFonts w:hint="default" w:ascii="Times New Roman" w:hAnsi="Times New Roman" w:cs="Times New Roman"/>
                <w:sz w:val="18"/>
                <w:szCs w:val="18"/>
                <w:highlight w:val="none"/>
                <w:lang w:val="en-US" w:eastAsia="zh-CN" w:bidi="ar"/>
              </w:rPr>
              <w:t>车间或生产设施排气筒</w:t>
            </w:r>
          </w:p>
        </w:tc>
        <w:tc>
          <w:tcPr>
            <w:tcW w:w="80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63BB5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NMHC初始排放速率≥2 kg/h时，VOCs处理效率不应低于80%</w:t>
            </w:r>
          </w:p>
        </w:tc>
      </w:tr>
      <w:tr w14:paraId="1E8FFD9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182" w:hRule="atLeast"/>
        </w:trPr>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A2468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广东（送审稿）</w:t>
            </w:r>
          </w:p>
        </w:tc>
        <w:tc>
          <w:tcPr>
            <w:tcW w:w="2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FAB08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0.5</w:t>
            </w:r>
          </w:p>
        </w:tc>
        <w:tc>
          <w:tcPr>
            <w:tcW w:w="2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A62F3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10E7B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87586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D8D40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10</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6A059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A5074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4A652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20</w:t>
            </w:r>
          </w:p>
        </w:tc>
        <w:tc>
          <w:tcPr>
            <w:tcW w:w="28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1F5A1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6EAB1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10</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6F4E1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lang w:val="en-US"/>
              </w:rPr>
            </w:pPr>
            <w:r>
              <w:rPr>
                <w:rFonts w:hint="default" w:ascii="Times New Roman" w:hAnsi="Times New Roman" w:cs="Times New Roman"/>
                <w:i w:val="0"/>
                <w:iCs w:val="0"/>
                <w:color w:val="000000"/>
                <w:kern w:val="0"/>
                <w:sz w:val="18"/>
                <w:szCs w:val="18"/>
                <w:highlight w:val="none"/>
                <w:u w:val="none"/>
                <w:lang w:val="en-US" w:eastAsia="zh-CN" w:bidi="ar"/>
              </w:rPr>
              <w:t>200</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2D0FE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lang w:val="en-US"/>
              </w:rPr>
            </w:pPr>
            <w:r>
              <w:rPr>
                <w:rFonts w:hint="default" w:ascii="Times New Roman" w:hAnsi="Times New Roman" w:cs="Times New Roman"/>
                <w:i w:val="0"/>
                <w:iCs w:val="0"/>
                <w:color w:val="000000"/>
                <w:kern w:val="0"/>
                <w:sz w:val="18"/>
                <w:szCs w:val="18"/>
                <w:highlight w:val="none"/>
                <w:u w:val="none"/>
                <w:lang w:val="en-US" w:eastAsia="zh-CN" w:bidi="ar"/>
              </w:rPr>
              <w:t>200</w:t>
            </w:r>
          </w:p>
        </w:tc>
        <w:tc>
          <w:tcPr>
            <w:tcW w:w="4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04E84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车间排气筒出口或生产设施排气筒出口</w:t>
            </w:r>
          </w:p>
        </w:tc>
        <w:tc>
          <w:tcPr>
            <w:tcW w:w="80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56AE8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初始排放速率≥</w:t>
            </w:r>
            <w:r>
              <w:rPr>
                <w:rFonts w:hint="default" w:ascii="Times New Roman" w:hAnsi="Times New Roman" w:eastAsia="宋体" w:cs="Times New Roman"/>
                <w:i w:val="0"/>
                <w:iCs w:val="0"/>
                <w:color w:val="000000"/>
                <w:kern w:val="0"/>
                <w:sz w:val="18"/>
                <w:szCs w:val="18"/>
                <w:highlight w:val="none"/>
                <w:u w:val="none"/>
                <w:lang w:val="en-US" w:eastAsia="zh-CN" w:bidi="ar"/>
              </w:rPr>
              <w:br w:type="textWrapping"/>
            </w:r>
            <w:r>
              <w:rPr>
                <w:rFonts w:hint="default" w:ascii="Times New Roman" w:hAnsi="Times New Roman" w:eastAsia="宋体" w:cs="Times New Roman"/>
                <w:i w:val="0"/>
                <w:iCs w:val="0"/>
                <w:color w:val="000000"/>
                <w:kern w:val="0"/>
                <w:sz w:val="18"/>
                <w:szCs w:val="18"/>
                <w:highlight w:val="none"/>
                <w:u w:val="none"/>
                <w:lang w:val="en-US" w:eastAsia="zh-CN" w:bidi="ar"/>
              </w:rPr>
              <w:t>3kg/h时，NMHC设置最低去除效率（80%），其余情况≥60%</w:t>
            </w:r>
          </w:p>
        </w:tc>
      </w:tr>
      <w:tr w14:paraId="264A64F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14" w:hRule="atLeast"/>
        </w:trPr>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E9CE2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深圳（Ⅱ阶段）</w:t>
            </w:r>
          </w:p>
        </w:tc>
        <w:tc>
          <w:tcPr>
            <w:tcW w:w="2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37DCA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1</w:t>
            </w:r>
          </w:p>
        </w:tc>
        <w:tc>
          <w:tcPr>
            <w:tcW w:w="2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5924F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9C58B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E5BEF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18</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47386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B521E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7517F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9EAD2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2EC55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75</w:t>
            </w:r>
          </w:p>
        </w:tc>
        <w:tc>
          <w:tcPr>
            <w:tcW w:w="3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7A7BA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95D38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3FC02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4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2DF43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排气筒出口</w:t>
            </w:r>
          </w:p>
        </w:tc>
        <w:tc>
          <w:tcPr>
            <w:tcW w:w="80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C7A806">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18"/>
                <w:szCs w:val="18"/>
                <w:highlight w:val="none"/>
                <w:u w:val="none"/>
              </w:rPr>
            </w:pPr>
          </w:p>
        </w:tc>
      </w:tr>
      <w:tr w14:paraId="712258E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91" w:hRule="atLeast"/>
        </w:trPr>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8D87F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四川（综合标准）</w:t>
            </w:r>
          </w:p>
        </w:tc>
        <w:tc>
          <w:tcPr>
            <w:tcW w:w="2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BCD02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1</w:t>
            </w:r>
          </w:p>
        </w:tc>
        <w:tc>
          <w:tcPr>
            <w:tcW w:w="2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8DDE1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5</w:t>
            </w:r>
          </w:p>
        </w:tc>
        <w:tc>
          <w:tcPr>
            <w:tcW w:w="28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39956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15</w:t>
            </w:r>
          </w:p>
        </w:tc>
        <w:tc>
          <w:tcPr>
            <w:tcW w:w="28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4E994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A156F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88013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67499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26D51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60</w:t>
            </w:r>
          </w:p>
        </w:tc>
        <w:tc>
          <w:tcPr>
            <w:tcW w:w="28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4B65F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B1861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7E60B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AEEB6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4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8D536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排气筒出口</w:t>
            </w:r>
          </w:p>
        </w:tc>
        <w:tc>
          <w:tcPr>
            <w:tcW w:w="80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D5449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NMHC设置最低去除效率（80%）</w:t>
            </w:r>
          </w:p>
        </w:tc>
      </w:tr>
    </w:tbl>
    <w:p w14:paraId="20119267">
      <w:pPr>
        <w:keepNext w:val="0"/>
        <w:keepLines w:val="0"/>
        <w:pageBreakBefore w:val="0"/>
        <w:widowControl/>
        <w:kinsoku/>
        <w:wordWrap/>
        <w:autoSpaceDE/>
        <w:autoSpaceDN/>
        <w:bidi w:val="0"/>
        <w:jc w:val="left"/>
        <w:rPr>
          <w:rFonts w:hint="default" w:ascii="Times New Roman" w:hAnsi="Times New Roman" w:cs="Times New Roman"/>
          <w:sz w:val="24"/>
          <w:highlight w:val="none"/>
        </w:rPr>
        <w:sectPr>
          <w:pgSz w:w="16838" w:h="11906" w:orient="landscape"/>
          <w:pgMar w:top="1800" w:right="1440" w:bottom="1800" w:left="1440" w:header="851" w:footer="992" w:gutter="0"/>
          <w:pgBorders>
            <w:top w:val="none" w:sz="0" w:space="0"/>
            <w:left w:val="none" w:sz="0" w:space="0"/>
            <w:bottom w:val="none" w:sz="0" w:space="0"/>
            <w:right w:val="none" w:sz="0" w:space="0"/>
          </w:pgBorders>
          <w:pgNumType w:fmt="decimal"/>
          <w:cols w:space="425" w:num="1"/>
          <w:docGrid w:type="lines" w:linePitch="312" w:charSpace="0"/>
        </w:sectPr>
      </w:pPr>
      <w:r>
        <w:rPr>
          <w:rFonts w:hint="default" w:ascii="Times New Roman" w:hAnsi="Times New Roman" w:cs="Times New Roman"/>
          <w:sz w:val="20"/>
          <w:szCs w:val="21"/>
          <w:highlight w:val="none"/>
        </w:rPr>
        <w:t>注：</w:t>
      </w:r>
      <w:r>
        <w:rPr>
          <w:rFonts w:hint="default" w:ascii="Times New Roman" w:hAnsi="Times New Roman" w:cs="Times New Roman"/>
          <w:sz w:val="20"/>
          <w:szCs w:val="21"/>
          <w:highlight w:val="none"/>
          <w:lang w:val="en-US" w:eastAsia="zh-CN"/>
        </w:rPr>
        <w:t>四川（综合标准）为《四川省固定污染源大气挥发性有机物排放标准》（DB 51/2377</w:t>
      </w:r>
      <w:r>
        <w:rPr>
          <w:rFonts w:hint="eastAsia" w:ascii="Times New Roman" w:hAnsi="Times New Roman" w:cs="Times New Roman"/>
          <w:sz w:val="20"/>
          <w:szCs w:val="21"/>
          <w:highlight w:val="none"/>
          <w:lang w:val="en-US" w:eastAsia="zh-CN"/>
        </w:rPr>
        <w:t>—</w:t>
      </w:r>
      <w:r>
        <w:rPr>
          <w:rFonts w:hint="default" w:ascii="Times New Roman" w:hAnsi="Times New Roman" w:cs="Times New Roman"/>
          <w:sz w:val="20"/>
          <w:szCs w:val="21"/>
          <w:highlight w:val="none"/>
          <w:lang w:val="en-US" w:eastAsia="zh-CN"/>
        </w:rPr>
        <w:t>2017）</w:t>
      </w:r>
      <w:r>
        <w:rPr>
          <w:rFonts w:hint="default" w:ascii="Times New Roman" w:hAnsi="Times New Roman" w:cs="Times New Roman"/>
          <w:sz w:val="20"/>
          <w:szCs w:val="21"/>
          <w:highlight w:val="none"/>
        </w:rPr>
        <w:t>。</w:t>
      </w:r>
    </w:p>
    <w:p w14:paraId="577B3257">
      <w:pPr>
        <w:pStyle w:val="4"/>
        <w:keepNext w:val="0"/>
        <w:keepLines w:val="0"/>
        <w:pageBreakBefore w:val="0"/>
        <w:widowControl/>
        <w:kinsoku/>
        <w:wordWrap/>
        <w:autoSpaceDE/>
        <w:autoSpaceDN/>
        <w:bidi w:val="0"/>
        <w:rPr>
          <w:rFonts w:hint="default" w:ascii="Times New Roman" w:hAnsi="Times New Roman" w:cs="Times New Roman"/>
          <w:highlight w:val="none"/>
        </w:rPr>
      </w:pPr>
      <w:bookmarkStart w:id="38" w:name="_Toc21722"/>
      <w:r>
        <w:rPr>
          <w:rFonts w:hint="default" w:ascii="Times New Roman" w:hAnsi="Times New Roman" w:cs="Times New Roman"/>
          <w:highlight w:val="none"/>
        </w:rPr>
        <w:t>无组织</w:t>
      </w:r>
      <w:bookmarkEnd w:id="38"/>
    </w:p>
    <w:p w14:paraId="7960BC1A">
      <w:pPr>
        <w:keepNext w:val="0"/>
        <w:keepLines w:val="0"/>
        <w:pageBreakBefore w:val="0"/>
        <w:widowControl/>
        <w:kinsoku/>
        <w:wordWrap/>
        <w:autoSpaceDE/>
        <w:autoSpaceDN/>
        <w:bidi w:val="0"/>
        <w:rPr>
          <w:rFonts w:hint="default" w:ascii="Times New Roman" w:hAnsi="Times New Roman" w:eastAsia="宋体" w:cs="Times New Roman"/>
          <w:b/>
          <w:bCs/>
          <w:highlight w:val="none"/>
          <w:lang w:eastAsia="zh-CN"/>
        </w:rPr>
      </w:pPr>
      <w:r>
        <w:rPr>
          <w:rFonts w:hint="default" w:ascii="Times New Roman" w:hAnsi="Times New Roman" w:cs="Times New Roman"/>
          <w:b/>
          <w:bCs/>
          <w:highlight w:val="none"/>
          <w:lang w:eastAsia="zh-CN"/>
        </w:rPr>
        <w:t>（</w:t>
      </w:r>
      <w:r>
        <w:rPr>
          <w:rFonts w:hint="default" w:ascii="Times New Roman" w:hAnsi="Times New Roman" w:cs="Times New Roman"/>
          <w:b/>
          <w:bCs/>
          <w:highlight w:val="none"/>
          <w:lang w:val="en-US" w:eastAsia="zh-CN"/>
        </w:rPr>
        <w:t>1</w:t>
      </w:r>
      <w:r>
        <w:rPr>
          <w:rFonts w:hint="default" w:ascii="Times New Roman" w:hAnsi="Times New Roman" w:cs="Times New Roman"/>
          <w:b/>
          <w:bCs/>
          <w:highlight w:val="none"/>
          <w:lang w:eastAsia="zh-CN"/>
        </w:rPr>
        <w:t>）</w:t>
      </w:r>
      <w:r>
        <w:rPr>
          <w:rFonts w:hint="default" w:ascii="Times New Roman" w:hAnsi="Times New Roman" w:cs="Times New Roman"/>
          <w:b/>
          <w:bCs/>
          <w:highlight w:val="none"/>
        </w:rPr>
        <w:t>控制指标</w:t>
      </w:r>
    </w:p>
    <w:p w14:paraId="2F58120A">
      <w:pPr>
        <w:keepNext w:val="0"/>
        <w:keepLines w:val="0"/>
        <w:pageBreakBefore w:val="0"/>
        <w:widowControl/>
        <w:kinsoku/>
        <w:wordWrap/>
        <w:autoSpaceDE/>
        <w:autoSpaceDN/>
        <w:bidi w:val="0"/>
        <w:spacing w:line="360" w:lineRule="auto"/>
        <w:ind w:firstLine="480" w:firstLineChars="200"/>
        <w:rPr>
          <w:rFonts w:hint="default" w:ascii="Times New Roman" w:hAnsi="Times New Roman" w:cs="Times New Roman"/>
          <w:sz w:val="24"/>
          <w:highlight w:val="none"/>
          <w:lang w:val="en-US" w:eastAsia="zh-CN"/>
        </w:rPr>
      </w:pPr>
      <w:r>
        <w:rPr>
          <w:rFonts w:hint="default" w:ascii="Times New Roman" w:hAnsi="Times New Roman" w:cs="Times New Roman"/>
          <w:sz w:val="24"/>
          <w:highlight w:val="none"/>
          <w:lang w:val="en-US" w:eastAsia="zh-CN"/>
        </w:rPr>
        <w:t>大部分地标均设置了厂区内的非甲烷总烃的小时均值和瞬时值指标，仅重庆未设置；此外，已发布标准中，北京和江苏设置了颗粒物、苯、苯系物的小时浓度限值。本</w:t>
      </w:r>
      <w:r>
        <w:rPr>
          <w:rFonts w:hint="eastAsia" w:cs="Times New Roman"/>
          <w:sz w:val="24"/>
          <w:highlight w:val="none"/>
          <w:lang w:val="en-US" w:eastAsia="zh-CN"/>
        </w:rPr>
        <w:t>标准</w:t>
      </w:r>
      <w:r>
        <w:rPr>
          <w:rFonts w:hint="default" w:ascii="Times New Roman" w:hAnsi="Times New Roman" w:cs="Times New Roman"/>
          <w:sz w:val="24"/>
          <w:highlight w:val="none"/>
          <w:lang w:val="en-US" w:eastAsia="zh-CN"/>
        </w:rPr>
        <w:t>设置非甲烷总烃的小时均值和瞬时值指标。</w:t>
      </w:r>
    </w:p>
    <w:p w14:paraId="42285C64">
      <w:pPr>
        <w:keepNext w:val="0"/>
        <w:keepLines w:val="0"/>
        <w:pageBreakBefore w:val="0"/>
        <w:widowControl/>
        <w:kinsoku/>
        <w:wordWrap/>
        <w:autoSpaceDE/>
        <w:autoSpaceDN/>
        <w:bidi w:val="0"/>
        <w:ind w:firstLine="720"/>
        <w:rPr>
          <w:rFonts w:hint="default" w:ascii="Times New Roman" w:hAnsi="Times New Roman" w:cs="Times New Roman"/>
          <w:b/>
          <w:bCs/>
          <w:highlight w:val="none"/>
        </w:rPr>
      </w:pPr>
      <w:r>
        <w:rPr>
          <w:rFonts w:hint="default" w:ascii="Times New Roman" w:hAnsi="Times New Roman" w:cs="Times New Roman"/>
          <w:b/>
          <w:bCs/>
          <w:highlight w:val="none"/>
          <w:lang w:eastAsia="zh-CN"/>
        </w:rPr>
        <w:t>（</w:t>
      </w:r>
      <w:r>
        <w:rPr>
          <w:rFonts w:hint="default" w:ascii="Times New Roman" w:hAnsi="Times New Roman" w:cs="Times New Roman"/>
          <w:b/>
          <w:bCs/>
          <w:highlight w:val="none"/>
          <w:lang w:val="en-US" w:eastAsia="zh-CN"/>
        </w:rPr>
        <w:t>2</w:t>
      </w:r>
      <w:r>
        <w:rPr>
          <w:rFonts w:hint="default" w:ascii="Times New Roman" w:hAnsi="Times New Roman" w:cs="Times New Roman"/>
          <w:b/>
          <w:bCs/>
          <w:highlight w:val="none"/>
          <w:lang w:eastAsia="zh-CN"/>
        </w:rPr>
        <w:t>）</w:t>
      </w:r>
      <w:r>
        <w:rPr>
          <w:rFonts w:hint="default" w:ascii="Times New Roman" w:hAnsi="Times New Roman" w:cs="Times New Roman"/>
          <w:b/>
          <w:bCs/>
          <w:highlight w:val="none"/>
        </w:rPr>
        <w:t>浓度限值</w:t>
      </w:r>
    </w:p>
    <w:p w14:paraId="19A5B6E7">
      <w:pPr>
        <w:keepNext w:val="0"/>
        <w:keepLines w:val="0"/>
        <w:pageBreakBefore w:val="0"/>
        <w:widowControl/>
        <w:kinsoku/>
        <w:wordWrap/>
        <w:autoSpaceDE/>
        <w:autoSpaceDN/>
        <w:bidi w:val="0"/>
        <w:rPr>
          <w:rFonts w:hint="default" w:ascii="Times New Roman" w:hAnsi="Times New Roman" w:eastAsia="宋体" w:cs="Times New Roman"/>
          <w:highlight w:val="none"/>
          <w:vertAlign w:val="baseline"/>
          <w:lang w:val="en-US" w:eastAsia="zh-CN"/>
        </w:rPr>
      </w:pPr>
      <w:r>
        <w:rPr>
          <w:rFonts w:hint="default" w:ascii="Times New Roman" w:hAnsi="Times New Roman" w:cs="Times New Roman"/>
          <w:highlight w:val="none"/>
          <w:lang w:eastAsia="zh-CN"/>
        </w:rPr>
        <w:t>广东（送审稿）规定了颗粒物厂内浓度为</w:t>
      </w:r>
      <w:r>
        <w:rPr>
          <w:rFonts w:hint="default" w:ascii="Times New Roman" w:hAnsi="Times New Roman" w:cs="Times New Roman"/>
          <w:highlight w:val="none"/>
          <w:lang w:val="en-US" w:eastAsia="zh-CN"/>
        </w:rPr>
        <w:t>0.5</w:t>
      </w:r>
      <w:r>
        <w:rPr>
          <w:rFonts w:hint="eastAsia" w:cs="Times New Roman"/>
          <w:highlight w:val="none"/>
          <w:lang w:val="en-US" w:eastAsia="zh-CN"/>
        </w:rPr>
        <w:t xml:space="preserve"> </w:t>
      </w:r>
      <w:r>
        <w:rPr>
          <w:rFonts w:hint="default" w:ascii="Times New Roman" w:hAnsi="Times New Roman" w:cs="Times New Roman"/>
          <w:highlight w:val="none"/>
          <w:lang w:val="en-US" w:eastAsia="zh-CN"/>
        </w:rPr>
        <w:t>mg/m</w:t>
      </w:r>
      <w:r>
        <w:rPr>
          <w:rFonts w:hint="default" w:ascii="Times New Roman" w:hAnsi="Times New Roman" w:cs="Times New Roman"/>
          <w:highlight w:val="none"/>
          <w:vertAlign w:val="superscript"/>
          <w:lang w:val="en-US" w:eastAsia="zh-CN"/>
        </w:rPr>
        <w:t>3</w:t>
      </w:r>
      <w:r>
        <w:rPr>
          <w:rFonts w:hint="default" w:ascii="Times New Roman" w:hAnsi="Times New Roman" w:cs="Times New Roman"/>
          <w:highlight w:val="none"/>
          <w:vertAlign w:val="baseline"/>
          <w:lang w:val="en-US" w:eastAsia="zh-CN"/>
        </w:rPr>
        <w:t>，最严，其余省市为1</w:t>
      </w:r>
      <w:r>
        <w:rPr>
          <w:rFonts w:hint="eastAsia" w:cs="Times New Roman"/>
          <w:highlight w:val="none"/>
          <w:vertAlign w:val="baseline"/>
          <w:lang w:val="en-US" w:eastAsia="zh-CN"/>
        </w:rPr>
        <w:t xml:space="preserve"> </w:t>
      </w:r>
      <w:r>
        <w:rPr>
          <w:rFonts w:hint="default" w:ascii="Times New Roman" w:hAnsi="Times New Roman" w:cs="Times New Roman"/>
          <w:highlight w:val="none"/>
          <w:lang w:val="en-US" w:eastAsia="zh-CN"/>
        </w:rPr>
        <w:t>mg/m</w:t>
      </w:r>
      <w:r>
        <w:rPr>
          <w:rFonts w:hint="default" w:ascii="Times New Roman" w:hAnsi="Times New Roman" w:cs="Times New Roman"/>
          <w:highlight w:val="none"/>
          <w:vertAlign w:val="superscript"/>
          <w:lang w:val="en-US" w:eastAsia="zh-CN"/>
        </w:rPr>
        <w:t>3</w:t>
      </w:r>
      <w:r>
        <w:rPr>
          <w:rFonts w:hint="default" w:ascii="Times New Roman" w:hAnsi="Times New Roman" w:cs="Times New Roman"/>
          <w:highlight w:val="none"/>
          <w:vertAlign w:val="baseline"/>
          <w:lang w:val="en-US" w:eastAsia="zh-CN"/>
        </w:rPr>
        <w:t>，江苏、北京</w:t>
      </w:r>
      <w:r>
        <w:rPr>
          <w:rFonts w:hint="default" w:ascii="Times New Roman" w:hAnsi="Times New Roman" w:cs="Times New Roman"/>
          <w:highlight w:val="none"/>
          <w:lang w:eastAsia="zh-CN"/>
        </w:rPr>
        <w:t>苯和苯系物厂内浓度相同。非甲烷总烃厂内限值中，各地基本一致，小时均值为</w:t>
      </w:r>
      <w:r>
        <w:rPr>
          <w:rFonts w:hint="default" w:ascii="Times New Roman" w:hAnsi="Times New Roman" w:cs="Times New Roman"/>
          <w:highlight w:val="none"/>
          <w:lang w:val="en-US" w:eastAsia="zh-CN"/>
        </w:rPr>
        <w:t>2</w:t>
      </w:r>
      <w:r>
        <w:rPr>
          <w:rFonts w:hint="eastAsia" w:cs="Times New Roman"/>
          <w:highlight w:val="none"/>
          <w:lang w:val="en-US" w:eastAsia="zh-CN"/>
        </w:rPr>
        <w:t xml:space="preserve"> </w:t>
      </w:r>
      <w:r>
        <w:rPr>
          <w:rFonts w:hint="default" w:ascii="Times New Roman" w:hAnsi="Times New Roman" w:cs="Times New Roman"/>
          <w:highlight w:val="none"/>
          <w:lang w:val="en-US" w:eastAsia="zh-CN"/>
        </w:rPr>
        <w:t>mg/m</w:t>
      </w:r>
      <w:r>
        <w:rPr>
          <w:rFonts w:hint="default" w:ascii="Times New Roman" w:hAnsi="Times New Roman" w:cs="Times New Roman"/>
          <w:highlight w:val="none"/>
          <w:vertAlign w:val="superscript"/>
          <w:lang w:val="en-US" w:eastAsia="zh-CN"/>
        </w:rPr>
        <w:t>3</w:t>
      </w:r>
      <w:r>
        <w:rPr>
          <w:rFonts w:hint="default" w:ascii="Times New Roman" w:hAnsi="Times New Roman" w:cs="Times New Roman"/>
          <w:highlight w:val="none"/>
          <w:vertAlign w:val="baseline"/>
          <w:lang w:val="en-US" w:eastAsia="zh-CN"/>
        </w:rPr>
        <w:t>，瞬时值为8</w:t>
      </w:r>
      <w:r>
        <w:rPr>
          <w:rFonts w:hint="eastAsia" w:cs="Times New Roman"/>
          <w:highlight w:val="none"/>
          <w:vertAlign w:val="baseline"/>
          <w:lang w:val="en-US" w:eastAsia="zh-CN"/>
        </w:rPr>
        <w:t xml:space="preserve"> </w:t>
      </w:r>
      <w:r>
        <w:rPr>
          <w:rFonts w:hint="default" w:ascii="Times New Roman" w:hAnsi="Times New Roman" w:cs="Times New Roman"/>
          <w:highlight w:val="none"/>
          <w:lang w:val="en-US" w:eastAsia="zh-CN"/>
        </w:rPr>
        <w:t>mg/m</w:t>
      </w:r>
      <w:r>
        <w:rPr>
          <w:rFonts w:hint="default" w:ascii="Times New Roman" w:hAnsi="Times New Roman" w:cs="Times New Roman"/>
          <w:highlight w:val="none"/>
          <w:vertAlign w:val="superscript"/>
          <w:lang w:val="en-US" w:eastAsia="zh-CN"/>
        </w:rPr>
        <w:t>3</w:t>
      </w:r>
      <w:r>
        <w:rPr>
          <w:rFonts w:hint="default" w:ascii="Times New Roman" w:hAnsi="Times New Roman" w:cs="Times New Roman"/>
          <w:highlight w:val="none"/>
          <w:vertAlign w:val="baseline"/>
          <w:lang w:val="en-US" w:eastAsia="zh-CN"/>
        </w:rPr>
        <w:t>，</w:t>
      </w:r>
      <w:r>
        <w:rPr>
          <w:rFonts w:hint="eastAsia" w:cs="Times New Roman"/>
          <w:highlight w:val="none"/>
          <w:vertAlign w:val="baseline"/>
          <w:lang w:val="en-US" w:eastAsia="zh-CN"/>
        </w:rPr>
        <w:t>与</w:t>
      </w:r>
      <w:r>
        <w:rPr>
          <w:rFonts w:hint="default" w:ascii="Times New Roman" w:hAnsi="Times New Roman" w:cs="Times New Roman"/>
          <w:highlight w:val="none"/>
          <w:vertAlign w:val="baseline"/>
          <w:lang w:val="en-US" w:eastAsia="zh-CN"/>
        </w:rPr>
        <w:t>本</w:t>
      </w:r>
      <w:r>
        <w:rPr>
          <w:rFonts w:hint="eastAsia" w:cs="Times New Roman"/>
          <w:highlight w:val="none"/>
          <w:vertAlign w:val="baseline"/>
          <w:lang w:val="en-US" w:eastAsia="zh-CN"/>
        </w:rPr>
        <w:t>标准一致</w:t>
      </w:r>
      <w:r>
        <w:rPr>
          <w:rFonts w:hint="default" w:ascii="Times New Roman" w:hAnsi="Times New Roman" w:cs="Times New Roman"/>
          <w:highlight w:val="none"/>
          <w:vertAlign w:val="baseline"/>
          <w:lang w:val="en-US" w:eastAsia="zh-CN"/>
        </w:rPr>
        <w:t>。</w:t>
      </w:r>
    </w:p>
    <w:p w14:paraId="5A35107E">
      <w:pPr>
        <w:keepNext w:val="0"/>
        <w:keepLines w:val="0"/>
        <w:pageBreakBefore w:val="0"/>
        <w:widowControl/>
        <w:kinsoku/>
        <w:wordWrap/>
        <w:autoSpaceDE/>
        <w:autoSpaceDN/>
        <w:bidi w:val="0"/>
        <w:ind w:left="0" w:leftChars="0" w:firstLine="0" w:firstLineChars="0"/>
        <w:jc w:val="center"/>
        <w:rPr>
          <w:rFonts w:hint="default" w:ascii="Times New Roman" w:hAnsi="Times New Roman" w:cs="Times New Roman"/>
          <w:highlight w:val="none"/>
          <w:lang w:val="en-US" w:eastAsia="zh-CN"/>
        </w:rPr>
      </w:pPr>
      <w:r>
        <w:rPr>
          <w:rFonts w:hint="default" w:ascii="Times New Roman" w:hAnsi="Times New Roman" w:cs="Times New Roman"/>
          <w:highlight w:val="none"/>
          <w:lang w:val="en-US" w:eastAsia="zh-CN"/>
        </w:rPr>
        <w:t>表3.2-</w:t>
      </w:r>
      <w:r>
        <w:rPr>
          <w:rFonts w:hint="eastAsia" w:ascii="Times New Roman" w:hAnsi="Times New Roman" w:cs="Times New Roman"/>
          <w:highlight w:val="none"/>
          <w:lang w:val="en-US" w:eastAsia="zh-CN"/>
        </w:rPr>
        <w:t>5</w:t>
      </w:r>
      <w:r>
        <w:rPr>
          <w:rFonts w:hint="default" w:ascii="Times New Roman" w:hAnsi="Times New Roman" w:cs="Times New Roman"/>
          <w:highlight w:val="none"/>
          <w:lang w:val="en-US" w:eastAsia="zh-CN"/>
        </w:rPr>
        <w:t xml:space="preserve"> 各标准无组织控制指标与限值</w:t>
      </w:r>
    </w:p>
    <w:p w14:paraId="4BFB2163">
      <w:pPr>
        <w:keepNext w:val="0"/>
        <w:keepLines w:val="0"/>
        <w:pageBreakBefore w:val="0"/>
        <w:widowControl/>
        <w:kinsoku/>
        <w:wordWrap/>
        <w:autoSpaceDE/>
        <w:autoSpaceDN/>
        <w:bidi w:val="0"/>
        <w:ind w:left="0" w:leftChars="0" w:firstLine="0" w:firstLineChars="0"/>
        <w:jc w:val="right"/>
        <w:rPr>
          <w:rFonts w:hint="default" w:ascii="Times New Roman" w:hAnsi="Times New Roman" w:cs="Times New Roman"/>
          <w:highlight w:val="none"/>
          <w:lang w:val="en-US" w:eastAsia="zh-CN"/>
        </w:rPr>
      </w:pPr>
      <w:r>
        <w:rPr>
          <w:rFonts w:hint="default" w:ascii="Times New Roman" w:hAnsi="Times New Roman" w:cs="Times New Roman"/>
          <w:highlight w:val="none"/>
          <w:lang w:val="en-US" w:eastAsia="zh-CN"/>
        </w:rPr>
        <w:t>单位：mg/m</w:t>
      </w:r>
      <w:r>
        <w:rPr>
          <w:rFonts w:hint="default" w:ascii="Times New Roman" w:hAnsi="Times New Roman" w:cs="Times New Roman"/>
          <w:highlight w:val="none"/>
          <w:vertAlign w:val="superscript"/>
          <w:lang w:val="en-US" w:eastAsia="zh-CN"/>
        </w:rPr>
        <w:t>3</w:t>
      </w:r>
    </w:p>
    <w:tbl>
      <w:tblPr>
        <w:tblStyle w:val="21"/>
        <w:tblW w:w="8378"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091"/>
        <w:gridCol w:w="1149"/>
        <w:gridCol w:w="1515"/>
        <w:gridCol w:w="1155"/>
        <w:gridCol w:w="1155"/>
        <w:gridCol w:w="1155"/>
        <w:gridCol w:w="1158"/>
      </w:tblGrid>
      <w:tr w14:paraId="12A160D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7" w:hRule="atLeast"/>
        </w:trPr>
        <w:tc>
          <w:tcPr>
            <w:tcW w:w="109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9EA2EE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省市</w:t>
            </w:r>
          </w:p>
        </w:tc>
        <w:tc>
          <w:tcPr>
            <w:tcW w:w="114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A69C25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区域</w:t>
            </w:r>
          </w:p>
        </w:tc>
        <w:tc>
          <w:tcPr>
            <w:tcW w:w="1515"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CC129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类别</w:t>
            </w:r>
          </w:p>
        </w:tc>
        <w:tc>
          <w:tcPr>
            <w:tcW w:w="4623" w:type="dxa"/>
            <w:gridSpan w:val="4"/>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7C263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指标项目</w:t>
            </w:r>
          </w:p>
        </w:tc>
      </w:tr>
      <w:tr w14:paraId="02B8637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70" w:hRule="atLeast"/>
        </w:trPr>
        <w:tc>
          <w:tcPr>
            <w:tcW w:w="109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8A7109D">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b/>
                <w:bCs/>
                <w:i w:val="0"/>
                <w:iCs w:val="0"/>
                <w:color w:val="000000"/>
                <w:sz w:val="18"/>
                <w:szCs w:val="18"/>
                <w:highlight w:val="none"/>
                <w:u w:val="none"/>
              </w:rPr>
            </w:pPr>
          </w:p>
        </w:tc>
        <w:tc>
          <w:tcPr>
            <w:tcW w:w="114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5F23E9B">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b/>
                <w:bCs/>
                <w:i w:val="0"/>
                <w:iCs w:val="0"/>
                <w:color w:val="000000"/>
                <w:sz w:val="18"/>
                <w:szCs w:val="18"/>
                <w:highlight w:val="none"/>
                <w:u w:val="none"/>
              </w:rPr>
            </w:pPr>
          </w:p>
        </w:tc>
        <w:tc>
          <w:tcPr>
            <w:tcW w:w="1515"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53AB0E">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18"/>
                <w:szCs w:val="18"/>
                <w:highlight w:val="none"/>
                <w:u w:val="none"/>
              </w:rPr>
            </w:pPr>
          </w:p>
        </w:tc>
        <w:tc>
          <w:tcPr>
            <w:tcW w:w="11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51927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颗粒物</w:t>
            </w:r>
          </w:p>
        </w:tc>
        <w:tc>
          <w:tcPr>
            <w:tcW w:w="11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2475A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苯</w:t>
            </w:r>
          </w:p>
        </w:tc>
        <w:tc>
          <w:tcPr>
            <w:tcW w:w="11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7855B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苯系物</w:t>
            </w:r>
          </w:p>
        </w:tc>
        <w:tc>
          <w:tcPr>
            <w:tcW w:w="11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9CF33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非甲烷总烃</w:t>
            </w:r>
          </w:p>
        </w:tc>
      </w:tr>
      <w:tr w14:paraId="6AAAADE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70" w:hRule="atLeast"/>
        </w:trPr>
        <w:tc>
          <w:tcPr>
            <w:tcW w:w="109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AD8F03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四川（本</w:t>
            </w:r>
            <w:r>
              <w:rPr>
                <w:rFonts w:hint="eastAsia" w:cs="Times New Roman"/>
                <w:b/>
                <w:bCs/>
                <w:i w:val="0"/>
                <w:iCs w:val="0"/>
                <w:color w:val="000000"/>
                <w:kern w:val="0"/>
                <w:sz w:val="18"/>
                <w:szCs w:val="18"/>
                <w:highlight w:val="none"/>
                <w:u w:val="none"/>
                <w:lang w:val="en-US" w:eastAsia="zh-CN" w:bidi="ar"/>
              </w:rPr>
              <w:t>标准</w:t>
            </w:r>
            <w:r>
              <w:rPr>
                <w:rFonts w:hint="default" w:ascii="Times New Roman" w:hAnsi="Times New Roman" w:eastAsia="宋体" w:cs="Times New Roman"/>
                <w:b/>
                <w:bCs/>
                <w:i w:val="0"/>
                <w:iCs w:val="0"/>
                <w:color w:val="000000"/>
                <w:kern w:val="0"/>
                <w:sz w:val="18"/>
                <w:szCs w:val="18"/>
                <w:highlight w:val="none"/>
                <w:u w:val="none"/>
                <w:lang w:val="en-US" w:eastAsia="zh-CN" w:bidi="ar"/>
              </w:rPr>
              <w:t>）</w:t>
            </w:r>
          </w:p>
        </w:tc>
        <w:tc>
          <w:tcPr>
            <w:tcW w:w="114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C0805C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厂区</w:t>
            </w:r>
          </w:p>
        </w:tc>
        <w:tc>
          <w:tcPr>
            <w:tcW w:w="15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DDDF2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小时均值</w:t>
            </w:r>
          </w:p>
        </w:tc>
        <w:tc>
          <w:tcPr>
            <w:tcW w:w="1155" w:type="dxa"/>
            <w:vMerge w:val="restart"/>
            <w:tcBorders>
              <w:top w:val="single" w:color="000000" w:sz="4" w:space="0"/>
              <w:left w:val="single" w:color="000000" w:sz="4" w:space="0"/>
              <w:right w:val="single" w:color="000000" w:sz="4" w:space="0"/>
            </w:tcBorders>
            <w:shd w:val="clear" w:color="auto" w:fill="auto"/>
            <w:vAlign w:val="center"/>
          </w:tcPr>
          <w:p w14:paraId="02E877E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r>
              <w:rPr>
                <w:rFonts w:hint="default" w:ascii="Times New Roman" w:hAnsi="Times New Roman" w:eastAsia="宋体" w:cs="Times New Roman"/>
                <w:b/>
                <w:bCs/>
                <w:i w:val="0"/>
                <w:iCs w:val="0"/>
                <w:color w:val="000000"/>
                <w:kern w:val="0"/>
                <w:sz w:val="18"/>
                <w:szCs w:val="18"/>
                <w:highlight w:val="none"/>
                <w:u w:val="none"/>
                <w:lang w:val="en-US" w:eastAsia="zh-CN" w:bidi="ar"/>
              </w:rPr>
              <w:t>/</w:t>
            </w:r>
          </w:p>
        </w:tc>
        <w:tc>
          <w:tcPr>
            <w:tcW w:w="1155" w:type="dxa"/>
            <w:vMerge w:val="restart"/>
            <w:tcBorders>
              <w:top w:val="single" w:color="000000" w:sz="4" w:space="0"/>
              <w:left w:val="single" w:color="000000" w:sz="4" w:space="0"/>
              <w:right w:val="single" w:color="000000" w:sz="4" w:space="0"/>
            </w:tcBorders>
            <w:shd w:val="clear" w:color="auto" w:fill="auto"/>
            <w:vAlign w:val="center"/>
          </w:tcPr>
          <w:p w14:paraId="4A1AF00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r>
              <w:rPr>
                <w:rFonts w:hint="default" w:ascii="Times New Roman" w:hAnsi="Times New Roman" w:eastAsia="宋体" w:cs="Times New Roman"/>
                <w:b/>
                <w:bCs/>
                <w:i w:val="0"/>
                <w:iCs w:val="0"/>
                <w:color w:val="000000"/>
                <w:kern w:val="0"/>
                <w:sz w:val="18"/>
                <w:szCs w:val="18"/>
                <w:highlight w:val="none"/>
                <w:u w:val="none"/>
                <w:lang w:val="en-US" w:eastAsia="zh-CN" w:bidi="ar"/>
              </w:rPr>
              <w:t>/</w:t>
            </w:r>
          </w:p>
        </w:tc>
        <w:tc>
          <w:tcPr>
            <w:tcW w:w="1155" w:type="dxa"/>
            <w:vMerge w:val="restart"/>
            <w:tcBorders>
              <w:top w:val="single" w:color="000000" w:sz="4" w:space="0"/>
              <w:left w:val="single" w:color="000000" w:sz="4" w:space="0"/>
              <w:right w:val="single" w:color="000000" w:sz="4" w:space="0"/>
            </w:tcBorders>
            <w:shd w:val="clear" w:color="auto" w:fill="auto"/>
            <w:vAlign w:val="center"/>
          </w:tcPr>
          <w:p w14:paraId="759A83B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r>
              <w:rPr>
                <w:rFonts w:hint="default" w:ascii="Times New Roman" w:hAnsi="Times New Roman" w:eastAsia="宋体" w:cs="Times New Roman"/>
                <w:b/>
                <w:bCs/>
                <w:i w:val="0"/>
                <w:iCs w:val="0"/>
                <w:color w:val="000000"/>
                <w:kern w:val="0"/>
                <w:sz w:val="18"/>
                <w:szCs w:val="18"/>
                <w:highlight w:val="none"/>
                <w:u w:val="none"/>
                <w:lang w:val="en-US" w:eastAsia="zh-CN" w:bidi="ar"/>
              </w:rPr>
              <w:t>/</w:t>
            </w:r>
          </w:p>
        </w:tc>
        <w:tc>
          <w:tcPr>
            <w:tcW w:w="11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07852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r>
              <w:rPr>
                <w:rFonts w:hint="eastAsia" w:cs="Times New Roman"/>
                <w:b/>
                <w:bCs/>
                <w:i w:val="0"/>
                <w:iCs w:val="0"/>
                <w:color w:val="000000"/>
                <w:kern w:val="0"/>
                <w:sz w:val="18"/>
                <w:szCs w:val="18"/>
                <w:highlight w:val="none"/>
                <w:u w:val="none"/>
                <w:lang w:val="en-US" w:eastAsia="zh-CN" w:bidi="ar"/>
              </w:rPr>
              <w:t>2</w:t>
            </w:r>
          </w:p>
        </w:tc>
      </w:tr>
      <w:tr w14:paraId="3D8D07C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70" w:hRule="atLeast"/>
        </w:trPr>
        <w:tc>
          <w:tcPr>
            <w:tcW w:w="109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5E19A62">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b/>
                <w:bCs/>
                <w:i w:val="0"/>
                <w:iCs w:val="0"/>
                <w:color w:val="000000"/>
                <w:sz w:val="18"/>
                <w:szCs w:val="18"/>
                <w:highlight w:val="none"/>
                <w:u w:val="none"/>
              </w:rPr>
            </w:pPr>
          </w:p>
        </w:tc>
        <w:tc>
          <w:tcPr>
            <w:tcW w:w="114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7153A22">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b/>
                <w:bCs/>
                <w:i w:val="0"/>
                <w:iCs w:val="0"/>
                <w:color w:val="000000"/>
                <w:sz w:val="18"/>
                <w:szCs w:val="18"/>
                <w:highlight w:val="none"/>
                <w:u w:val="none"/>
              </w:rPr>
            </w:pPr>
          </w:p>
        </w:tc>
        <w:tc>
          <w:tcPr>
            <w:tcW w:w="15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EB34A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瞬时值</w:t>
            </w:r>
          </w:p>
        </w:tc>
        <w:tc>
          <w:tcPr>
            <w:tcW w:w="1155" w:type="dxa"/>
            <w:vMerge w:val="continue"/>
            <w:tcBorders>
              <w:left w:val="single" w:color="000000" w:sz="4" w:space="0"/>
              <w:bottom w:val="single" w:color="000000" w:sz="4" w:space="0"/>
              <w:right w:val="single" w:color="000000" w:sz="4" w:space="0"/>
            </w:tcBorders>
            <w:shd w:val="clear" w:color="auto" w:fill="auto"/>
            <w:vAlign w:val="center"/>
          </w:tcPr>
          <w:p w14:paraId="2102DE04">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b/>
                <w:bCs/>
                <w:i w:val="0"/>
                <w:iCs w:val="0"/>
                <w:color w:val="000000"/>
                <w:kern w:val="0"/>
                <w:sz w:val="18"/>
                <w:szCs w:val="18"/>
                <w:highlight w:val="none"/>
                <w:u w:val="none"/>
                <w:lang w:val="en-US" w:eastAsia="zh-CN" w:bidi="ar"/>
              </w:rPr>
            </w:pPr>
          </w:p>
        </w:tc>
        <w:tc>
          <w:tcPr>
            <w:tcW w:w="1155" w:type="dxa"/>
            <w:vMerge w:val="continue"/>
            <w:tcBorders>
              <w:left w:val="single" w:color="000000" w:sz="4" w:space="0"/>
              <w:bottom w:val="single" w:color="000000" w:sz="4" w:space="0"/>
              <w:right w:val="single" w:color="000000" w:sz="4" w:space="0"/>
            </w:tcBorders>
            <w:shd w:val="clear" w:color="auto" w:fill="auto"/>
            <w:vAlign w:val="center"/>
          </w:tcPr>
          <w:p w14:paraId="004EF272">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b/>
                <w:bCs/>
                <w:i w:val="0"/>
                <w:iCs w:val="0"/>
                <w:color w:val="000000"/>
                <w:kern w:val="0"/>
                <w:sz w:val="18"/>
                <w:szCs w:val="18"/>
                <w:highlight w:val="none"/>
                <w:u w:val="none"/>
                <w:lang w:val="en-US" w:eastAsia="zh-CN" w:bidi="ar"/>
              </w:rPr>
            </w:pPr>
          </w:p>
        </w:tc>
        <w:tc>
          <w:tcPr>
            <w:tcW w:w="1155" w:type="dxa"/>
            <w:vMerge w:val="continue"/>
            <w:tcBorders>
              <w:left w:val="single" w:color="000000" w:sz="4" w:space="0"/>
              <w:bottom w:val="single" w:color="000000" w:sz="4" w:space="0"/>
              <w:right w:val="single" w:color="000000" w:sz="4" w:space="0"/>
            </w:tcBorders>
            <w:shd w:val="clear" w:color="auto" w:fill="auto"/>
            <w:vAlign w:val="center"/>
          </w:tcPr>
          <w:p w14:paraId="4E33D587">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b/>
                <w:bCs/>
                <w:i w:val="0"/>
                <w:iCs w:val="0"/>
                <w:color w:val="000000"/>
                <w:kern w:val="0"/>
                <w:sz w:val="18"/>
                <w:szCs w:val="18"/>
                <w:highlight w:val="none"/>
                <w:u w:val="none"/>
                <w:lang w:val="en-US" w:eastAsia="zh-CN" w:bidi="ar"/>
              </w:rPr>
            </w:pPr>
          </w:p>
        </w:tc>
        <w:tc>
          <w:tcPr>
            <w:tcW w:w="11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FFF34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r>
              <w:rPr>
                <w:rFonts w:hint="default" w:ascii="Times New Roman" w:hAnsi="Times New Roman" w:eastAsia="宋体" w:cs="Times New Roman"/>
                <w:b/>
                <w:bCs/>
                <w:i w:val="0"/>
                <w:iCs w:val="0"/>
                <w:color w:val="000000"/>
                <w:kern w:val="0"/>
                <w:sz w:val="18"/>
                <w:szCs w:val="18"/>
                <w:highlight w:val="none"/>
                <w:u w:val="none"/>
                <w:lang w:val="en-US" w:eastAsia="zh-CN" w:bidi="ar"/>
              </w:rPr>
              <w:t>8</w:t>
            </w:r>
          </w:p>
        </w:tc>
      </w:tr>
      <w:tr w14:paraId="494ED23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7" w:hRule="atLeast"/>
        </w:trPr>
        <w:tc>
          <w:tcPr>
            <w:tcW w:w="109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BB52187">
            <w:pPr>
              <w:keepNext w:val="0"/>
              <w:keepLines w:val="0"/>
              <w:pageBreakBefore w:val="0"/>
              <w:widowControl/>
              <w:suppressLineNumbers w:val="0"/>
              <w:kinsoku/>
              <w:wordWrap/>
              <w:overflowPunct/>
              <w:topLinePunct w:val="0"/>
              <w:autoSpaceDE/>
              <w:autoSpaceDN/>
              <w:bidi w:val="0"/>
              <w:adjustRightInd/>
              <w:snapToGrid/>
              <w:spacing w:line="240" w:lineRule="auto"/>
              <w:ind w:left="0" w:leftChars="0"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安徽</w:t>
            </w:r>
          </w:p>
        </w:tc>
        <w:tc>
          <w:tcPr>
            <w:tcW w:w="0" w:type="auto"/>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10ED5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厂区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E9CA1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小时均值</w:t>
            </w:r>
          </w:p>
        </w:tc>
        <w:tc>
          <w:tcPr>
            <w:tcW w:w="0" w:type="auto"/>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DE2A9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0" w:type="auto"/>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A3F7B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0" w:type="auto"/>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C4724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11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DF493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2</w:t>
            </w:r>
          </w:p>
        </w:tc>
      </w:tr>
      <w:tr w14:paraId="700ED67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7" w:hRule="atLeast"/>
        </w:trPr>
        <w:tc>
          <w:tcPr>
            <w:tcW w:w="109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7065D6F">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18"/>
                <w:szCs w:val="18"/>
                <w:highlight w:val="none"/>
                <w:u w:val="none"/>
              </w:rPr>
            </w:pPr>
          </w:p>
        </w:tc>
        <w:tc>
          <w:tcPr>
            <w:tcW w:w="0" w:type="auto"/>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40BE1D">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18"/>
                <w:szCs w:val="18"/>
                <w:highlight w:val="none"/>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9A431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瞬时值</w:t>
            </w:r>
          </w:p>
        </w:tc>
        <w:tc>
          <w:tcPr>
            <w:tcW w:w="0" w:type="auto"/>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704D6E">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18"/>
                <w:szCs w:val="18"/>
                <w:highlight w:val="none"/>
                <w:u w:val="none"/>
              </w:rPr>
            </w:pPr>
          </w:p>
        </w:tc>
        <w:tc>
          <w:tcPr>
            <w:tcW w:w="0" w:type="auto"/>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B9BFC9">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18"/>
                <w:szCs w:val="18"/>
                <w:highlight w:val="none"/>
                <w:u w:val="none"/>
              </w:rPr>
            </w:pPr>
          </w:p>
        </w:tc>
        <w:tc>
          <w:tcPr>
            <w:tcW w:w="0" w:type="auto"/>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DA2909">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18"/>
                <w:szCs w:val="18"/>
                <w:highlight w:val="none"/>
                <w:u w:val="none"/>
              </w:rPr>
            </w:pPr>
          </w:p>
        </w:tc>
        <w:tc>
          <w:tcPr>
            <w:tcW w:w="11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4689E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8</w:t>
            </w:r>
          </w:p>
        </w:tc>
      </w:tr>
      <w:tr w14:paraId="15A8A0E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7" w:hRule="atLeast"/>
        </w:trPr>
        <w:tc>
          <w:tcPr>
            <w:tcW w:w="10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1D835D">
            <w:pPr>
              <w:keepNext w:val="0"/>
              <w:keepLines w:val="0"/>
              <w:pageBreakBefore w:val="0"/>
              <w:widowControl/>
              <w:suppressLineNumbers w:val="0"/>
              <w:kinsoku/>
              <w:wordWrap/>
              <w:overflowPunct/>
              <w:topLinePunct w:val="0"/>
              <w:autoSpaceDE/>
              <w:autoSpaceDN/>
              <w:bidi w:val="0"/>
              <w:adjustRightInd/>
              <w:snapToGrid/>
              <w:spacing w:line="240" w:lineRule="auto"/>
              <w:ind w:left="0" w:leftChars="0"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上海</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0D65A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厂区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65F1B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瞬时值</w:t>
            </w:r>
          </w:p>
        </w:tc>
        <w:tc>
          <w:tcPr>
            <w:tcW w:w="11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1FEF8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11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5FAF4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11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1D74B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11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92E45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8</w:t>
            </w:r>
          </w:p>
        </w:tc>
      </w:tr>
      <w:tr w14:paraId="5BBAFC0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7" w:hRule="atLeast"/>
        </w:trPr>
        <w:tc>
          <w:tcPr>
            <w:tcW w:w="109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A04C85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江苏</w:t>
            </w:r>
          </w:p>
        </w:tc>
        <w:tc>
          <w:tcPr>
            <w:tcW w:w="0" w:type="auto"/>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AE681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厂区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04F8C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小时均值</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8BF69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1</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6D31B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0.1</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F27E1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1</w:t>
            </w:r>
          </w:p>
        </w:tc>
        <w:tc>
          <w:tcPr>
            <w:tcW w:w="11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EB8B1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8</w:t>
            </w:r>
          </w:p>
        </w:tc>
      </w:tr>
      <w:tr w14:paraId="053067D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7" w:hRule="atLeast"/>
        </w:trPr>
        <w:tc>
          <w:tcPr>
            <w:tcW w:w="109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C9259D9">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18"/>
                <w:szCs w:val="18"/>
                <w:highlight w:val="none"/>
                <w:u w:val="none"/>
              </w:rPr>
            </w:pPr>
          </w:p>
        </w:tc>
        <w:tc>
          <w:tcPr>
            <w:tcW w:w="0" w:type="auto"/>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669AB2">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18"/>
                <w:szCs w:val="18"/>
                <w:highlight w:val="none"/>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4DD26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瞬时值</w:t>
            </w:r>
          </w:p>
        </w:tc>
        <w:tc>
          <w:tcPr>
            <w:tcW w:w="11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2CF2F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w:t>
            </w:r>
          </w:p>
        </w:tc>
        <w:tc>
          <w:tcPr>
            <w:tcW w:w="11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60513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w:t>
            </w:r>
          </w:p>
        </w:tc>
        <w:tc>
          <w:tcPr>
            <w:tcW w:w="11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872FC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w:t>
            </w:r>
          </w:p>
        </w:tc>
        <w:tc>
          <w:tcPr>
            <w:tcW w:w="11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87031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2</w:t>
            </w:r>
          </w:p>
        </w:tc>
      </w:tr>
      <w:tr w14:paraId="3274959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7" w:hRule="atLeast"/>
        </w:trPr>
        <w:tc>
          <w:tcPr>
            <w:tcW w:w="10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0F26B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重庆</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6321C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lang w:val="en-US"/>
              </w:rPr>
            </w:pPr>
            <w:r>
              <w:rPr>
                <w:rFonts w:hint="eastAsia" w:cs="Times New Roman"/>
                <w:i w:val="0"/>
                <w:iCs w:val="0"/>
                <w:color w:val="000000"/>
                <w:kern w:val="0"/>
                <w:sz w:val="18"/>
                <w:szCs w:val="18"/>
                <w:highlight w:val="none"/>
                <w:u w:val="none"/>
                <w:lang w:val="en-US" w:eastAsia="zh-CN"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A7841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2"/>
                <w:sz w:val="18"/>
                <w:szCs w:val="18"/>
                <w:highlight w:val="none"/>
                <w:u w:val="none"/>
                <w:lang w:val="en-US" w:eastAsia="zh-CN" w:bidi="ar-SA"/>
              </w:rPr>
            </w:pPr>
            <w:r>
              <w:rPr>
                <w:rFonts w:hint="eastAsia" w:cs="Times New Roman"/>
                <w:i w:val="0"/>
                <w:iCs w:val="0"/>
                <w:color w:val="000000"/>
                <w:kern w:val="2"/>
                <w:sz w:val="18"/>
                <w:szCs w:val="18"/>
                <w:highlight w:val="none"/>
                <w:u w:val="none"/>
                <w:lang w:val="en-US" w:eastAsia="zh-CN" w:bidi="ar-SA"/>
              </w:rPr>
              <w:t>/</w:t>
            </w:r>
          </w:p>
        </w:tc>
        <w:tc>
          <w:tcPr>
            <w:tcW w:w="11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EEF11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2"/>
                <w:sz w:val="18"/>
                <w:szCs w:val="18"/>
                <w:highlight w:val="none"/>
                <w:u w:val="none"/>
                <w:lang w:val="en-US" w:eastAsia="zh-CN" w:bidi="ar-SA"/>
              </w:rPr>
            </w:pPr>
            <w:r>
              <w:rPr>
                <w:rFonts w:hint="eastAsia" w:cs="Times New Roman"/>
                <w:i w:val="0"/>
                <w:iCs w:val="0"/>
                <w:color w:val="000000"/>
                <w:kern w:val="2"/>
                <w:sz w:val="18"/>
                <w:szCs w:val="18"/>
                <w:highlight w:val="none"/>
                <w:u w:val="none"/>
                <w:lang w:val="en-US" w:eastAsia="zh-CN" w:bidi="ar-SA"/>
              </w:rPr>
              <w:t>/</w:t>
            </w:r>
          </w:p>
        </w:tc>
        <w:tc>
          <w:tcPr>
            <w:tcW w:w="11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F626C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2"/>
                <w:sz w:val="18"/>
                <w:szCs w:val="18"/>
                <w:highlight w:val="none"/>
                <w:u w:val="none"/>
                <w:lang w:val="en-US" w:eastAsia="zh-CN" w:bidi="ar-SA"/>
              </w:rPr>
            </w:pPr>
            <w:r>
              <w:rPr>
                <w:rFonts w:hint="eastAsia" w:cs="Times New Roman"/>
                <w:i w:val="0"/>
                <w:iCs w:val="0"/>
                <w:color w:val="000000"/>
                <w:kern w:val="2"/>
                <w:sz w:val="18"/>
                <w:szCs w:val="18"/>
                <w:highlight w:val="none"/>
                <w:u w:val="none"/>
                <w:lang w:val="en-US" w:eastAsia="zh-CN" w:bidi="ar-SA"/>
              </w:rPr>
              <w:t>/</w:t>
            </w:r>
          </w:p>
        </w:tc>
        <w:tc>
          <w:tcPr>
            <w:tcW w:w="11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46791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eastAsia" w:ascii="Times New Roman" w:hAnsi="Times New Roman" w:eastAsia="宋体" w:cs="Times New Roman"/>
                <w:i w:val="0"/>
                <w:iCs w:val="0"/>
                <w:color w:val="000000"/>
                <w:sz w:val="18"/>
                <w:szCs w:val="18"/>
                <w:highlight w:val="none"/>
                <w:u w:val="none"/>
                <w:lang w:val="en-US" w:eastAsia="zh-CN"/>
              </w:rPr>
            </w:pPr>
            <w:r>
              <w:rPr>
                <w:rFonts w:hint="eastAsia" w:cs="Times New Roman"/>
                <w:i w:val="0"/>
                <w:iCs w:val="0"/>
                <w:color w:val="000000"/>
                <w:sz w:val="18"/>
                <w:szCs w:val="18"/>
                <w:highlight w:val="none"/>
                <w:u w:val="none"/>
                <w:lang w:val="en-US" w:eastAsia="zh-CN"/>
              </w:rPr>
              <w:t>/</w:t>
            </w:r>
          </w:p>
        </w:tc>
        <w:tc>
          <w:tcPr>
            <w:tcW w:w="11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C67FB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eastAsia" w:ascii="Times New Roman" w:hAnsi="Times New Roman" w:eastAsia="宋体" w:cs="Times New Roman"/>
                <w:i w:val="0"/>
                <w:iCs w:val="0"/>
                <w:color w:val="000000"/>
                <w:sz w:val="18"/>
                <w:szCs w:val="18"/>
                <w:highlight w:val="none"/>
                <w:u w:val="none"/>
                <w:lang w:val="en-US" w:eastAsia="zh-CN"/>
              </w:rPr>
            </w:pPr>
            <w:r>
              <w:rPr>
                <w:rFonts w:hint="eastAsia" w:cs="Times New Roman"/>
                <w:i w:val="0"/>
                <w:iCs w:val="0"/>
                <w:color w:val="000000"/>
                <w:sz w:val="18"/>
                <w:szCs w:val="18"/>
                <w:highlight w:val="none"/>
                <w:u w:val="none"/>
                <w:lang w:val="en-US" w:eastAsia="zh-CN"/>
              </w:rPr>
              <w:t>/</w:t>
            </w:r>
          </w:p>
        </w:tc>
      </w:tr>
      <w:tr w14:paraId="338A7BE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94" w:hRule="atLeast"/>
        </w:trPr>
        <w:tc>
          <w:tcPr>
            <w:tcW w:w="1091" w:type="dxa"/>
            <w:vMerge w:val="restart"/>
            <w:tcBorders>
              <w:top w:val="single" w:color="000000" w:sz="4" w:space="0"/>
              <w:left w:val="single" w:color="000000" w:sz="4" w:space="0"/>
              <w:right w:val="single" w:color="000000" w:sz="4" w:space="0"/>
            </w:tcBorders>
            <w:shd w:val="clear" w:color="auto" w:fill="auto"/>
            <w:vAlign w:val="center"/>
          </w:tcPr>
          <w:p w14:paraId="3A0BA57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北京</w:t>
            </w:r>
          </w:p>
        </w:tc>
        <w:tc>
          <w:tcPr>
            <w:tcW w:w="1149" w:type="dxa"/>
            <w:vMerge w:val="restart"/>
            <w:tcBorders>
              <w:top w:val="single" w:color="000000" w:sz="4" w:space="0"/>
              <w:left w:val="single" w:color="000000" w:sz="4" w:space="0"/>
              <w:right w:val="single" w:color="000000" w:sz="4" w:space="0"/>
            </w:tcBorders>
            <w:shd w:val="clear" w:color="auto" w:fill="auto"/>
            <w:noWrap/>
            <w:vAlign w:val="center"/>
          </w:tcPr>
          <w:p w14:paraId="7127D00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厂区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B891E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小时均值</w:t>
            </w:r>
          </w:p>
        </w:tc>
        <w:tc>
          <w:tcPr>
            <w:tcW w:w="11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6A34F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1</w:t>
            </w:r>
          </w:p>
        </w:tc>
        <w:tc>
          <w:tcPr>
            <w:tcW w:w="11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2A477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0.1</w:t>
            </w:r>
          </w:p>
        </w:tc>
        <w:tc>
          <w:tcPr>
            <w:tcW w:w="11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91B8E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1</w:t>
            </w:r>
          </w:p>
        </w:tc>
        <w:tc>
          <w:tcPr>
            <w:tcW w:w="11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DD5E5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2</w:t>
            </w:r>
          </w:p>
        </w:tc>
      </w:tr>
      <w:tr w14:paraId="7EC42DB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94" w:hRule="atLeast"/>
        </w:trPr>
        <w:tc>
          <w:tcPr>
            <w:tcW w:w="1091" w:type="dxa"/>
            <w:vMerge w:val="continue"/>
            <w:tcBorders>
              <w:left w:val="single" w:color="000000" w:sz="4" w:space="0"/>
              <w:bottom w:val="single" w:color="000000" w:sz="4" w:space="0"/>
              <w:right w:val="single" w:color="000000" w:sz="4" w:space="0"/>
            </w:tcBorders>
            <w:shd w:val="clear" w:color="auto" w:fill="auto"/>
            <w:vAlign w:val="center"/>
          </w:tcPr>
          <w:p w14:paraId="64F026E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p>
        </w:tc>
        <w:tc>
          <w:tcPr>
            <w:tcW w:w="1149" w:type="dxa"/>
            <w:vMerge w:val="continue"/>
            <w:tcBorders>
              <w:left w:val="single" w:color="000000" w:sz="4" w:space="0"/>
              <w:bottom w:val="single" w:color="000000" w:sz="4" w:space="0"/>
              <w:right w:val="single" w:color="000000" w:sz="4" w:space="0"/>
            </w:tcBorders>
            <w:shd w:val="clear" w:color="auto" w:fill="auto"/>
            <w:noWrap/>
            <w:vAlign w:val="center"/>
          </w:tcPr>
          <w:p w14:paraId="2E0497B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p>
        </w:tc>
        <w:tc>
          <w:tcPr>
            <w:tcW w:w="15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3E2DD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瞬时值</w:t>
            </w:r>
          </w:p>
        </w:tc>
        <w:tc>
          <w:tcPr>
            <w:tcW w:w="11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0CDFB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b/>
                <w:bCs/>
                <w:i w:val="0"/>
                <w:iCs w:val="0"/>
                <w:color w:val="000000"/>
                <w:kern w:val="0"/>
                <w:sz w:val="18"/>
                <w:szCs w:val="18"/>
                <w:highlight w:val="none"/>
                <w:u w:val="none"/>
                <w:lang w:val="en-US" w:eastAsia="zh-CN" w:bidi="ar"/>
              </w:rPr>
              <w:t>/</w:t>
            </w:r>
          </w:p>
        </w:tc>
        <w:tc>
          <w:tcPr>
            <w:tcW w:w="11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63E33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b/>
                <w:bCs/>
                <w:i w:val="0"/>
                <w:iCs w:val="0"/>
                <w:color w:val="000000"/>
                <w:kern w:val="0"/>
                <w:sz w:val="18"/>
                <w:szCs w:val="18"/>
                <w:highlight w:val="none"/>
                <w:u w:val="none"/>
                <w:lang w:val="en-US" w:eastAsia="zh-CN" w:bidi="ar"/>
              </w:rPr>
              <w:t>/</w:t>
            </w:r>
          </w:p>
        </w:tc>
        <w:tc>
          <w:tcPr>
            <w:tcW w:w="11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FCC5F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b/>
                <w:bCs/>
                <w:i w:val="0"/>
                <w:iCs w:val="0"/>
                <w:color w:val="000000"/>
                <w:kern w:val="0"/>
                <w:sz w:val="18"/>
                <w:szCs w:val="18"/>
                <w:highlight w:val="none"/>
                <w:u w:val="none"/>
                <w:lang w:val="en-US" w:eastAsia="zh-CN" w:bidi="ar"/>
              </w:rPr>
              <w:t>/</w:t>
            </w:r>
          </w:p>
        </w:tc>
        <w:tc>
          <w:tcPr>
            <w:tcW w:w="11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E3687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eastAsia" w:cs="Times New Roman"/>
                <w:b w:val="0"/>
                <w:bCs w:val="0"/>
                <w:i w:val="0"/>
                <w:iCs w:val="0"/>
                <w:color w:val="000000"/>
                <w:kern w:val="0"/>
                <w:sz w:val="18"/>
                <w:szCs w:val="18"/>
                <w:highlight w:val="none"/>
                <w:u w:val="none"/>
                <w:lang w:val="en-US" w:eastAsia="zh-CN" w:bidi="ar"/>
              </w:rPr>
              <w:t>8</w:t>
            </w:r>
          </w:p>
        </w:tc>
      </w:tr>
      <w:tr w14:paraId="1D3E554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4" w:hRule="atLeast"/>
        </w:trPr>
        <w:tc>
          <w:tcPr>
            <w:tcW w:w="10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13E87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浙江（征求意见稿）</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CC8AE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厂区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B8EE5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瞬时值</w:t>
            </w:r>
          </w:p>
        </w:tc>
        <w:tc>
          <w:tcPr>
            <w:tcW w:w="11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0963E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11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85BCB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115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92A27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11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7B2BE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8</w:t>
            </w:r>
          </w:p>
        </w:tc>
      </w:tr>
      <w:tr w14:paraId="7AE42F1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7" w:hRule="atLeast"/>
        </w:trPr>
        <w:tc>
          <w:tcPr>
            <w:tcW w:w="109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866F5A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广东（送审稿）</w:t>
            </w:r>
          </w:p>
        </w:tc>
        <w:tc>
          <w:tcPr>
            <w:tcW w:w="0" w:type="auto"/>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9E083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厂区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450CB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小时均值</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12F55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0.5</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50D91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D128F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11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FBDDE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2</w:t>
            </w:r>
          </w:p>
        </w:tc>
      </w:tr>
      <w:tr w14:paraId="424DD0F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7" w:hRule="atLeast"/>
        </w:trPr>
        <w:tc>
          <w:tcPr>
            <w:tcW w:w="109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0FA985A">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18"/>
                <w:szCs w:val="18"/>
                <w:highlight w:val="none"/>
                <w:u w:val="none"/>
              </w:rPr>
            </w:pPr>
          </w:p>
        </w:tc>
        <w:tc>
          <w:tcPr>
            <w:tcW w:w="0" w:type="auto"/>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892D21">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18"/>
                <w:szCs w:val="18"/>
                <w:highlight w:val="none"/>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33DFD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瞬时值</w:t>
            </w:r>
          </w:p>
        </w:tc>
        <w:tc>
          <w:tcPr>
            <w:tcW w:w="11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23D5C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w:t>
            </w:r>
          </w:p>
        </w:tc>
        <w:tc>
          <w:tcPr>
            <w:tcW w:w="11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7B276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w:t>
            </w:r>
          </w:p>
        </w:tc>
        <w:tc>
          <w:tcPr>
            <w:tcW w:w="11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03BEA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w:t>
            </w:r>
          </w:p>
        </w:tc>
        <w:tc>
          <w:tcPr>
            <w:tcW w:w="11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C8EBA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8</w:t>
            </w:r>
          </w:p>
        </w:tc>
      </w:tr>
    </w:tbl>
    <w:p w14:paraId="407FE42F">
      <w:pPr>
        <w:pStyle w:val="4"/>
        <w:keepNext w:val="0"/>
        <w:keepLines w:val="0"/>
        <w:pageBreakBefore w:val="0"/>
        <w:widowControl/>
        <w:kinsoku/>
        <w:wordWrap/>
        <w:autoSpaceDE/>
        <w:autoSpaceDN/>
        <w:bidi w:val="0"/>
        <w:rPr>
          <w:rFonts w:hint="default" w:ascii="Times New Roman" w:hAnsi="Times New Roman" w:cs="Times New Roman"/>
          <w:highlight w:val="none"/>
          <w:lang w:val="en-US" w:eastAsia="zh-CN"/>
        </w:rPr>
      </w:pPr>
      <w:bookmarkStart w:id="39" w:name="_Toc8662"/>
      <w:r>
        <w:rPr>
          <w:rFonts w:hint="default" w:ascii="Times New Roman" w:hAnsi="Times New Roman" w:cs="Times New Roman"/>
          <w:highlight w:val="none"/>
          <w:lang w:val="en-US" w:eastAsia="zh-CN"/>
        </w:rPr>
        <w:t>厂界</w:t>
      </w:r>
      <w:bookmarkEnd w:id="39"/>
    </w:p>
    <w:p w14:paraId="29F75178">
      <w:pPr>
        <w:keepNext w:val="0"/>
        <w:keepLines w:val="0"/>
        <w:pageBreakBefore w:val="0"/>
        <w:widowControl/>
        <w:numPr>
          <w:ilvl w:val="0"/>
          <w:numId w:val="3"/>
        </w:numPr>
        <w:kinsoku/>
        <w:wordWrap/>
        <w:autoSpaceDE/>
        <w:autoSpaceDN/>
        <w:bidi w:val="0"/>
        <w:rPr>
          <w:rFonts w:hint="default" w:ascii="Times New Roman" w:hAnsi="Times New Roman" w:cs="Times New Roman"/>
          <w:b/>
          <w:bCs/>
          <w:highlight w:val="none"/>
        </w:rPr>
      </w:pPr>
      <w:r>
        <w:rPr>
          <w:rFonts w:hint="default" w:ascii="Times New Roman" w:hAnsi="Times New Roman" w:cs="Times New Roman"/>
          <w:b/>
          <w:bCs/>
          <w:highlight w:val="none"/>
        </w:rPr>
        <w:t>控制指标</w:t>
      </w:r>
    </w:p>
    <w:p w14:paraId="50D44B35">
      <w:pPr>
        <w:keepNext w:val="0"/>
        <w:keepLines w:val="0"/>
        <w:pageBreakBefore w:val="0"/>
        <w:widowControl/>
        <w:numPr>
          <w:ilvl w:val="0"/>
          <w:numId w:val="0"/>
        </w:numPr>
        <w:kinsoku/>
        <w:wordWrap/>
        <w:autoSpaceDE/>
        <w:autoSpaceDN/>
        <w:bidi w:val="0"/>
        <w:ind w:firstLine="480" w:firstLineChars="200"/>
        <w:rPr>
          <w:rFonts w:hint="default" w:ascii="Times New Roman" w:hAnsi="Times New Roman" w:cs="Times New Roman"/>
          <w:b w:val="0"/>
          <w:bCs w:val="0"/>
          <w:highlight w:val="none"/>
          <w:lang w:eastAsia="zh-CN"/>
        </w:rPr>
      </w:pPr>
      <w:r>
        <w:rPr>
          <w:rFonts w:hint="default" w:ascii="Times New Roman" w:hAnsi="Times New Roman" w:cs="Times New Roman"/>
          <w:b w:val="0"/>
          <w:bCs w:val="0"/>
          <w:highlight w:val="none"/>
          <w:lang w:eastAsia="zh-CN"/>
        </w:rPr>
        <w:t>各省市厂界监控指标共涉及到</w:t>
      </w:r>
      <w:r>
        <w:rPr>
          <w:rFonts w:hint="default" w:ascii="Times New Roman" w:hAnsi="Times New Roman" w:cs="Times New Roman"/>
          <w:b w:val="0"/>
          <w:bCs w:val="0"/>
          <w:highlight w:val="none"/>
          <w:lang w:val="en-US" w:eastAsia="zh-CN"/>
        </w:rPr>
        <w:t>9个指标</w:t>
      </w:r>
      <w:r>
        <w:rPr>
          <w:rFonts w:hint="default" w:ascii="Times New Roman" w:hAnsi="Times New Roman" w:cs="Times New Roman"/>
          <w:b w:val="0"/>
          <w:bCs w:val="0"/>
          <w:highlight w:val="none"/>
          <w:lang w:eastAsia="zh-CN"/>
        </w:rPr>
        <w:t>，不同地标差异较大。已发布地标中，重庆设置了颗粒物、苯、苯系物以及非甲烷总烃指标，深圳设置了苯、甲苯、二甲苯和</w:t>
      </w:r>
      <w:r>
        <w:rPr>
          <w:rFonts w:hint="default" w:ascii="Times New Roman" w:hAnsi="Times New Roman" w:cs="Times New Roman"/>
          <w:b w:val="0"/>
          <w:bCs w:val="0"/>
          <w:highlight w:val="none"/>
          <w:lang w:val="en-US" w:eastAsia="zh-CN"/>
        </w:rPr>
        <w:t>TVOCs指标，</w:t>
      </w:r>
      <w:r>
        <w:rPr>
          <w:rFonts w:hint="default" w:ascii="Times New Roman" w:hAnsi="Times New Roman" w:cs="Times New Roman"/>
          <w:b w:val="0"/>
          <w:bCs w:val="0"/>
          <w:highlight w:val="none"/>
          <w:lang w:eastAsia="zh-CN"/>
        </w:rPr>
        <w:t>其余省市安徽、上海、江苏、北京等均未设置厂界控制指标；综合来看，苯作为限值指标最多。本</w:t>
      </w:r>
      <w:r>
        <w:rPr>
          <w:rFonts w:hint="eastAsia" w:cs="Times New Roman"/>
          <w:b w:val="0"/>
          <w:bCs w:val="0"/>
          <w:highlight w:val="none"/>
          <w:lang w:eastAsia="zh-CN"/>
        </w:rPr>
        <w:t>标准</w:t>
      </w:r>
      <w:r>
        <w:rPr>
          <w:rFonts w:hint="default" w:ascii="Times New Roman" w:hAnsi="Times New Roman" w:cs="Times New Roman"/>
          <w:b w:val="0"/>
          <w:bCs w:val="0"/>
          <w:highlight w:val="none"/>
          <w:lang w:eastAsia="zh-CN"/>
        </w:rPr>
        <w:t>设置了苯作为厂界控制指标。</w:t>
      </w:r>
    </w:p>
    <w:p w14:paraId="19DF866E">
      <w:pPr>
        <w:keepNext w:val="0"/>
        <w:keepLines w:val="0"/>
        <w:pageBreakBefore w:val="0"/>
        <w:widowControl/>
        <w:kinsoku/>
        <w:wordWrap/>
        <w:autoSpaceDE/>
        <w:autoSpaceDN/>
        <w:bidi w:val="0"/>
        <w:ind w:firstLine="720"/>
        <w:rPr>
          <w:rFonts w:hint="default" w:ascii="Times New Roman" w:hAnsi="Times New Roman" w:cs="Times New Roman"/>
          <w:b/>
          <w:bCs/>
          <w:highlight w:val="none"/>
        </w:rPr>
      </w:pPr>
      <w:r>
        <w:rPr>
          <w:rFonts w:hint="default" w:ascii="Times New Roman" w:hAnsi="Times New Roman" w:cs="Times New Roman"/>
          <w:b/>
          <w:bCs/>
          <w:highlight w:val="none"/>
          <w:lang w:eastAsia="zh-CN"/>
        </w:rPr>
        <w:t>（</w:t>
      </w:r>
      <w:r>
        <w:rPr>
          <w:rFonts w:hint="default" w:ascii="Times New Roman" w:hAnsi="Times New Roman" w:cs="Times New Roman"/>
          <w:b/>
          <w:bCs/>
          <w:highlight w:val="none"/>
          <w:lang w:val="en-US" w:eastAsia="zh-CN"/>
        </w:rPr>
        <w:t>2</w:t>
      </w:r>
      <w:r>
        <w:rPr>
          <w:rFonts w:hint="default" w:ascii="Times New Roman" w:hAnsi="Times New Roman" w:cs="Times New Roman"/>
          <w:b/>
          <w:bCs/>
          <w:highlight w:val="none"/>
          <w:lang w:eastAsia="zh-CN"/>
        </w:rPr>
        <w:t>）</w:t>
      </w:r>
      <w:r>
        <w:rPr>
          <w:rFonts w:hint="default" w:ascii="Times New Roman" w:hAnsi="Times New Roman" w:cs="Times New Roman"/>
          <w:b/>
          <w:bCs/>
          <w:highlight w:val="none"/>
        </w:rPr>
        <w:t>浓度限值</w:t>
      </w:r>
    </w:p>
    <w:p w14:paraId="591964F4">
      <w:pPr>
        <w:keepNext w:val="0"/>
        <w:keepLines w:val="0"/>
        <w:pageBreakBefore w:val="0"/>
        <w:widowControl/>
        <w:kinsoku/>
        <w:wordWrap/>
        <w:autoSpaceDE/>
        <w:autoSpaceDN/>
        <w:bidi w:val="0"/>
        <w:rPr>
          <w:rFonts w:hint="default" w:ascii="Times New Roman" w:hAnsi="Times New Roman" w:eastAsia="宋体" w:cs="Times New Roman"/>
          <w:highlight w:val="none"/>
          <w:vertAlign w:val="baseline"/>
          <w:lang w:val="en-US" w:eastAsia="zh-CN"/>
        </w:rPr>
      </w:pPr>
      <w:r>
        <w:rPr>
          <w:rFonts w:hint="default" w:ascii="Times New Roman" w:hAnsi="Times New Roman" w:cs="Times New Roman"/>
          <w:highlight w:val="none"/>
          <w:lang w:eastAsia="zh-CN"/>
        </w:rPr>
        <w:t>限值中，</w:t>
      </w:r>
      <w:r>
        <w:rPr>
          <w:rFonts w:hint="default" w:ascii="Times New Roman" w:hAnsi="Times New Roman" w:cs="Times New Roman"/>
          <w:highlight w:val="none"/>
          <w:lang w:val="en-US" w:eastAsia="zh-CN"/>
        </w:rPr>
        <w:t>其他省份地标中</w:t>
      </w:r>
      <w:r>
        <w:rPr>
          <w:rFonts w:hint="default" w:ascii="Times New Roman" w:hAnsi="Times New Roman" w:cs="Times New Roman"/>
          <w:highlight w:val="none"/>
          <w:lang w:eastAsia="zh-CN"/>
        </w:rPr>
        <w:t>苯的限值均为</w:t>
      </w:r>
      <w:r>
        <w:rPr>
          <w:rFonts w:hint="default" w:ascii="Times New Roman" w:hAnsi="Times New Roman" w:cs="Times New Roman"/>
          <w:highlight w:val="none"/>
          <w:lang w:val="en-US" w:eastAsia="zh-CN"/>
        </w:rPr>
        <w:t>0.1</w:t>
      </w:r>
      <w:r>
        <w:rPr>
          <w:rFonts w:hint="eastAsia" w:cs="Times New Roman"/>
          <w:highlight w:val="none"/>
          <w:lang w:val="en-US" w:eastAsia="zh-CN"/>
        </w:rPr>
        <w:t xml:space="preserve"> </w:t>
      </w:r>
      <w:r>
        <w:rPr>
          <w:rFonts w:hint="default" w:ascii="Times New Roman" w:hAnsi="Times New Roman" w:cs="Times New Roman"/>
          <w:highlight w:val="none"/>
          <w:lang w:val="en-US" w:eastAsia="zh-CN"/>
        </w:rPr>
        <w:t>mg/m</w:t>
      </w:r>
      <w:r>
        <w:rPr>
          <w:rFonts w:hint="default" w:ascii="Times New Roman" w:hAnsi="Times New Roman" w:cs="Times New Roman"/>
          <w:highlight w:val="none"/>
          <w:vertAlign w:val="superscript"/>
          <w:lang w:val="en-US" w:eastAsia="zh-CN"/>
        </w:rPr>
        <w:t>3</w:t>
      </w:r>
      <w:r>
        <w:rPr>
          <w:rFonts w:hint="default" w:ascii="Times New Roman" w:hAnsi="Times New Roman" w:cs="Times New Roman"/>
          <w:highlight w:val="none"/>
          <w:vertAlign w:val="baseline"/>
          <w:lang w:val="en-US" w:eastAsia="zh-CN"/>
        </w:rPr>
        <w:t>，本</w:t>
      </w:r>
      <w:r>
        <w:rPr>
          <w:rFonts w:hint="eastAsia" w:cs="Times New Roman"/>
          <w:highlight w:val="none"/>
          <w:vertAlign w:val="baseline"/>
          <w:lang w:val="en-US" w:eastAsia="zh-CN"/>
        </w:rPr>
        <w:t>标准</w:t>
      </w:r>
      <w:r>
        <w:rPr>
          <w:rFonts w:hint="default" w:ascii="Times New Roman" w:hAnsi="Times New Roman" w:cs="Times New Roman"/>
          <w:highlight w:val="none"/>
          <w:vertAlign w:val="baseline"/>
          <w:lang w:val="en-US" w:eastAsia="zh-CN"/>
        </w:rPr>
        <w:t>同样设置为0.1</w:t>
      </w:r>
      <w:r>
        <w:rPr>
          <w:rFonts w:hint="eastAsia" w:cs="Times New Roman"/>
          <w:highlight w:val="none"/>
          <w:vertAlign w:val="baseline"/>
          <w:lang w:val="en-US" w:eastAsia="zh-CN"/>
        </w:rPr>
        <w:t xml:space="preserve"> </w:t>
      </w:r>
      <w:r>
        <w:rPr>
          <w:rFonts w:hint="default" w:ascii="Times New Roman" w:hAnsi="Times New Roman" w:cs="Times New Roman"/>
          <w:highlight w:val="none"/>
          <w:lang w:val="en-US" w:eastAsia="zh-CN"/>
        </w:rPr>
        <w:t>mg/m</w:t>
      </w:r>
      <w:r>
        <w:rPr>
          <w:rFonts w:hint="default" w:ascii="Times New Roman" w:hAnsi="Times New Roman" w:cs="Times New Roman"/>
          <w:highlight w:val="none"/>
          <w:vertAlign w:val="superscript"/>
          <w:lang w:val="en-US" w:eastAsia="zh-CN"/>
        </w:rPr>
        <w:t>3</w:t>
      </w:r>
      <w:r>
        <w:rPr>
          <w:rFonts w:hint="default" w:ascii="Times New Roman" w:hAnsi="Times New Roman" w:cs="Times New Roman"/>
          <w:highlight w:val="none"/>
          <w:vertAlign w:val="baseline"/>
          <w:lang w:val="en-US" w:eastAsia="zh-CN"/>
        </w:rPr>
        <w:t>。</w:t>
      </w:r>
    </w:p>
    <w:p w14:paraId="5E078653">
      <w:pPr>
        <w:keepNext w:val="0"/>
        <w:keepLines w:val="0"/>
        <w:pageBreakBefore w:val="0"/>
        <w:widowControl/>
        <w:kinsoku/>
        <w:wordWrap/>
        <w:autoSpaceDE/>
        <w:autoSpaceDN/>
        <w:bidi w:val="0"/>
        <w:ind w:left="0" w:leftChars="0" w:firstLine="0" w:firstLineChars="0"/>
        <w:jc w:val="center"/>
        <w:rPr>
          <w:rFonts w:hint="default" w:ascii="Times New Roman" w:hAnsi="Times New Roman" w:cs="Times New Roman"/>
          <w:highlight w:val="none"/>
          <w:lang w:val="en-US" w:eastAsia="zh-CN"/>
        </w:rPr>
      </w:pPr>
      <w:r>
        <w:rPr>
          <w:rFonts w:hint="default" w:ascii="Times New Roman" w:hAnsi="Times New Roman" w:cs="Times New Roman"/>
          <w:highlight w:val="none"/>
          <w:lang w:val="en-US" w:eastAsia="zh-CN"/>
        </w:rPr>
        <w:t>表3.2-</w:t>
      </w:r>
      <w:r>
        <w:rPr>
          <w:rFonts w:hint="eastAsia" w:ascii="Times New Roman" w:hAnsi="Times New Roman" w:cs="Times New Roman"/>
          <w:highlight w:val="none"/>
          <w:lang w:val="en-US" w:eastAsia="zh-CN"/>
        </w:rPr>
        <w:t>6</w:t>
      </w:r>
      <w:r>
        <w:rPr>
          <w:rFonts w:hint="default" w:ascii="Times New Roman" w:hAnsi="Times New Roman" w:cs="Times New Roman"/>
          <w:highlight w:val="none"/>
          <w:lang w:val="en-US" w:eastAsia="zh-CN"/>
        </w:rPr>
        <w:t xml:space="preserve"> 各标准厂界污染物控制指标与限值</w:t>
      </w:r>
    </w:p>
    <w:p w14:paraId="2C57256D">
      <w:pPr>
        <w:keepNext w:val="0"/>
        <w:keepLines w:val="0"/>
        <w:pageBreakBefore w:val="0"/>
        <w:widowControl/>
        <w:kinsoku/>
        <w:wordWrap/>
        <w:autoSpaceDE/>
        <w:autoSpaceDN/>
        <w:bidi w:val="0"/>
        <w:ind w:left="0" w:leftChars="0" w:firstLine="0" w:firstLineChars="0"/>
        <w:jc w:val="right"/>
        <w:rPr>
          <w:rFonts w:hint="default" w:ascii="Times New Roman" w:hAnsi="Times New Roman" w:cs="Times New Roman"/>
          <w:sz w:val="20"/>
          <w:szCs w:val="21"/>
          <w:highlight w:val="none"/>
        </w:rPr>
      </w:pPr>
      <w:r>
        <w:rPr>
          <w:rFonts w:hint="default" w:ascii="Times New Roman" w:hAnsi="Times New Roman" w:cs="Times New Roman"/>
          <w:highlight w:val="none"/>
          <w:lang w:val="en-US" w:eastAsia="zh-CN"/>
        </w:rPr>
        <w:t>单位：mg/m</w:t>
      </w:r>
      <w:r>
        <w:rPr>
          <w:rFonts w:hint="default" w:ascii="Times New Roman" w:hAnsi="Times New Roman" w:cs="Times New Roman"/>
          <w:highlight w:val="none"/>
          <w:vertAlign w:val="superscript"/>
          <w:lang w:val="en-US" w:eastAsia="zh-CN"/>
        </w:rPr>
        <w:t>3</w:t>
      </w:r>
    </w:p>
    <w:tbl>
      <w:tblPr>
        <w:tblStyle w:val="21"/>
        <w:tblW w:w="4998" w:type="pct"/>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476"/>
        <w:gridCol w:w="595"/>
        <w:gridCol w:w="753"/>
        <w:gridCol w:w="659"/>
        <w:gridCol w:w="659"/>
        <w:gridCol w:w="659"/>
        <w:gridCol w:w="642"/>
        <w:gridCol w:w="939"/>
        <w:gridCol w:w="687"/>
        <w:gridCol w:w="807"/>
        <w:gridCol w:w="649"/>
      </w:tblGrid>
      <w:tr w14:paraId="7DD1596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19" w:hRule="atLeast"/>
          <w:jc w:val="center"/>
        </w:trPr>
        <w:tc>
          <w:tcPr>
            <w:tcW w:w="87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EB83BB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省市</w:t>
            </w:r>
          </w:p>
        </w:tc>
        <w:tc>
          <w:tcPr>
            <w:tcW w:w="35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BB3913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区域</w:t>
            </w:r>
          </w:p>
        </w:tc>
        <w:tc>
          <w:tcPr>
            <w:tcW w:w="3766" w:type="pct"/>
            <w:gridSpan w:val="9"/>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6F52C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指标项目</w:t>
            </w:r>
          </w:p>
        </w:tc>
      </w:tr>
      <w:tr w14:paraId="608E118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9" w:hRule="atLeast"/>
          <w:jc w:val="center"/>
        </w:trPr>
        <w:tc>
          <w:tcPr>
            <w:tcW w:w="87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B70B144">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b/>
                <w:bCs/>
                <w:i w:val="0"/>
                <w:iCs w:val="0"/>
                <w:color w:val="000000"/>
                <w:sz w:val="18"/>
                <w:szCs w:val="18"/>
                <w:highlight w:val="none"/>
                <w:u w:val="none"/>
              </w:rPr>
            </w:pPr>
          </w:p>
        </w:tc>
        <w:tc>
          <w:tcPr>
            <w:tcW w:w="35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0EE021A">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b/>
                <w:bCs/>
                <w:i w:val="0"/>
                <w:iCs w:val="0"/>
                <w:color w:val="000000"/>
                <w:sz w:val="18"/>
                <w:szCs w:val="18"/>
                <w:highlight w:val="none"/>
                <w:u w:val="none"/>
              </w:rPr>
            </w:pPr>
          </w:p>
        </w:tc>
        <w:tc>
          <w:tcPr>
            <w:tcW w:w="4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4C51D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颗粒物</w:t>
            </w:r>
          </w:p>
        </w:tc>
        <w:tc>
          <w:tcPr>
            <w:tcW w:w="3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D09AD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苯</w:t>
            </w:r>
          </w:p>
        </w:tc>
        <w:tc>
          <w:tcPr>
            <w:tcW w:w="3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C60A8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甲苯</w:t>
            </w:r>
          </w:p>
        </w:tc>
        <w:tc>
          <w:tcPr>
            <w:tcW w:w="3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D5069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二甲苯</w:t>
            </w:r>
          </w:p>
        </w:tc>
        <w:tc>
          <w:tcPr>
            <w:tcW w:w="3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12871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苯系物</w:t>
            </w:r>
          </w:p>
        </w:tc>
        <w:tc>
          <w:tcPr>
            <w:tcW w:w="51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5E300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臭气浓度</w:t>
            </w:r>
          </w:p>
        </w:tc>
        <w:tc>
          <w:tcPr>
            <w:tcW w:w="3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DC373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VOCs</w:t>
            </w:r>
          </w:p>
        </w:tc>
        <w:tc>
          <w:tcPr>
            <w:tcW w:w="4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E2BEF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TVOCs</w:t>
            </w:r>
          </w:p>
        </w:tc>
        <w:tc>
          <w:tcPr>
            <w:tcW w:w="38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E7914F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非甲烷总烃</w:t>
            </w:r>
          </w:p>
        </w:tc>
      </w:tr>
      <w:tr w14:paraId="31EF693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9" w:hRule="atLeast"/>
          <w:jc w:val="center"/>
        </w:trPr>
        <w:tc>
          <w:tcPr>
            <w:tcW w:w="87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899A8AE">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18"/>
                <w:szCs w:val="18"/>
                <w:highlight w:val="none"/>
                <w:u w:val="none"/>
              </w:rPr>
            </w:pPr>
          </w:p>
        </w:tc>
        <w:tc>
          <w:tcPr>
            <w:tcW w:w="35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53933F6">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18"/>
                <w:szCs w:val="18"/>
                <w:highlight w:val="none"/>
                <w:u w:val="none"/>
              </w:rPr>
            </w:pPr>
          </w:p>
        </w:tc>
        <w:tc>
          <w:tcPr>
            <w:tcW w:w="3376" w:type="pct"/>
            <w:gridSpan w:val="8"/>
            <w:tcBorders>
              <w:top w:val="single" w:color="000000" w:sz="4" w:space="0"/>
              <w:left w:val="single" w:color="000000" w:sz="4" w:space="0"/>
              <w:bottom w:val="single" w:color="000000" w:sz="4" w:space="0"/>
              <w:right w:val="single" w:color="000000" w:sz="4" w:space="0"/>
            </w:tcBorders>
            <w:shd w:val="clear" w:color="auto" w:fill="auto"/>
            <w:vAlign w:val="center"/>
          </w:tcPr>
          <w:p w14:paraId="459B33E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b/>
                <w:bCs/>
                <w:i w:val="0"/>
                <w:iCs w:val="0"/>
                <w:color w:val="000000"/>
                <w:kern w:val="0"/>
                <w:sz w:val="18"/>
                <w:szCs w:val="18"/>
                <w:highlight w:val="none"/>
                <w:u w:val="none"/>
                <w:lang w:val="en-US" w:eastAsia="zh-CN" w:bidi="ar"/>
              </w:rPr>
              <w:t>小时平均浓度值</w:t>
            </w:r>
          </w:p>
        </w:tc>
        <w:tc>
          <w:tcPr>
            <w:tcW w:w="3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A3464E2">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18"/>
                <w:szCs w:val="18"/>
                <w:highlight w:val="none"/>
                <w:u w:val="none"/>
              </w:rPr>
            </w:pPr>
          </w:p>
        </w:tc>
      </w:tr>
      <w:tr w14:paraId="710099F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19" w:hRule="atLeast"/>
          <w:jc w:val="center"/>
        </w:trPr>
        <w:tc>
          <w:tcPr>
            <w:tcW w:w="8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38391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r>
              <w:rPr>
                <w:rFonts w:hint="default" w:ascii="Times New Roman" w:hAnsi="Times New Roman" w:eastAsia="宋体" w:cs="Times New Roman"/>
                <w:b/>
                <w:bCs/>
                <w:i w:val="0"/>
                <w:iCs w:val="0"/>
                <w:color w:val="000000"/>
                <w:kern w:val="0"/>
                <w:sz w:val="18"/>
                <w:szCs w:val="18"/>
                <w:highlight w:val="none"/>
                <w:u w:val="none"/>
                <w:lang w:val="en-US" w:eastAsia="zh-CN" w:bidi="ar"/>
              </w:rPr>
              <w:t>四川（本</w:t>
            </w:r>
            <w:r>
              <w:rPr>
                <w:rFonts w:hint="eastAsia" w:cs="Times New Roman"/>
                <w:b/>
                <w:bCs/>
                <w:i w:val="0"/>
                <w:iCs w:val="0"/>
                <w:color w:val="000000"/>
                <w:kern w:val="0"/>
                <w:sz w:val="18"/>
                <w:szCs w:val="18"/>
                <w:highlight w:val="none"/>
                <w:u w:val="none"/>
                <w:lang w:val="en-US" w:eastAsia="zh-CN" w:bidi="ar"/>
              </w:rPr>
              <w:t>标准</w:t>
            </w:r>
            <w:r>
              <w:rPr>
                <w:rFonts w:hint="default" w:ascii="Times New Roman" w:hAnsi="Times New Roman" w:eastAsia="宋体" w:cs="Times New Roman"/>
                <w:b/>
                <w:bCs/>
                <w:i w:val="0"/>
                <w:iCs w:val="0"/>
                <w:color w:val="000000"/>
                <w:kern w:val="0"/>
                <w:sz w:val="18"/>
                <w:szCs w:val="18"/>
                <w:highlight w:val="none"/>
                <w:u w:val="none"/>
                <w:lang w:val="en-US" w:eastAsia="zh-CN" w:bidi="ar"/>
              </w:rPr>
              <w:t>）</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56A80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r>
              <w:rPr>
                <w:rFonts w:hint="default" w:ascii="Times New Roman" w:hAnsi="Times New Roman" w:eastAsia="宋体" w:cs="Times New Roman"/>
                <w:b/>
                <w:bCs/>
                <w:i w:val="0"/>
                <w:iCs w:val="0"/>
                <w:color w:val="000000"/>
                <w:kern w:val="0"/>
                <w:sz w:val="18"/>
                <w:szCs w:val="18"/>
                <w:highlight w:val="none"/>
                <w:u w:val="none"/>
                <w:lang w:val="en-US" w:eastAsia="zh-CN" w:bidi="ar"/>
              </w:rPr>
              <w:t>厂界</w:t>
            </w:r>
          </w:p>
        </w:tc>
        <w:tc>
          <w:tcPr>
            <w:tcW w:w="45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B0FDD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r>
              <w:rPr>
                <w:rFonts w:hint="default" w:ascii="Times New Roman" w:hAnsi="Times New Roman" w:eastAsia="宋体" w:cs="Times New Roman"/>
                <w:b/>
                <w:bCs/>
                <w:i w:val="0"/>
                <w:iCs w:val="0"/>
                <w:color w:val="000000"/>
                <w:kern w:val="0"/>
                <w:sz w:val="18"/>
                <w:szCs w:val="18"/>
                <w:highlight w:val="none"/>
                <w:u w:val="none"/>
                <w:lang w:val="en-US" w:eastAsia="zh-CN" w:bidi="ar"/>
              </w:rPr>
              <w:t>/</w:t>
            </w:r>
          </w:p>
        </w:tc>
        <w:tc>
          <w:tcPr>
            <w:tcW w:w="3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4F476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r>
              <w:rPr>
                <w:rFonts w:hint="default" w:ascii="Times New Roman" w:hAnsi="Times New Roman" w:eastAsia="宋体" w:cs="Times New Roman"/>
                <w:b/>
                <w:bCs/>
                <w:i w:val="0"/>
                <w:iCs w:val="0"/>
                <w:color w:val="000000"/>
                <w:kern w:val="0"/>
                <w:sz w:val="18"/>
                <w:szCs w:val="18"/>
                <w:highlight w:val="none"/>
                <w:u w:val="none"/>
                <w:lang w:val="en-US" w:eastAsia="zh-CN" w:bidi="ar"/>
              </w:rPr>
              <w:t>0.1</w:t>
            </w:r>
          </w:p>
        </w:tc>
        <w:tc>
          <w:tcPr>
            <w:tcW w:w="3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2EE37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r>
              <w:rPr>
                <w:rFonts w:hint="default" w:ascii="Times New Roman" w:hAnsi="Times New Roman" w:eastAsia="宋体" w:cs="Times New Roman"/>
                <w:b/>
                <w:bCs/>
                <w:i w:val="0"/>
                <w:iCs w:val="0"/>
                <w:color w:val="000000"/>
                <w:kern w:val="0"/>
                <w:sz w:val="18"/>
                <w:szCs w:val="18"/>
                <w:highlight w:val="none"/>
                <w:u w:val="none"/>
                <w:lang w:val="en-US" w:eastAsia="zh-CN" w:bidi="ar"/>
              </w:rPr>
              <w:t>/</w:t>
            </w:r>
          </w:p>
        </w:tc>
        <w:tc>
          <w:tcPr>
            <w:tcW w:w="3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24A3B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r>
              <w:rPr>
                <w:rFonts w:hint="default" w:ascii="Times New Roman" w:hAnsi="Times New Roman" w:eastAsia="宋体" w:cs="Times New Roman"/>
                <w:b/>
                <w:bCs/>
                <w:i w:val="0"/>
                <w:iCs w:val="0"/>
                <w:color w:val="000000"/>
                <w:kern w:val="0"/>
                <w:sz w:val="18"/>
                <w:szCs w:val="18"/>
                <w:highlight w:val="none"/>
                <w:u w:val="none"/>
                <w:lang w:val="en-US" w:eastAsia="zh-CN" w:bidi="ar"/>
              </w:rPr>
              <w:t>/</w:t>
            </w:r>
          </w:p>
        </w:tc>
        <w:tc>
          <w:tcPr>
            <w:tcW w:w="38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49702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r>
              <w:rPr>
                <w:rFonts w:hint="default" w:ascii="Times New Roman" w:hAnsi="Times New Roman" w:eastAsia="宋体" w:cs="Times New Roman"/>
                <w:b/>
                <w:bCs/>
                <w:i w:val="0"/>
                <w:iCs w:val="0"/>
                <w:color w:val="000000"/>
                <w:kern w:val="0"/>
                <w:sz w:val="18"/>
                <w:szCs w:val="18"/>
                <w:highlight w:val="none"/>
                <w:u w:val="none"/>
                <w:lang w:val="en-US" w:eastAsia="zh-CN" w:bidi="ar"/>
              </w:rPr>
              <w:t>/</w:t>
            </w:r>
          </w:p>
        </w:tc>
        <w:tc>
          <w:tcPr>
            <w:tcW w:w="51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74BAA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r>
              <w:rPr>
                <w:rFonts w:hint="default" w:ascii="Times New Roman" w:hAnsi="Times New Roman" w:eastAsia="宋体" w:cs="Times New Roman"/>
                <w:b/>
                <w:bCs/>
                <w:i w:val="0"/>
                <w:iCs w:val="0"/>
                <w:color w:val="000000"/>
                <w:kern w:val="0"/>
                <w:sz w:val="18"/>
                <w:szCs w:val="18"/>
                <w:highlight w:val="none"/>
                <w:u w:val="none"/>
                <w:lang w:val="en-US" w:eastAsia="zh-CN" w:bidi="ar"/>
              </w:rPr>
              <w:t>/</w:t>
            </w:r>
          </w:p>
        </w:tc>
        <w:tc>
          <w:tcPr>
            <w:tcW w:w="3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91F7C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r>
              <w:rPr>
                <w:rFonts w:hint="default" w:ascii="Times New Roman" w:hAnsi="Times New Roman" w:eastAsia="宋体" w:cs="Times New Roman"/>
                <w:b/>
                <w:bCs/>
                <w:i w:val="0"/>
                <w:iCs w:val="0"/>
                <w:color w:val="000000"/>
                <w:kern w:val="0"/>
                <w:sz w:val="18"/>
                <w:szCs w:val="18"/>
                <w:highlight w:val="none"/>
                <w:u w:val="none"/>
                <w:lang w:val="en-US" w:eastAsia="zh-CN" w:bidi="ar"/>
              </w:rPr>
              <w:t>/</w:t>
            </w:r>
          </w:p>
        </w:tc>
        <w:tc>
          <w:tcPr>
            <w:tcW w:w="44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BD7B1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r>
              <w:rPr>
                <w:rFonts w:hint="default" w:ascii="Times New Roman" w:hAnsi="Times New Roman" w:eastAsia="宋体" w:cs="Times New Roman"/>
                <w:b/>
                <w:bCs/>
                <w:i w:val="0"/>
                <w:iCs w:val="0"/>
                <w:color w:val="000000"/>
                <w:kern w:val="0"/>
                <w:sz w:val="18"/>
                <w:szCs w:val="18"/>
                <w:highlight w:val="none"/>
                <w:u w:val="none"/>
                <w:lang w:val="en-US" w:eastAsia="zh-CN" w:bidi="ar"/>
              </w:rPr>
              <w:t>/</w:t>
            </w:r>
          </w:p>
        </w:tc>
        <w:tc>
          <w:tcPr>
            <w:tcW w:w="3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53445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18"/>
                <w:szCs w:val="18"/>
                <w:highlight w:val="none"/>
                <w:u w:val="none"/>
                <w:lang w:val="en-US" w:eastAsia="zh-CN" w:bidi="ar"/>
              </w:rPr>
            </w:pPr>
            <w:r>
              <w:rPr>
                <w:rFonts w:hint="default" w:ascii="Times New Roman" w:hAnsi="Times New Roman" w:eastAsia="宋体" w:cs="Times New Roman"/>
                <w:b/>
                <w:bCs/>
                <w:i w:val="0"/>
                <w:iCs w:val="0"/>
                <w:color w:val="000000"/>
                <w:kern w:val="0"/>
                <w:sz w:val="18"/>
                <w:szCs w:val="18"/>
                <w:highlight w:val="none"/>
                <w:u w:val="none"/>
                <w:lang w:val="en-US" w:eastAsia="zh-CN" w:bidi="ar"/>
              </w:rPr>
              <w:t>/</w:t>
            </w:r>
          </w:p>
        </w:tc>
      </w:tr>
      <w:tr w14:paraId="5F6E53B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9" w:hRule="atLeast"/>
          <w:jc w:val="center"/>
        </w:trPr>
        <w:tc>
          <w:tcPr>
            <w:tcW w:w="8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5CB38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安徽</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149C6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厂界</w:t>
            </w:r>
          </w:p>
        </w:tc>
        <w:tc>
          <w:tcPr>
            <w:tcW w:w="45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44A22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45B6E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A47BF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94D09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8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153F7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51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D391D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033D2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44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A676F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A5065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r>
      <w:tr w14:paraId="3D46300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9" w:hRule="atLeast"/>
          <w:jc w:val="center"/>
        </w:trPr>
        <w:tc>
          <w:tcPr>
            <w:tcW w:w="8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3E2D7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上海</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884AE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厂界</w:t>
            </w:r>
          </w:p>
        </w:tc>
        <w:tc>
          <w:tcPr>
            <w:tcW w:w="4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CA7C6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CA437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9F0D1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FF9F9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6E756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51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FA220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783D9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44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9297B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8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8A3B8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r>
      <w:tr w14:paraId="0DCAEEE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9" w:hRule="atLeast"/>
          <w:jc w:val="center"/>
        </w:trPr>
        <w:tc>
          <w:tcPr>
            <w:tcW w:w="8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758E0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江苏</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6C29C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厂界</w:t>
            </w:r>
          </w:p>
        </w:tc>
        <w:tc>
          <w:tcPr>
            <w:tcW w:w="4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8EE19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74655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AC4F4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858A7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48FFE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51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BCF63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5E4B1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44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227EE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8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A5F76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r>
      <w:tr w14:paraId="2F44DA8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9" w:hRule="atLeast"/>
          <w:jc w:val="center"/>
        </w:trPr>
        <w:tc>
          <w:tcPr>
            <w:tcW w:w="8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8AE58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重庆</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D3F31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厂界</w:t>
            </w:r>
          </w:p>
        </w:tc>
        <w:tc>
          <w:tcPr>
            <w:tcW w:w="4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73577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1</w:t>
            </w:r>
          </w:p>
        </w:tc>
        <w:tc>
          <w:tcPr>
            <w:tcW w:w="3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F3A8A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0.1</w:t>
            </w:r>
          </w:p>
        </w:tc>
        <w:tc>
          <w:tcPr>
            <w:tcW w:w="3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3522A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E4824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07852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1</w:t>
            </w:r>
          </w:p>
        </w:tc>
        <w:tc>
          <w:tcPr>
            <w:tcW w:w="51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1F294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3BD74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44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9330E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8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2F19C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2</w:t>
            </w:r>
          </w:p>
        </w:tc>
      </w:tr>
      <w:tr w14:paraId="32FEE23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2" w:hRule="atLeast"/>
          <w:jc w:val="center"/>
        </w:trPr>
        <w:tc>
          <w:tcPr>
            <w:tcW w:w="8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5266D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北京</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7B6FE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厂界</w:t>
            </w:r>
          </w:p>
        </w:tc>
        <w:tc>
          <w:tcPr>
            <w:tcW w:w="4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D0131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464DB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4F86B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BB19F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A6838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51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EE7CF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2AB47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44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3CC1D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8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402F1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r>
      <w:tr w14:paraId="515A42C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2" w:hRule="atLeast"/>
          <w:jc w:val="center"/>
        </w:trPr>
        <w:tc>
          <w:tcPr>
            <w:tcW w:w="8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E5A58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eastAsia" w:cs="Times New Roman"/>
                <w:i w:val="0"/>
                <w:iCs w:val="0"/>
                <w:color w:val="000000"/>
                <w:kern w:val="0"/>
                <w:sz w:val="18"/>
                <w:szCs w:val="18"/>
                <w:highlight w:val="none"/>
                <w:u w:val="none"/>
                <w:lang w:val="en-US" w:eastAsia="zh-CN" w:bidi="ar"/>
              </w:rPr>
              <w:t>广东（送审稿）</w:t>
            </w:r>
          </w:p>
        </w:tc>
        <w:tc>
          <w:tcPr>
            <w:tcW w:w="59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38C7A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厂界</w:t>
            </w:r>
          </w:p>
        </w:tc>
        <w:tc>
          <w:tcPr>
            <w:tcW w:w="7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51206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6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5A8E3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6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3C514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6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A9FAD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64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251E8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9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626C2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6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7C441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80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BBB0C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64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BC4B6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r>
      <w:tr w14:paraId="6DBA115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30" w:hRule="atLeast"/>
          <w:jc w:val="center"/>
        </w:trPr>
        <w:tc>
          <w:tcPr>
            <w:tcW w:w="8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190CB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浙江（征求意见稿）</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4E4CA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厂界</w:t>
            </w:r>
          </w:p>
        </w:tc>
        <w:tc>
          <w:tcPr>
            <w:tcW w:w="4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5E26F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50C5A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0.1</w:t>
            </w:r>
          </w:p>
        </w:tc>
        <w:tc>
          <w:tcPr>
            <w:tcW w:w="3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BB59D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A8A08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69D35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51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7FC28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20</w:t>
            </w:r>
          </w:p>
        </w:tc>
        <w:tc>
          <w:tcPr>
            <w:tcW w:w="3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FEEB8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44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8D982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8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C9B2C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r>
      <w:tr w14:paraId="2C3E57E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9" w:hRule="atLeast"/>
          <w:jc w:val="center"/>
        </w:trPr>
        <w:tc>
          <w:tcPr>
            <w:tcW w:w="8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A4732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深圳</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B2FF0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厂界</w:t>
            </w:r>
          </w:p>
        </w:tc>
        <w:tc>
          <w:tcPr>
            <w:tcW w:w="4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6484B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C4ABB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0.1</w:t>
            </w:r>
          </w:p>
        </w:tc>
        <w:tc>
          <w:tcPr>
            <w:tcW w:w="3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05A0E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0.6</w:t>
            </w:r>
          </w:p>
        </w:tc>
        <w:tc>
          <w:tcPr>
            <w:tcW w:w="3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32836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0.2</w:t>
            </w:r>
          </w:p>
        </w:tc>
        <w:tc>
          <w:tcPr>
            <w:tcW w:w="3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DE593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51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10EF6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AD065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4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A747F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1.8</w:t>
            </w:r>
          </w:p>
        </w:tc>
        <w:tc>
          <w:tcPr>
            <w:tcW w:w="38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224D6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r>
      <w:tr w14:paraId="7A7E020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37" w:hRule="atLeast"/>
          <w:jc w:val="center"/>
        </w:trPr>
        <w:tc>
          <w:tcPr>
            <w:tcW w:w="8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46A00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四川（综合标准）</w:t>
            </w:r>
          </w:p>
        </w:tc>
        <w:tc>
          <w:tcPr>
            <w:tcW w:w="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FB104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厂界</w:t>
            </w:r>
          </w:p>
        </w:tc>
        <w:tc>
          <w:tcPr>
            <w:tcW w:w="4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85A9F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6CF8C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0.1</w:t>
            </w:r>
          </w:p>
        </w:tc>
        <w:tc>
          <w:tcPr>
            <w:tcW w:w="3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63DD7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0.2</w:t>
            </w:r>
          </w:p>
        </w:tc>
        <w:tc>
          <w:tcPr>
            <w:tcW w:w="3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027FE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0.2</w:t>
            </w:r>
          </w:p>
        </w:tc>
        <w:tc>
          <w:tcPr>
            <w:tcW w:w="38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2C70C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51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8FA2A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C4B3F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2</w:t>
            </w:r>
          </w:p>
        </w:tc>
        <w:tc>
          <w:tcPr>
            <w:tcW w:w="44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FA3B1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c>
          <w:tcPr>
            <w:tcW w:w="38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D4497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宋体" w:cs="Times New Roman"/>
                <w:i w:val="0"/>
                <w:iCs w:val="0"/>
                <w:color w:val="000000"/>
                <w:kern w:val="0"/>
                <w:sz w:val="18"/>
                <w:szCs w:val="18"/>
                <w:highlight w:val="none"/>
                <w:u w:val="none"/>
                <w:lang w:val="en-US" w:eastAsia="zh-CN" w:bidi="ar"/>
              </w:rPr>
              <w:t>/</w:t>
            </w:r>
          </w:p>
        </w:tc>
      </w:tr>
    </w:tbl>
    <w:p w14:paraId="5C4812FA">
      <w:pPr>
        <w:keepNext w:val="0"/>
        <w:keepLines w:val="0"/>
        <w:pageBreakBefore w:val="0"/>
        <w:widowControl/>
        <w:kinsoku/>
        <w:wordWrap/>
        <w:autoSpaceDE/>
        <w:autoSpaceDN/>
        <w:bidi w:val="0"/>
        <w:ind w:left="0" w:leftChars="0" w:firstLine="0" w:firstLineChars="0"/>
        <w:rPr>
          <w:rFonts w:hint="default" w:ascii="Times New Roman" w:hAnsi="Times New Roman" w:cs="Times New Roman"/>
          <w:sz w:val="20"/>
          <w:szCs w:val="21"/>
          <w:highlight w:val="none"/>
          <w:lang w:val="en-US" w:eastAsia="zh-CN"/>
        </w:rPr>
      </w:pPr>
      <w:r>
        <w:rPr>
          <w:rFonts w:hint="default" w:ascii="Times New Roman" w:hAnsi="Times New Roman" w:cs="Times New Roman"/>
          <w:sz w:val="20"/>
          <w:szCs w:val="21"/>
          <w:highlight w:val="none"/>
          <w:lang w:val="en-US" w:eastAsia="zh-CN"/>
        </w:rPr>
        <w:t>注：四川（综合标准）</w:t>
      </w:r>
      <w:r>
        <w:rPr>
          <w:rFonts w:hint="eastAsia" w:cs="Times New Roman"/>
          <w:sz w:val="20"/>
          <w:szCs w:val="21"/>
          <w:highlight w:val="none"/>
          <w:lang w:val="en-US" w:eastAsia="zh-CN"/>
        </w:rPr>
        <w:t>为</w:t>
      </w:r>
      <w:r>
        <w:rPr>
          <w:rFonts w:hint="default" w:ascii="Times New Roman" w:hAnsi="Times New Roman" w:cs="Times New Roman"/>
          <w:sz w:val="20"/>
          <w:szCs w:val="21"/>
          <w:highlight w:val="none"/>
          <w:lang w:val="en-US" w:eastAsia="zh-CN"/>
        </w:rPr>
        <w:t>《四川省固定污染源大气挥发性有机物排放标准》（DB 51/2377</w:t>
      </w:r>
      <w:r>
        <w:rPr>
          <w:rFonts w:hint="eastAsia" w:ascii="Times New Roman" w:hAnsi="Times New Roman" w:cs="Times New Roman"/>
          <w:sz w:val="20"/>
          <w:szCs w:val="21"/>
          <w:highlight w:val="none"/>
          <w:lang w:val="en-US" w:eastAsia="zh-CN"/>
        </w:rPr>
        <w:t>—</w:t>
      </w:r>
      <w:r>
        <w:rPr>
          <w:rFonts w:hint="default" w:ascii="Times New Roman" w:hAnsi="Times New Roman" w:cs="Times New Roman"/>
          <w:sz w:val="20"/>
          <w:szCs w:val="21"/>
          <w:highlight w:val="none"/>
          <w:lang w:val="en-US" w:eastAsia="zh-CN"/>
        </w:rPr>
        <w:t>2017）。</w:t>
      </w:r>
    </w:p>
    <w:p w14:paraId="65D01D90">
      <w:pPr>
        <w:pStyle w:val="2"/>
        <w:keepNext w:val="0"/>
        <w:keepLines w:val="0"/>
        <w:pageBreakBefore w:val="0"/>
        <w:widowControl/>
        <w:kinsoku/>
        <w:wordWrap/>
        <w:autoSpaceDE/>
        <w:autoSpaceDN/>
        <w:bidi w:val="0"/>
        <w:rPr>
          <w:rFonts w:hint="default" w:ascii="Times New Roman" w:hAnsi="Times New Roman" w:cs="Times New Roman"/>
          <w:highlight w:val="none"/>
        </w:rPr>
      </w:pPr>
      <w:bookmarkStart w:id="40" w:name="_Toc17901"/>
      <w:bookmarkStart w:id="41" w:name="_Toc25526"/>
      <w:r>
        <w:rPr>
          <w:rFonts w:hint="default" w:ascii="Times New Roman" w:hAnsi="Times New Roman" w:cs="Times New Roman"/>
          <w:highlight w:val="none"/>
          <w:lang w:val="en-US" w:eastAsia="zh-CN"/>
        </w:rPr>
        <w:t>汽车维修</w:t>
      </w:r>
      <w:r>
        <w:rPr>
          <w:rFonts w:hint="default" w:ascii="Times New Roman" w:hAnsi="Times New Roman" w:cs="Times New Roman"/>
          <w:highlight w:val="none"/>
          <w:lang w:val="en-US"/>
        </w:rPr>
        <w:t>行业大气污染物排放特征及控制要求</w:t>
      </w:r>
      <w:bookmarkEnd w:id="40"/>
      <w:bookmarkEnd w:id="41"/>
      <w:r>
        <w:rPr>
          <w:rFonts w:hint="default" w:ascii="Times New Roman" w:hAnsi="Times New Roman" w:cs="Times New Roman"/>
          <w:highlight w:val="none"/>
        </w:rPr>
        <w:t xml:space="preserve"> </w:t>
      </w:r>
    </w:p>
    <w:p w14:paraId="002FCC2A">
      <w:pPr>
        <w:pStyle w:val="3"/>
        <w:keepNext w:val="0"/>
        <w:keepLines w:val="0"/>
        <w:pageBreakBefore w:val="0"/>
        <w:widowControl/>
        <w:kinsoku/>
        <w:wordWrap/>
        <w:autoSpaceDE/>
        <w:autoSpaceDN/>
        <w:bidi w:val="0"/>
        <w:rPr>
          <w:rFonts w:hint="default" w:ascii="Times New Roman" w:hAnsi="Times New Roman" w:cs="Times New Roman"/>
          <w:highlight w:val="none"/>
        </w:rPr>
      </w:pPr>
      <w:bookmarkStart w:id="42" w:name="_Toc11380"/>
      <w:bookmarkStart w:id="43" w:name="_Toc3652"/>
      <w:r>
        <w:rPr>
          <w:rFonts w:hint="default" w:ascii="Times New Roman" w:hAnsi="Times New Roman" w:cs="Times New Roman"/>
          <w:highlight w:val="none"/>
          <w:lang w:eastAsia="zh-CN"/>
        </w:rPr>
        <w:t>汽车维修</w:t>
      </w:r>
      <w:r>
        <w:rPr>
          <w:rFonts w:hint="default" w:ascii="Times New Roman" w:hAnsi="Times New Roman" w:cs="Times New Roman"/>
          <w:highlight w:val="none"/>
        </w:rPr>
        <w:t>定义及分类</w:t>
      </w:r>
      <w:bookmarkEnd w:id="42"/>
      <w:bookmarkEnd w:id="43"/>
    </w:p>
    <w:p w14:paraId="06DBE3AE">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lang w:eastAsia="zh-CN"/>
        </w:rPr>
        <w:t>汽车维修</w:t>
      </w:r>
      <w:r>
        <w:rPr>
          <w:rFonts w:hint="default" w:ascii="Times New Roman" w:hAnsi="Times New Roman" w:cs="Times New Roman"/>
          <w:highlight w:val="none"/>
        </w:rPr>
        <w:t>是指对汽车进行的维护和修理，</w:t>
      </w:r>
      <w:r>
        <w:rPr>
          <w:rFonts w:hint="default" w:ascii="Times New Roman" w:hAnsi="Times New Roman" w:cs="Times New Roman"/>
          <w:highlight w:val="none"/>
          <w:lang w:eastAsia="zh-CN"/>
        </w:rPr>
        <w:t>《</w:t>
      </w:r>
      <w:r>
        <w:rPr>
          <w:rFonts w:hint="default" w:ascii="Times New Roman" w:hAnsi="Times New Roman" w:cs="Times New Roman"/>
          <w:highlight w:val="none"/>
          <w:lang w:val="en-US" w:eastAsia="zh-CN"/>
        </w:rPr>
        <w:t>国民经济行业分类</w:t>
      </w:r>
      <w:r>
        <w:rPr>
          <w:rFonts w:hint="default" w:ascii="Times New Roman" w:hAnsi="Times New Roman" w:cs="Times New Roman"/>
          <w:highlight w:val="none"/>
          <w:lang w:eastAsia="zh-CN"/>
        </w:rPr>
        <w:t>》（</w:t>
      </w:r>
      <w:r>
        <w:rPr>
          <w:rFonts w:hint="default" w:ascii="Times New Roman" w:hAnsi="Times New Roman" w:cs="Times New Roman"/>
          <w:highlight w:val="none"/>
        </w:rPr>
        <w:t>GB/T 4754</w:t>
      </w:r>
      <w:r>
        <w:rPr>
          <w:rFonts w:hint="eastAsia" w:ascii="Times New Roman" w:hAnsi="Times New Roman" w:cs="Times New Roman"/>
          <w:highlight w:val="none"/>
          <w:lang w:val="en-US" w:eastAsia="zh-CN"/>
        </w:rPr>
        <w:t>—</w:t>
      </w:r>
      <w:r>
        <w:rPr>
          <w:rFonts w:hint="default" w:ascii="Times New Roman" w:hAnsi="Times New Roman" w:cs="Times New Roman"/>
          <w:highlight w:val="none"/>
        </w:rPr>
        <w:t>2017</w:t>
      </w:r>
      <w:r>
        <w:rPr>
          <w:rFonts w:hint="default" w:ascii="Times New Roman" w:hAnsi="Times New Roman" w:cs="Times New Roman"/>
          <w:highlight w:val="none"/>
          <w:lang w:eastAsia="zh-CN"/>
        </w:rPr>
        <w:t>）</w:t>
      </w:r>
      <w:r>
        <w:rPr>
          <w:rFonts w:hint="default" w:ascii="Times New Roman" w:hAnsi="Times New Roman" w:cs="Times New Roman"/>
          <w:highlight w:val="none"/>
        </w:rPr>
        <w:t>中规定的汽车修理与维护（</w:t>
      </w:r>
      <w:r>
        <w:rPr>
          <w:rFonts w:hint="default" w:ascii="Times New Roman" w:hAnsi="Times New Roman" w:cs="Times New Roman"/>
          <w:highlight w:val="none"/>
          <w:lang w:val="en-US" w:eastAsia="zh-CN"/>
        </w:rPr>
        <w:t>0</w:t>
      </w:r>
      <w:r>
        <w:rPr>
          <w:rFonts w:hint="default" w:ascii="Times New Roman" w:hAnsi="Times New Roman" w:cs="Times New Roman"/>
          <w:highlight w:val="none"/>
        </w:rPr>
        <w:t>8111），以及有修理工序的汽车新车零售（F 5261）和汽车旧车零售（F 5262）。包括汽车整车维修企业、汽车综合小修业户、汽车专项维修业户、特约维修服务站、汽车维修连锁业户、汽车快修业户等。</w:t>
      </w:r>
    </w:p>
    <w:p w14:paraId="7D93B3A5">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 xml:space="preserve">根据《汽车维修业开业条件》（GB/T 16739），国内目前汽车维修企业分为整车维修（一类、二类）和专项维修（三类）。其中整车维修（一类、二类）又分为小型车、大中型客车、大型货车，其必须具备固体废弃物及危废集中储存场所、三废排放必须达标、涂漆车间必须具备废水和除尘装置。除大型货车以外，小型汽车及大中型客车必须配备喷烤漆房设备（大中型客车允许外协）。专项维修（三类）主要指从事汽车综合小修、发动机维修、车身维修、 电气系统维修、自动变速器维修、轮胎动平衡及修补、四轮定位检测调整、汽车润滑与养护、喷油泵和喷油器维修、曲轴修磨、气缸镗磨、散热器维修、空调维修、汽车美容装潢、汽车玻璃安装及修复等专项维修作业的业户。除了满足环境管理的要求外，其中从事车身维修的专项维修必须配置喷烤漆房。 </w:t>
      </w:r>
    </w:p>
    <w:p w14:paraId="5EA949E8">
      <w:pPr>
        <w:pStyle w:val="3"/>
        <w:keepNext w:val="0"/>
        <w:keepLines w:val="0"/>
        <w:pageBreakBefore w:val="0"/>
        <w:widowControl/>
        <w:kinsoku/>
        <w:wordWrap/>
        <w:autoSpaceDE/>
        <w:autoSpaceDN/>
        <w:bidi w:val="0"/>
        <w:rPr>
          <w:rFonts w:hint="default" w:ascii="Times New Roman" w:hAnsi="Times New Roman" w:cs="Times New Roman"/>
          <w:highlight w:val="none"/>
        </w:rPr>
      </w:pPr>
      <w:bookmarkStart w:id="44" w:name="_Toc25773"/>
      <w:bookmarkStart w:id="45" w:name="_Toc7085"/>
      <w:r>
        <w:rPr>
          <w:rFonts w:hint="default" w:ascii="Times New Roman" w:hAnsi="Times New Roman" w:cs="Times New Roman"/>
          <w:highlight w:val="none"/>
          <w:lang w:eastAsia="zh-CN"/>
        </w:rPr>
        <w:t>汽车维修</w:t>
      </w:r>
      <w:r>
        <w:rPr>
          <w:rFonts w:hint="default" w:ascii="Times New Roman" w:hAnsi="Times New Roman" w:cs="Times New Roman"/>
          <w:highlight w:val="none"/>
        </w:rPr>
        <w:t>生产工艺及产排污环节</w:t>
      </w:r>
      <w:bookmarkEnd w:id="44"/>
      <w:bookmarkEnd w:id="45"/>
    </w:p>
    <w:p w14:paraId="1705F0BE">
      <w:pPr>
        <w:pStyle w:val="4"/>
        <w:keepNext w:val="0"/>
        <w:keepLines w:val="0"/>
        <w:pageBreakBefore w:val="0"/>
        <w:widowControl/>
        <w:kinsoku/>
        <w:wordWrap/>
        <w:autoSpaceDE/>
        <w:autoSpaceDN/>
        <w:bidi w:val="0"/>
        <w:rPr>
          <w:rFonts w:hint="default" w:ascii="Times New Roman" w:hAnsi="Times New Roman" w:cs="Times New Roman"/>
          <w:highlight w:val="none"/>
        </w:rPr>
      </w:pPr>
      <w:bookmarkStart w:id="46" w:name="_Toc26600"/>
      <w:bookmarkStart w:id="47" w:name="_Toc3079"/>
      <w:r>
        <w:rPr>
          <w:rFonts w:hint="default" w:ascii="Times New Roman" w:hAnsi="Times New Roman" w:cs="Times New Roman"/>
          <w:highlight w:val="none"/>
          <w:lang w:eastAsia="zh-CN"/>
        </w:rPr>
        <w:t>汽车维修</w:t>
      </w:r>
      <w:r>
        <w:rPr>
          <w:rFonts w:hint="default" w:ascii="Times New Roman" w:hAnsi="Times New Roman" w:cs="Times New Roman"/>
          <w:highlight w:val="none"/>
        </w:rPr>
        <w:t>工艺流程</w:t>
      </w:r>
      <w:bookmarkEnd w:id="46"/>
      <w:bookmarkEnd w:id="47"/>
    </w:p>
    <w:p w14:paraId="795F2D27">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汽车维修主要分为钣金修理和机械修理，主要工艺流程如图</w:t>
      </w:r>
      <w:r>
        <w:rPr>
          <w:rFonts w:hint="default" w:ascii="Times New Roman" w:hAnsi="Times New Roman" w:cs="Times New Roman"/>
          <w:highlight w:val="none"/>
          <w:lang w:val="en-US" w:eastAsia="zh-CN"/>
        </w:rPr>
        <w:t>4</w:t>
      </w:r>
      <w:r>
        <w:rPr>
          <w:rFonts w:hint="eastAsia" w:ascii="Times New Roman" w:hAnsi="Times New Roman" w:cs="Times New Roman"/>
          <w:highlight w:val="none"/>
          <w:lang w:val="en-US" w:eastAsia="zh-CN"/>
        </w:rPr>
        <w:t>.2</w:t>
      </w:r>
      <w:r>
        <w:rPr>
          <w:rFonts w:hint="default" w:ascii="Times New Roman" w:hAnsi="Times New Roman" w:cs="Times New Roman"/>
          <w:highlight w:val="none"/>
        </w:rPr>
        <w:t>-1所示。待修的汽车进厂后先进行技术诊断，根据不同的故障和问题，送往不同车间进行维修；对于需要进行表面修复的车辆先进入钣金车间修理，然后送入烤漆房进行喷漆，之后进行烘干或自然晾干；对于不需要进行表面修复的车辆，进入机械修理车间</w:t>
      </w:r>
      <w:r>
        <w:rPr>
          <w:rFonts w:hint="default" w:ascii="Times New Roman" w:hAnsi="Times New Roman" w:cs="Times New Roman"/>
          <w:highlight w:val="none"/>
          <w:lang w:eastAsia="zh-CN"/>
        </w:rPr>
        <w:t>，</w:t>
      </w:r>
      <w:r>
        <w:rPr>
          <w:rFonts w:hint="default" w:ascii="Times New Roman" w:hAnsi="Times New Roman" w:cs="Times New Roman"/>
          <w:highlight w:val="none"/>
        </w:rPr>
        <w:t>对所维修的整车、各个总成及主要零部件进行维护、修复和更换。修理后的汽车经检测工序合格后清洗出厂。</w:t>
      </w:r>
    </w:p>
    <w:p w14:paraId="3005F0C6">
      <w:pPr>
        <w:keepNext w:val="0"/>
        <w:keepLines w:val="0"/>
        <w:pageBreakBefore w:val="0"/>
        <w:widowControl/>
        <w:kinsoku/>
        <w:wordWrap/>
        <w:autoSpaceDE/>
        <w:autoSpaceDN/>
        <w:bidi w:val="0"/>
        <w:adjustRightInd w:val="0"/>
        <w:snapToGrid w:val="0"/>
        <w:spacing w:line="360" w:lineRule="auto"/>
        <w:ind w:left="0" w:leftChars="0" w:firstLine="0" w:firstLineChars="0"/>
        <w:jc w:val="center"/>
        <w:rPr>
          <w:rFonts w:hint="default" w:ascii="Times New Roman" w:hAnsi="Times New Roman" w:cs="Times New Roman"/>
          <w:sz w:val="24"/>
          <w:highlight w:val="none"/>
        </w:rPr>
      </w:pPr>
      <w:r>
        <w:rPr>
          <w:rFonts w:hint="default" w:ascii="Times New Roman" w:hAnsi="Times New Roman" w:cs="Times New Roman"/>
          <w:sz w:val="24"/>
          <w:highlight w:val="none"/>
        </w:rPr>
        <w:drawing>
          <wp:inline distT="0" distB="0" distL="114300" distR="114300">
            <wp:extent cx="5274310" cy="861060"/>
            <wp:effectExtent l="0" t="0" r="13970" b="7620"/>
            <wp:docPr id="20" name="图片 20"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图片1"/>
                    <pic:cNvPicPr>
                      <a:picLocks noChangeAspect="1"/>
                    </pic:cNvPicPr>
                  </pic:nvPicPr>
                  <pic:blipFill>
                    <a:blip r:embed="rId9"/>
                    <a:stretch>
                      <a:fillRect/>
                    </a:stretch>
                  </pic:blipFill>
                  <pic:spPr>
                    <a:xfrm>
                      <a:off x="0" y="0"/>
                      <a:ext cx="5274310" cy="861060"/>
                    </a:xfrm>
                    <a:prstGeom prst="rect">
                      <a:avLst/>
                    </a:prstGeom>
                  </pic:spPr>
                </pic:pic>
              </a:graphicData>
            </a:graphic>
          </wp:inline>
        </w:drawing>
      </w:r>
    </w:p>
    <w:p w14:paraId="2D4D6C40">
      <w:pPr>
        <w:keepNext w:val="0"/>
        <w:keepLines w:val="0"/>
        <w:pageBreakBefore w:val="0"/>
        <w:widowControl/>
        <w:kinsoku/>
        <w:wordWrap/>
        <w:autoSpaceDE/>
        <w:autoSpaceDN/>
        <w:bidi w:val="0"/>
        <w:ind w:left="0" w:leftChars="0" w:firstLine="0" w:firstLineChars="0"/>
        <w:jc w:val="center"/>
        <w:rPr>
          <w:rFonts w:hint="default" w:ascii="Times New Roman" w:hAnsi="Times New Roman" w:cs="Times New Roman"/>
          <w:highlight w:val="none"/>
          <w:lang w:val="en-US" w:eastAsia="zh-CN"/>
        </w:rPr>
      </w:pPr>
      <w:r>
        <w:rPr>
          <w:rFonts w:hint="default" w:ascii="Times New Roman" w:hAnsi="Times New Roman" w:cs="Times New Roman"/>
          <w:highlight w:val="none"/>
          <w:lang w:val="en-US" w:eastAsia="zh-CN"/>
        </w:rPr>
        <w:t>图4.2-1 汽车维修工艺流程</w:t>
      </w:r>
    </w:p>
    <w:p w14:paraId="5CBC9106">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在整个汽车修理过程中，车身修补漆工序作为主要的污染物产生环节，主要包括表面处理、底漆、打腻子、中涂漆、清漆、底色漆和面漆等过程，具体工艺流程如下所述。</w:t>
      </w:r>
    </w:p>
    <w:p w14:paraId="1854E888">
      <w:pPr>
        <w:keepNext w:val="0"/>
        <w:keepLines w:val="0"/>
        <w:pageBreakBefore w:val="0"/>
        <w:widowControl/>
        <w:kinsoku/>
        <w:wordWrap/>
        <w:autoSpaceDE/>
        <w:autoSpaceDN/>
        <w:bidi w:val="0"/>
        <w:rPr>
          <w:rFonts w:hint="default" w:ascii="Times New Roman" w:hAnsi="Times New Roman" w:cs="Times New Roman"/>
          <w:b/>
          <w:bCs/>
          <w:highlight w:val="none"/>
        </w:rPr>
      </w:pPr>
      <w:r>
        <w:rPr>
          <w:rFonts w:hint="default" w:ascii="Times New Roman" w:hAnsi="Times New Roman" w:cs="Times New Roman"/>
          <w:b/>
          <w:bCs/>
          <w:highlight w:val="none"/>
        </w:rPr>
        <w:t>（1）表面处理</w:t>
      </w:r>
    </w:p>
    <w:p w14:paraId="00F820DF">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表面处理一般包括钣金、清洗、彻底清除已遭破坏的漆膜、打磨除锈以及最后清洗等工艺；受损较严重的车辆（如碰撞引起的表面凹陷）表面处理步骤：①通过钣金使车身进行修复，使车身恢复碰撞前的状态；②清洗受损表面，包括灰尘、油脂等附着物，去除油脂常用的有机溶剂是煤油、汽油、甲苯、二甲苯、三氯乙烯及四氯化碳等，近年来表面活性剂也常用于表面清洗，还有的汽车修理厂以水清洗待修补表面的灰尘/污物，部分附着在旧漆膜表面的污物可以通过打磨去除；③清洗后的车身要进行打磨（部分车辆在清洗工序后需要对裸露金属进行表面调整，去除可能给金属带来腐蚀的其他污垢，增强基材表面的附着力和整个涂装系统的耐介质性能），打磨的主要作用是除锈以及清除那些旧的、已经遭到破坏了的涂层以及砂薄其周围并未破损的涂层等，打磨可分为机械打磨和手工打磨两类，依照待修补部位的损坏面积及损坏程度选取不同打磨方式、不同规格的砂纸，打磨后的汽车表面通过擦拭去除浮渣。</w:t>
      </w:r>
    </w:p>
    <w:p w14:paraId="20B6B6B0">
      <w:pPr>
        <w:keepNext w:val="0"/>
        <w:keepLines w:val="0"/>
        <w:pageBreakBefore w:val="0"/>
        <w:widowControl/>
        <w:kinsoku/>
        <w:wordWrap/>
        <w:autoSpaceDE/>
        <w:autoSpaceDN/>
        <w:bidi w:val="0"/>
        <w:rPr>
          <w:rFonts w:hint="default" w:ascii="Times New Roman" w:hAnsi="Times New Roman" w:cs="Times New Roman"/>
          <w:b/>
          <w:bCs/>
          <w:highlight w:val="none"/>
        </w:rPr>
      </w:pPr>
      <w:r>
        <w:rPr>
          <w:rFonts w:hint="default" w:ascii="Times New Roman" w:hAnsi="Times New Roman" w:cs="Times New Roman"/>
          <w:b/>
          <w:bCs/>
          <w:highlight w:val="none"/>
        </w:rPr>
        <w:t>（2）底漆</w:t>
      </w:r>
    </w:p>
    <w:p w14:paraId="537FB7FE">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底漆就是直接涂装在经过表面处理的车身表面上的第一道涂料，是整个涂层的开始，其作用主要是防腐蚀和填平金属基材的细微缺陷以及锈斑等，要求底漆与基材有良好的附着力，并与上面的面漆具有良好的配套性，底漆常用颜色为白色、红色、黑色。在使用前按照比例添加固化剂和稀释剂，于喷烤漆房内采用喷涂方式喷涂于待修补部位。</w:t>
      </w:r>
    </w:p>
    <w:p w14:paraId="6D4E60AC">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在</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过程中，不是所有的汽车修补都会用到底漆，在评估受损面时，若未伤及底漆或底漆在划伤中未出现裸露状态，则不会用到</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底漆。国产汽车修补用底漆过去多采用硝基类、环氧酯类、醇酸类等单组分产品。现在国内外普遍采用的是双组分环氧底漆、双组分聚氨酯底漆和磷化底漆等。其中双组分环氧底漆和聚氨酯底漆中采用的防锈颜料大多为铁红和磷酸锌。早期的磷化底漆大多采用碱式铬酸锌（俗称锌黄），现在出于环保考虑，采用其他的磷酸盐类，主要通过多聚磷酸根离子与金属离子生成螯合物，在金属基材表面形成致密的钝化膜。这类钝化膜难溶于水，硬度高，附着力极强，可有效抑制钢铁等金属的腐蚀。</w:t>
      </w:r>
    </w:p>
    <w:p w14:paraId="33E32BDA">
      <w:pPr>
        <w:keepNext w:val="0"/>
        <w:keepLines w:val="0"/>
        <w:pageBreakBefore w:val="0"/>
        <w:widowControl/>
        <w:kinsoku/>
        <w:wordWrap/>
        <w:autoSpaceDE/>
        <w:autoSpaceDN/>
        <w:bidi w:val="0"/>
        <w:rPr>
          <w:rFonts w:hint="default" w:ascii="Times New Roman" w:hAnsi="Times New Roman" w:cs="Times New Roman"/>
          <w:b/>
          <w:bCs/>
          <w:highlight w:val="none"/>
        </w:rPr>
      </w:pPr>
      <w:r>
        <w:rPr>
          <w:rFonts w:hint="default" w:ascii="Times New Roman" w:hAnsi="Times New Roman" w:cs="Times New Roman"/>
          <w:b/>
          <w:bCs/>
          <w:highlight w:val="none"/>
        </w:rPr>
        <w:t>（3）打腻子</w:t>
      </w:r>
    </w:p>
    <w:p w14:paraId="780D392E">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表面处理后的待修补汽车需进行打腻子，常用腻子种类包括醇酸腻子、硝基纤维素腻子、环氧腻子、原子灰等，能很好地附着在物体表面，并在干燥过程中不产生裂纹，</w:t>
      </w:r>
      <w:r>
        <w:rPr>
          <w:rFonts w:hint="default" w:ascii="Times New Roman" w:hAnsi="Times New Roman" w:cs="Times New Roman"/>
          <w:highlight w:val="none"/>
          <w:lang w:val="en-US" w:eastAsia="zh-CN"/>
        </w:rPr>
        <w:t>一</w:t>
      </w:r>
      <w:r>
        <w:rPr>
          <w:rFonts w:hint="default" w:ascii="Times New Roman" w:hAnsi="Times New Roman" w:cs="Times New Roman"/>
          <w:highlight w:val="none"/>
        </w:rPr>
        <w:t>般在</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行业用于修补表面的机械凹陷，提高其表面平整度，一般在底漆涂装并干透之后进行刮涂。通常腻子由主体灰（基灰）和固化剂两部分组成，主体灰的成分多是不饱和聚酯树脂和填料，固化剂的成分一般是引发剂和增塑剂，起到引发聚合，增强性能的作用，在涂抹过程中需与配套固化剂混合后，固化剂可在温度较低的情况下将腻子中的不饱和键打开并释放能量促使其他双键打开形成长链分子，从而产生聚合反应。腻子在添加了适量的固化剂搅拌后，其中的</w:t>
      </w:r>
      <w:r>
        <w:rPr>
          <w:rFonts w:hint="default" w:ascii="Times New Roman" w:hAnsi="Times New Roman" w:cs="Times New Roman"/>
          <w:highlight w:val="none"/>
          <w:lang w:eastAsia="zh-CN"/>
        </w:rPr>
        <w:t>VOCs</w:t>
      </w:r>
      <w:r>
        <w:rPr>
          <w:rFonts w:hint="default" w:ascii="Times New Roman" w:hAnsi="Times New Roman" w:cs="Times New Roman"/>
          <w:highlight w:val="none"/>
        </w:rPr>
        <w:t>也参与固化，所以腻子本身所含的VOCs含量并不能代表腻子在涂抹过程中排放的VOCs总量。</w:t>
      </w:r>
    </w:p>
    <w:p w14:paraId="1EA33D57">
      <w:pPr>
        <w:keepNext w:val="0"/>
        <w:keepLines w:val="0"/>
        <w:pageBreakBefore w:val="0"/>
        <w:widowControl/>
        <w:kinsoku/>
        <w:wordWrap/>
        <w:autoSpaceDE/>
        <w:autoSpaceDN/>
        <w:bidi w:val="0"/>
        <w:adjustRightInd w:val="0"/>
        <w:snapToGrid w:val="0"/>
        <w:spacing w:line="360" w:lineRule="auto"/>
        <w:ind w:left="0" w:leftChars="0" w:firstLine="0" w:firstLineChars="0"/>
        <w:jc w:val="left"/>
        <w:rPr>
          <w:rFonts w:hint="default" w:ascii="Times New Roman" w:hAnsi="Times New Roman" w:cs="Times New Roman"/>
          <w:color w:val="000000" w:themeColor="text1"/>
          <w:sz w:val="24"/>
          <w:highlight w:val="none"/>
          <w14:textFill>
            <w14:solidFill>
              <w14:schemeClr w14:val="tx1"/>
            </w14:solidFill>
          </w14:textFill>
        </w:rPr>
      </w:pPr>
      <w:r>
        <w:rPr>
          <w:rFonts w:hint="default" w:ascii="Times New Roman" w:hAnsi="Times New Roman" w:cs="Times New Roman"/>
          <w:highlight w:val="none"/>
        </w:rPr>
        <w:drawing>
          <wp:inline distT="0" distB="0" distL="0" distR="0">
            <wp:extent cx="2147570" cy="1775460"/>
            <wp:effectExtent l="0" t="0" r="5080" b="15240"/>
            <wp:docPr id="139" name="图片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图片 139"/>
                    <pic:cNvPicPr>
                      <a:picLocks noChangeAspect="1"/>
                    </pic:cNvPicPr>
                  </pic:nvPicPr>
                  <pic:blipFill>
                    <a:blip r:embed="rId10"/>
                    <a:stretch>
                      <a:fillRect/>
                    </a:stretch>
                  </pic:blipFill>
                  <pic:spPr>
                    <a:xfrm>
                      <a:off x="0" y="0"/>
                      <a:ext cx="2223295" cy="1838106"/>
                    </a:xfrm>
                    <a:prstGeom prst="rect">
                      <a:avLst/>
                    </a:prstGeom>
                  </pic:spPr>
                </pic:pic>
              </a:graphicData>
            </a:graphic>
          </wp:inline>
        </w:drawing>
      </w:r>
      <w:r>
        <w:rPr>
          <w:rFonts w:hint="default" w:ascii="Times New Roman" w:hAnsi="Times New Roman" w:cs="Times New Roman"/>
          <w:highlight w:val="none"/>
        </w:rPr>
        <w:drawing>
          <wp:inline distT="0" distB="0" distL="0" distR="0">
            <wp:extent cx="1492250" cy="1767840"/>
            <wp:effectExtent l="0" t="0" r="12700" b="3810"/>
            <wp:docPr id="138" name="图片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图片 138"/>
                    <pic:cNvPicPr>
                      <a:picLocks noChangeAspect="1"/>
                    </pic:cNvPicPr>
                  </pic:nvPicPr>
                  <pic:blipFill>
                    <a:blip r:embed="rId11"/>
                    <a:stretch>
                      <a:fillRect/>
                    </a:stretch>
                  </pic:blipFill>
                  <pic:spPr>
                    <a:xfrm>
                      <a:off x="0" y="0"/>
                      <a:ext cx="1514552" cy="1794319"/>
                    </a:xfrm>
                    <a:prstGeom prst="rect">
                      <a:avLst/>
                    </a:prstGeom>
                  </pic:spPr>
                </pic:pic>
              </a:graphicData>
            </a:graphic>
          </wp:inline>
        </w:drawing>
      </w:r>
      <w:r>
        <w:rPr>
          <w:rFonts w:hint="default" w:ascii="Times New Roman" w:hAnsi="Times New Roman" w:cs="Times New Roman"/>
          <w:color w:val="000000" w:themeColor="text1"/>
          <w:sz w:val="24"/>
          <w:highlight w:val="none"/>
          <w14:textFill>
            <w14:solidFill>
              <w14:schemeClr w14:val="tx1"/>
            </w14:solidFill>
          </w14:textFill>
        </w:rPr>
        <w:drawing>
          <wp:inline distT="0" distB="0" distL="0" distR="0">
            <wp:extent cx="1483360" cy="1767205"/>
            <wp:effectExtent l="0" t="0" r="2540" b="4445"/>
            <wp:docPr id="222" name="图片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图片 22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1506626" cy="1795000"/>
                    </a:xfrm>
                    <a:prstGeom prst="rect">
                      <a:avLst/>
                    </a:prstGeom>
                    <a:noFill/>
                    <a:ln>
                      <a:noFill/>
                    </a:ln>
                  </pic:spPr>
                </pic:pic>
              </a:graphicData>
            </a:graphic>
          </wp:inline>
        </w:drawing>
      </w:r>
    </w:p>
    <w:p w14:paraId="589A9585">
      <w:pPr>
        <w:keepNext w:val="0"/>
        <w:keepLines w:val="0"/>
        <w:pageBreakBefore w:val="0"/>
        <w:widowControl/>
        <w:kinsoku/>
        <w:wordWrap/>
        <w:autoSpaceDE/>
        <w:autoSpaceDN/>
        <w:bidi w:val="0"/>
        <w:ind w:left="0" w:leftChars="0" w:firstLine="0" w:firstLineChars="0"/>
        <w:jc w:val="center"/>
        <w:rPr>
          <w:rFonts w:hint="default" w:ascii="Times New Roman" w:hAnsi="Times New Roman" w:cs="Times New Roman"/>
          <w:highlight w:val="none"/>
          <w:lang w:val="en-US" w:eastAsia="zh-CN"/>
        </w:rPr>
      </w:pPr>
      <w:r>
        <w:rPr>
          <w:rFonts w:hint="default" w:ascii="Times New Roman" w:hAnsi="Times New Roman" w:cs="Times New Roman"/>
          <w:highlight w:val="none"/>
          <w:lang w:val="en-US" w:eastAsia="zh-CN"/>
        </w:rPr>
        <w:t>图4.2-2</w:t>
      </w:r>
      <w:r>
        <w:rPr>
          <w:rFonts w:hint="eastAsia" w:cs="Times New Roman"/>
          <w:highlight w:val="none"/>
          <w:lang w:val="en-US" w:eastAsia="zh-CN"/>
        </w:rPr>
        <w:t xml:space="preserve"> </w:t>
      </w:r>
      <w:r>
        <w:rPr>
          <w:rFonts w:hint="default" w:ascii="Times New Roman" w:hAnsi="Times New Roman" w:cs="Times New Roman"/>
          <w:highlight w:val="none"/>
          <w:lang w:val="en-US" w:eastAsia="zh-CN"/>
        </w:rPr>
        <w:t>打腻子</w:t>
      </w:r>
    </w:p>
    <w:p w14:paraId="74A069FB">
      <w:pPr>
        <w:keepNext w:val="0"/>
        <w:keepLines w:val="0"/>
        <w:pageBreakBefore w:val="0"/>
        <w:widowControl/>
        <w:kinsoku/>
        <w:wordWrap/>
        <w:autoSpaceDE/>
        <w:autoSpaceDN/>
        <w:bidi w:val="0"/>
        <w:rPr>
          <w:rFonts w:hint="default" w:ascii="Times New Roman" w:hAnsi="Times New Roman" w:cs="Times New Roman"/>
          <w:b/>
          <w:bCs/>
          <w:highlight w:val="none"/>
        </w:rPr>
      </w:pPr>
      <w:r>
        <w:rPr>
          <w:rFonts w:hint="default" w:ascii="Times New Roman" w:hAnsi="Times New Roman" w:cs="Times New Roman"/>
          <w:b/>
          <w:bCs/>
          <w:highlight w:val="none"/>
        </w:rPr>
        <w:t>（4）中涂</w:t>
      </w:r>
    </w:p>
    <w:p w14:paraId="4F40A789">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在复合涂层中，中涂作为承上启下的过渡层，通常用于底漆或腻子之上，面漆之下，主要起到提高面漆的丰满度、附着力和其它机械性能及复合涂层的耐候性能。在汽车修补漆行业，中涂漆也被称为中间涂料、二道浆或 “苏灰士”。并不是所有的工艺都用到中涂，也有部分无中涂的复合涂层工艺，其附着力及其他机械性能也并没有明显的下降。目前常用的中涂漆主要有硝基纤维素类、环氧树脂类、醇酸树脂类、丙烯酸-聚氨酯类等。</w:t>
      </w:r>
    </w:p>
    <w:p w14:paraId="77A3D418">
      <w:pPr>
        <w:keepNext w:val="0"/>
        <w:keepLines w:val="0"/>
        <w:pageBreakBefore w:val="0"/>
        <w:widowControl/>
        <w:kinsoku/>
        <w:wordWrap/>
        <w:autoSpaceDE/>
        <w:autoSpaceDN/>
        <w:bidi w:val="0"/>
        <w:ind w:firstLine="720"/>
        <w:rPr>
          <w:rFonts w:hint="default" w:ascii="Times New Roman" w:hAnsi="Times New Roman" w:cs="Times New Roman"/>
          <w:b/>
          <w:bCs/>
          <w:highlight w:val="none"/>
        </w:rPr>
      </w:pPr>
      <w:r>
        <w:rPr>
          <w:rFonts w:hint="default" w:ascii="Times New Roman" w:hAnsi="Times New Roman" w:cs="Times New Roman"/>
          <w:b/>
          <w:bCs/>
          <w:highlight w:val="none"/>
        </w:rPr>
        <w:t>（5）色漆</w:t>
      </w:r>
    </w:p>
    <w:p w14:paraId="7586C5CA">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lang w:eastAsia="zh-CN"/>
        </w:rPr>
        <w:t>汽车维修</w:t>
      </w:r>
      <w:r>
        <w:rPr>
          <w:rFonts w:hint="default" w:ascii="Times New Roman" w:hAnsi="Times New Roman" w:cs="Times New Roman"/>
          <w:highlight w:val="none"/>
        </w:rPr>
        <w:t>行业中色漆包括本色漆、金属闪光漆等，用于表面颜色修补并起到遮盖作用，常用种类为热塑性丙烯酸树脂类涂料、聚酯-聚氨酯树脂涂料、丙烯酸-聚氨酯类涂料等，按照原厂车所采用的调色系统调配出合适的色母，并在使用前按照比例添加固化剂和稀释剂，用于修补遮盖。色漆是汽车修补漆产品中最重要的部分，分为通用色母体系和调合色母体系。在高颜料比例的色浆中，用通用性强的树脂将颜料稀释到一定，使之加入配漆树脂后很易搅拌均匀，这种色浆称为通用色浆，在汽车修补漆中称为色母。调合色母体系就是实色漆和金属底色漆各自行成一套色母体系，直接调色使用。目前，大多数</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店均需要调色工艺以满足不同客户的需求，调色过程中亦会产生VOCs逸散。色母主要由成膜物质、颜料、溶剂和助剂构成，现今市场上的色母按照生产工艺划分， 主要包括浓缩色母和平衡色母两种。平衡色母采用传统的主色浆法生产，即将配方中的所有颜料和基料一次性混合，然后进行分散、研磨至细度合格后，再视需要用某些单色浆进行颜色的微调，配制成漆。而浓缩色母是采用单色浆法进行生产，即预先将配方中的颜料分散至研磨树脂中制成色浆，待使用时根据需要添加成膜物质以制得底色漆或面漆。添加高羟基含量的丙烯酸树脂可以制得面漆，而添加含少量羟基或者其他活性基团的热塑性丙烯酸树脂可制得底色漆。</w:t>
      </w:r>
    </w:p>
    <w:p w14:paraId="27179780">
      <w:pPr>
        <w:keepNext w:val="0"/>
        <w:keepLines w:val="0"/>
        <w:pageBreakBefore w:val="0"/>
        <w:widowControl/>
        <w:kinsoku/>
        <w:wordWrap/>
        <w:autoSpaceDE/>
        <w:autoSpaceDN/>
        <w:bidi w:val="0"/>
        <w:ind w:firstLine="720"/>
        <w:rPr>
          <w:rFonts w:hint="default" w:ascii="Times New Roman" w:hAnsi="Times New Roman" w:cs="Times New Roman"/>
          <w:b/>
          <w:bCs/>
          <w:highlight w:val="none"/>
        </w:rPr>
      </w:pPr>
      <w:r>
        <w:rPr>
          <w:rFonts w:hint="default" w:ascii="Times New Roman" w:hAnsi="Times New Roman" w:cs="Times New Roman"/>
          <w:b/>
          <w:bCs/>
          <w:highlight w:val="none"/>
        </w:rPr>
        <w:t>（6）清漆</w:t>
      </w:r>
    </w:p>
    <w:p w14:paraId="51AB9A77">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清漆又称罩光清漆，在汽车修补漆中占有重要地位，是修补漆体系中最常用、附加值最高的产品。清漆主要作用是赋予汽车良好的清晰度、抛光度、耐擦伤性等。清漆是汽车修补的最后一个涂层，会直接影响到客户对最终修补结果的认可程度。同时，清漆的固化速率也决定了汽车的修补周期和修补效率。所以，如何进一步提高清漆的固化速率是各修补漆品牌的努力方向。目前国内外的清漆使用最广泛的为聚氨酯-丙烯酸类涂料。</w:t>
      </w:r>
    </w:p>
    <w:p w14:paraId="7BE8C1EF">
      <w:pPr>
        <w:keepNext w:val="0"/>
        <w:keepLines w:val="0"/>
        <w:pageBreakBefore w:val="0"/>
        <w:widowControl/>
        <w:kinsoku/>
        <w:wordWrap/>
        <w:autoSpaceDE/>
        <w:autoSpaceDN/>
        <w:bidi w:val="0"/>
        <w:ind w:firstLine="720"/>
        <w:rPr>
          <w:rFonts w:hint="default" w:ascii="Times New Roman" w:hAnsi="Times New Roman" w:cs="Times New Roman"/>
          <w:b/>
          <w:bCs/>
          <w:highlight w:val="none"/>
        </w:rPr>
      </w:pPr>
      <w:r>
        <w:rPr>
          <w:rFonts w:hint="default" w:ascii="Times New Roman" w:hAnsi="Times New Roman" w:cs="Times New Roman"/>
          <w:b/>
          <w:bCs/>
          <w:highlight w:val="none"/>
        </w:rPr>
        <w:t>（7）清洗</w:t>
      </w:r>
    </w:p>
    <w:p w14:paraId="6A49D30A">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在</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过程中，包括在表面处理中都有可能会使用清洗剂用于金属或塑料表面除油、喷枪清洗等。通常清洗过程应采用厂家提供的专用清洗剂，这些清洗剂的VOCs含量会稍低，但价格偏高，为了节省成本，企业有可能会选择直接使用稀释剂或其他纯溶剂（香蕉水）担任清洗作用，而这些清洗剂往往VOCs含量为100%，如果不加以控制会产生大量的VOCs逸散。</w:t>
      </w:r>
    </w:p>
    <w:p w14:paraId="1AC28351">
      <w:pPr>
        <w:pStyle w:val="4"/>
        <w:keepNext w:val="0"/>
        <w:keepLines w:val="0"/>
        <w:pageBreakBefore w:val="0"/>
        <w:widowControl/>
        <w:kinsoku/>
        <w:wordWrap/>
        <w:autoSpaceDE/>
        <w:autoSpaceDN/>
        <w:bidi w:val="0"/>
        <w:rPr>
          <w:rFonts w:hint="default" w:ascii="Times New Roman" w:hAnsi="Times New Roman" w:cs="Times New Roman"/>
          <w:highlight w:val="none"/>
          <w:lang w:eastAsia="zh-CN"/>
        </w:rPr>
      </w:pPr>
      <w:bookmarkStart w:id="48" w:name="_Toc4805"/>
      <w:bookmarkStart w:id="49" w:name="_Toc11159"/>
      <w:r>
        <w:rPr>
          <w:rFonts w:hint="default" w:ascii="Times New Roman" w:hAnsi="Times New Roman" w:cs="Times New Roman"/>
          <w:highlight w:val="none"/>
          <w:lang w:eastAsia="zh-CN"/>
        </w:rPr>
        <w:t>主要产排污环节</w:t>
      </w:r>
      <w:bookmarkEnd w:id="48"/>
      <w:bookmarkEnd w:id="49"/>
    </w:p>
    <w:p w14:paraId="24A326F0">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汽车维修行业排放的主要大污染物包括</w:t>
      </w:r>
      <w:r>
        <w:rPr>
          <w:rFonts w:hint="default" w:ascii="Times New Roman" w:hAnsi="Times New Roman" w:cs="Times New Roman"/>
          <w:highlight w:val="none"/>
          <w:lang w:eastAsia="zh-CN"/>
        </w:rPr>
        <w:t>VOCs</w:t>
      </w:r>
      <w:r>
        <w:rPr>
          <w:rFonts w:hint="default" w:ascii="Times New Roman" w:hAnsi="Times New Roman" w:cs="Times New Roman"/>
          <w:highlight w:val="none"/>
        </w:rPr>
        <w:t>、颗粒物，在整个汽车修理过程中产生</w:t>
      </w:r>
      <w:r>
        <w:rPr>
          <w:rFonts w:hint="default" w:ascii="Times New Roman" w:hAnsi="Times New Roman" w:cs="Times New Roman"/>
          <w:highlight w:val="none"/>
          <w:lang w:eastAsia="zh-CN"/>
        </w:rPr>
        <w:t>VOCs</w:t>
      </w:r>
      <w:r>
        <w:rPr>
          <w:rFonts w:hint="default" w:ascii="Times New Roman" w:hAnsi="Times New Roman" w:cs="Times New Roman"/>
          <w:highlight w:val="none"/>
        </w:rPr>
        <w:t>污染排放环节主要集中在涉及油漆作业的喷漆及相关配套工序，包括油漆存储运输、表面处理、调配、喷漆、烘干、清洗等过程。</w:t>
      </w:r>
    </w:p>
    <w:p w14:paraId="14CC9447">
      <w:pPr>
        <w:keepNext w:val="0"/>
        <w:keepLines w:val="0"/>
        <w:pageBreakBefore w:val="0"/>
        <w:widowControl/>
        <w:kinsoku/>
        <w:wordWrap/>
        <w:autoSpaceDE/>
        <w:autoSpaceDN/>
        <w:bidi w:val="0"/>
        <w:ind w:left="0" w:leftChars="0" w:firstLine="0" w:firstLineChars="0"/>
        <w:jc w:val="center"/>
        <w:rPr>
          <w:rFonts w:hint="default" w:ascii="Times New Roman" w:hAnsi="Times New Roman" w:cs="Times New Roman"/>
          <w:highlight w:val="none"/>
        </w:rPr>
      </w:pPr>
      <w:r>
        <w:rPr>
          <w:rFonts w:hint="default" w:ascii="Times New Roman" w:hAnsi="Times New Roman" w:cs="Times New Roman"/>
          <w:highlight w:val="none"/>
        </w:rPr>
        <w:drawing>
          <wp:inline distT="0" distB="0" distL="114300" distR="114300">
            <wp:extent cx="4113530" cy="2121535"/>
            <wp:effectExtent l="0" t="0" r="1270" b="12065"/>
            <wp:docPr id="48" name="图片 48"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descr="图片2"/>
                    <pic:cNvPicPr>
                      <a:picLocks noChangeAspect="1"/>
                    </pic:cNvPicPr>
                  </pic:nvPicPr>
                  <pic:blipFill>
                    <a:blip r:embed="rId13"/>
                    <a:stretch>
                      <a:fillRect/>
                    </a:stretch>
                  </pic:blipFill>
                  <pic:spPr>
                    <a:xfrm>
                      <a:off x="0" y="0"/>
                      <a:ext cx="4113530" cy="2121535"/>
                    </a:xfrm>
                    <a:prstGeom prst="rect">
                      <a:avLst/>
                    </a:prstGeom>
                  </pic:spPr>
                </pic:pic>
              </a:graphicData>
            </a:graphic>
          </wp:inline>
        </w:drawing>
      </w:r>
    </w:p>
    <w:p w14:paraId="434056D9">
      <w:pPr>
        <w:keepNext w:val="0"/>
        <w:keepLines w:val="0"/>
        <w:pageBreakBefore w:val="0"/>
        <w:widowControl/>
        <w:kinsoku/>
        <w:wordWrap/>
        <w:autoSpaceDE/>
        <w:autoSpaceDN/>
        <w:bidi w:val="0"/>
        <w:ind w:left="0" w:leftChars="0" w:firstLine="0" w:firstLineChars="0"/>
        <w:jc w:val="center"/>
        <w:rPr>
          <w:rFonts w:hint="default" w:ascii="Times New Roman" w:hAnsi="Times New Roman" w:cs="Times New Roman"/>
          <w:highlight w:val="none"/>
          <w:lang w:val="en-US" w:eastAsia="zh-CN"/>
        </w:rPr>
      </w:pPr>
      <w:r>
        <w:rPr>
          <w:rFonts w:hint="default" w:ascii="Times New Roman" w:hAnsi="Times New Roman" w:cs="Times New Roman"/>
          <w:highlight w:val="none"/>
          <w:lang w:val="en-US" w:eastAsia="zh-CN"/>
        </w:rPr>
        <w:t>图4.2-3 汽车修补漆工艺大气污染物产排污环节</w:t>
      </w:r>
    </w:p>
    <w:p w14:paraId="5BC56044">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lang w:eastAsia="zh-CN"/>
        </w:rPr>
        <w:t>汽车维修</w:t>
      </w:r>
      <w:r>
        <w:rPr>
          <w:rFonts w:hint="default" w:ascii="Times New Roman" w:hAnsi="Times New Roman" w:cs="Times New Roman"/>
          <w:highlight w:val="none"/>
        </w:rPr>
        <w:t>行业主要产排污环节如下所述。</w:t>
      </w:r>
    </w:p>
    <w:p w14:paraId="01DA05A8">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（1）喷涂件预处理：涂装前金属的表面处理，在车身上进行彻底的清洁和去油污以消除车身上所有的污渍，使工件便于施行后续喷涂，一般不产生VOCs，但如果前处理使用含VOCs的清洗剂，则会存在VOCs挥发释放。</w:t>
      </w:r>
    </w:p>
    <w:p w14:paraId="6FF845C7">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2）调漆过程：将涂料、稀释剂、固化剂等进行调配的过程被称作调漆，喷涂前的物料存储以及调漆过程中如未进行密闭操作，有机溶剂易挥发。经开封后的涂料（含固化剂和稀释剂）在存储过程中，若未加盖或密封不严，</w:t>
      </w:r>
      <w:r>
        <w:rPr>
          <w:rFonts w:hint="default" w:ascii="Times New Roman" w:hAnsi="Times New Roman" w:cs="Times New Roman"/>
          <w:highlight w:val="none"/>
          <w:lang w:eastAsia="zh-CN"/>
        </w:rPr>
        <w:t>VOCs</w:t>
      </w:r>
      <w:r>
        <w:rPr>
          <w:rFonts w:hint="default" w:ascii="Times New Roman" w:hAnsi="Times New Roman" w:cs="Times New Roman"/>
          <w:highlight w:val="none"/>
        </w:rPr>
        <w:t>排放会增加，取用过程以及因操作不当遗撒到桌面、地面的涂料也会有VOCs挥发至空气中。只有增强操作管理，减少遗撒、减少涂料暴露时间才可以降低储存及调配过程中VOCs的排放。</w:t>
      </w:r>
    </w:p>
    <w:p w14:paraId="502978F8">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（3）打腻子、打磨：腻子中含有以二甲苯为主的</w:t>
      </w:r>
      <w:r>
        <w:rPr>
          <w:rFonts w:hint="default" w:ascii="Times New Roman" w:hAnsi="Times New Roman" w:cs="Times New Roman"/>
          <w:highlight w:val="none"/>
          <w:lang w:eastAsia="zh-CN"/>
        </w:rPr>
        <w:t>VOCs</w:t>
      </w:r>
      <w:r>
        <w:rPr>
          <w:rFonts w:hint="default" w:ascii="Times New Roman" w:hAnsi="Times New Roman" w:cs="Times New Roman"/>
          <w:highlight w:val="none"/>
        </w:rPr>
        <w:t>，在使用过程中也会挥发到空气中。腻子调配时通过估算待修补部位用量，取用相应量的原子灰（以原子灰为例）与固化剂至调配板上，利用涂抹板将其混合均匀，成为待用修补腻子；修补时用涂抹版取适量腻子均匀涂抹在经过表面处理后的待修补位置，腻子调配以及涂抹过程中VOCs会直接挥发到车间环境中，依照每辆车修补面积和腻子用量不同，挥发量有所不同。涂抹完成后晾干，采用打磨机或手工将不够平整的地方打磨平整，打磨过程会产生颗粒物。</w:t>
      </w:r>
    </w:p>
    <w:p w14:paraId="64C85D8F">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（4）喷涂、流平与烘干：汽车漆包括底中涂、面漆、罩光清漆等，按照修补工艺流程依次施用于汽车待修补表面，经10</w:t>
      </w:r>
      <w:r>
        <w:rPr>
          <w:rFonts w:hint="eastAsia" w:ascii="Times New Roman" w:hAnsi="Times New Roman" w:cs="Times New Roman"/>
          <w:highlight w:val="none"/>
          <w:lang w:val="en-US" w:eastAsia="zh-CN"/>
        </w:rPr>
        <w:t>~</w:t>
      </w:r>
      <w:r>
        <w:rPr>
          <w:rFonts w:hint="default" w:ascii="Times New Roman" w:hAnsi="Times New Roman" w:cs="Times New Roman"/>
          <w:highlight w:val="none"/>
        </w:rPr>
        <w:t>15分钟静置后（流平）进行烘干作业，一般来说，大部分企业的喷涂、流平和烘干均在喷烤漆房中操作。喷漆过程中部分原料漆以漆雾的形式飞散在喷烤漆房中，并随着喷烤漆房内气流向抽气方向移动，通过处理设备后排放至空气中。喷涂时所采用的喷枪转移效率越高，到达汽车表面的漆量越多，反之飞散到空气中的漆雾越多，产生的</w:t>
      </w:r>
      <w:r>
        <w:rPr>
          <w:rFonts w:hint="default" w:ascii="Times New Roman" w:hAnsi="Times New Roman" w:cs="Times New Roman"/>
          <w:highlight w:val="none"/>
          <w:lang w:eastAsia="zh-CN"/>
        </w:rPr>
        <w:t>VOCs</w:t>
      </w:r>
      <w:r>
        <w:rPr>
          <w:rFonts w:hint="default" w:ascii="Times New Roman" w:hAnsi="Times New Roman" w:cs="Times New Roman"/>
          <w:highlight w:val="none"/>
        </w:rPr>
        <w:t>也越多。喷到汽车表面的漆料中的</w:t>
      </w:r>
      <w:r>
        <w:rPr>
          <w:rFonts w:hint="default" w:ascii="Times New Roman" w:hAnsi="Times New Roman" w:cs="Times New Roman"/>
          <w:highlight w:val="none"/>
          <w:lang w:eastAsia="zh-CN"/>
        </w:rPr>
        <w:t>VOCs</w:t>
      </w:r>
      <w:r>
        <w:rPr>
          <w:rFonts w:hint="default" w:ascii="Times New Roman" w:hAnsi="Times New Roman" w:cs="Times New Roman"/>
          <w:highlight w:val="none"/>
        </w:rPr>
        <w:t>也会逐渐挥发至空气中，剩余的固体份形成漆膜，烘干工序可以加速漆膜形成过程中VOCs的挥发转移，挥发至空气中的有机物也随着气流经过地棉过滤进入处理设备并排放至空气中。通过采用高转移效率的喷枪、使用低</w:t>
      </w:r>
      <w:r>
        <w:rPr>
          <w:rFonts w:hint="default" w:ascii="Times New Roman" w:hAnsi="Times New Roman" w:cs="Times New Roman"/>
          <w:highlight w:val="none"/>
          <w:lang w:eastAsia="zh-CN"/>
        </w:rPr>
        <w:t>VOCs</w:t>
      </w:r>
      <w:r>
        <w:rPr>
          <w:rFonts w:hint="default" w:ascii="Times New Roman" w:hAnsi="Times New Roman" w:cs="Times New Roman"/>
          <w:highlight w:val="none"/>
        </w:rPr>
        <w:t>含量的涂料、采用高效处理设备可以减少喷烤漆房的VOCs排放量。</w:t>
      </w:r>
    </w:p>
    <w:p w14:paraId="1B279206">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（5）喷枪清洗：在完成任务量的喷涂作业以及需要更换颜色时，需要对喷枪进行清洗，防止残留涂料污染喷枪，清洗剂中含有大量</w:t>
      </w:r>
      <w:r>
        <w:rPr>
          <w:rFonts w:hint="default" w:ascii="Times New Roman" w:hAnsi="Times New Roman" w:cs="Times New Roman"/>
          <w:highlight w:val="none"/>
          <w:lang w:eastAsia="zh-CN"/>
        </w:rPr>
        <w:t>VOCs</w:t>
      </w:r>
      <w:r>
        <w:rPr>
          <w:rFonts w:hint="default" w:ascii="Times New Roman" w:hAnsi="Times New Roman" w:cs="Times New Roman"/>
          <w:highlight w:val="none"/>
        </w:rPr>
        <w:t>，在清洗过程中挥发到空气中。大部分汽车维修企业未设置单独喷枪清洗间，直接在喷烤房或者调漆间进行清洗。</w:t>
      </w:r>
    </w:p>
    <w:p w14:paraId="08085FFC">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（6）固废储存：</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过程产生的固废主要包括废油漆桶、漆雾收集后的废漆渣、污染治理设施产生的二次固废（如废活性炭等），固废如不能及时处理，堆放地有机废气将挥发逸散。</w:t>
      </w:r>
    </w:p>
    <w:p w14:paraId="29EC2E38">
      <w:pPr>
        <w:pStyle w:val="4"/>
        <w:keepNext w:val="0"/>
        <w:keepLines w:val="0"/>
        <w:pageBreakBefore w:val="0"/>
        <w:widowControl/>
        <w:kinsoku/>
        <w:wordWrap/>
        <w:autoSpaceDE/>
        <w:autoSpaceDN/>
        <w:bidi w:val="0"/>
        <w:rPr>
          <w:rFonts w:hint="default" w:ascii="Times New Roman" w:hAnsi="Times New Roman" w:cs="Times New Roman"/>
          <w:highlight w:val="none"/>
          <w:lang w:val="en-US" w:eastAsia="zh-CN"/>
        </w:rPr>
      </w:pPr>
      <w:bookmarkStart w:id="50" w:name="_Toc23736"/>
      <w:bookmarkStart w:id="51" w:name="_Toc15100"/>
      <w:r>
        <w:rPr>
          <w:rFonts w:hint="default" w:ascii="Times New Roman" w:hAnsi="Times New Roman" w:cs="Times New Roman"/>
          <w:highlight w:val="none"/>
          <w:lang w:val="en-US" w:eastAsia="zh-CN"/>
        </w:rPr>
        <w:t>常用生产装置介绍</w:t>
      </w:r>
      <w:bookmarkEnd w:id="50"/>
      <w:bookmarkEnd w:id="51"/>
    </w:p>
    <w:p w14:paraId="282B65AA">
      <w:pPr>
        <w:keepNext w:val="0"/>
        <w:keepLines w:val="0"/>
        <w:pageBreakBefore w:val="0"/>
        <w:widowControl/>
        <w:kinsoku/>
        <w:wordWrap/>
        <w:autoSpaceDE/>
        <w:autoSpaceDN/>
        <w:bidi w:val="0"/>
        <w:rPr>
          <w:rFonts w:hint="default" w:ascii="Times New Roman" w:hAnsi="Times New Roman" w:cs="Times New Roman"/>
          <w:b/>
          <w:bCs/>
          <w:highlight w:val="none"/>
        </w:rPr>
      </w:pPr>
      <w:r>
        <w:rPr>
          <w:rFonts w:hint="default" w:ascii="Times New Roman" w:hAnsi="Times New Roman" w:cs="Times New Roman"/>
          <w:b/>
          <w:bCs/>
          <w:highlight w:val="none"/>
        </w:rPr>
        <w:t>（1）喷烤漆房</w:t>
      </w:r>
    </w:p>
    <w:p w14:paraId="2C552945">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喷烤漆房是汽车维修企业进行喷涂和烘干工序不可或缺的主要设施之一，通常汽车修理厂的喷漆和烤漆两个步骤都是在一间喷烤漆房中完成的，喷烤漆房主要为长方体，具体规格按照修理车型有所差异，常见规格为7m×4m×3m。其基本要求包括：1）可以提供较好的喷漆环境，为喷漆工提供最安全、符合有关标准的劳保条件；2）可以防止尘埃等脏物混入喷漆间；3）可以防止操作时漆雾和</w:t>
      </w:r>
      <w:r>
        <w:rPr>
          <w:rFonts w:hint="default" w:ascii="Times New Roman" w:hAnsi="Times New Roman" w:cs="Times New Roman"/>
          <w:highlight w:val="none"/>
          <w:lang w:eastAsia="zh-CN"/>
        </w:rPr>
        <w:t>VOCs</w:t>
      </w:r>
      <w:r>
        <w:rPr>
          <w:rFonts w:hint="default" w:ascii="Times New Roman" w:hAnsi="Times New Roman" w:cs="Times New Roman"/>
          <w:highlight w:val="none"/>
        </w:rPr>
        <w:t>进入周围环境，污染空气。</w:t>
      </w:r>
    </w:p>
    <w:p w14:paraId="4403D27F">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汽车修理厂喷烤漆房去除漆雾和防止灰尘混入常采用</w:t>
      </w:r>
      <w:r>
        <w:rPr>
          <w:rFonts w:hint="eastAsia" w:cs="Times New Roman"/>
          <w:highlight w:val="none"/>
          <w:lang w:val="en-US" w:eastAsia="zh-CN"/>
        </w:rPr>
        <w:t>干式处理</w:t>
      </w:r>
      <w:r>
        <w:rPr>
          <w:rFonts w:hint="default" w:ascii="Times New Roman" w:hAnsi="Times New Roman" w:cs="Times New Roman"/>
          <w:highlight w:val="none"/>
        </w:rPr>
        <w:t>，在喷烤漆房顶设有进风过滤顶棉，喷房地面设有过滤地棉，常用材料为玻璃棉，可以有效的过滤颗粒物等物质，并按照生产情况定期更换。在生产过程中喷烤漆房的门必须是关闭的，整个房间必须具有良好的封闭性，一方面防止周围环境中的灰尘、颗粒物等进入，影响喷涂质量，另一方面也防止房间内的漆雾和</w:t>
      </w:r>
      <w:r>
        <w:rPr>
          <w:rFonts w:hint="default" w:ascii="Times New Roman" w:hAnsi="Times New Roman" w:cs="Times New Roman"/>
          <w:highlight w:val="none"/>
          <w:lang w:eastAsia="zh-CN"/>
        </w:rPr>
        <w:t>VOCs</w:t>
      </w:r>
      <w:r>
        <w:rPr>
          <w:rFonts w:hint="default" w:ascii="Times New Roman" w:hAnsi="Times New Roman" w:cs="Times New Roman"/>
          <w:highlight w:val="none"/>
        </w:rPr>
        <w:t>进入环境中。</w:t>
      </w:r>
    </w:p>
    <w:p w14:paraId="4CEC6200">
      <w:pPr>
        <w:keepNext w:val="0"/>
        <w:keepLines w:val="0"/>
        <w:pageBreakBefore w:val="0"/>
        <w:widowControl/>
        <w:kinsoku/>
        <w:wordWrap/>
        <w:autoSpaceDE/>
        <w:autoSpaceDN/>
        <w:bidi w:val="0"/>
        <w:adjustRightInd w:val="0"/>
        <w:snapToGrid w:val="0"/>
        <w:spacing w:line="276" w:lineRule="auto"/>
        <w:ind w:left="-485" w:leftChars="-202"/>
        <w:jc w:val="center"/>
        <w:rPr>
          <w:rFonts w:hint="default" w:ascii="Times New Roman" w:hAnsi="Times New Roman" w:cs="Times New Roman"/>
          <w:sz w:val="24"/>
          <w:highlight w:val="none"/>
        </w:rPr>
      </w:pPr>
      <w:r>
        <w:rPr>
          <w:rFonts w:hint="default" w:ascii="Times New Roman" w:hAnsi="Times New Roman" w:cs="Times New Roman"/>
          <w:highlight w:val="none"/>
        </w:rPr>
        <w:drawing>
          <wp:inline distT="0" distB="0" distL="0" distR="0">
            <wp:extent cx="1723390" cy="1692275"/>
            <wp:effectExtent l="0" t="0" r="13970" b="1460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4"/>
                    <a:stretch>
                      <a:fillRect/>
                    </a:stretch>
                  </pic:blipFill>
                  <pic:spPr>
                    <a:xfrm>
                      <a:off x="0" y="0"/>
                      <a:ext cx="1723390" cy="1692275"/>
                    </a:xfrm>
                    <a:prstGeom prst="rect">
                      <a:avLst/>
                    </a:prstGeom>
                  </pic:spPr>
                </pic:pic>
              </a:graphicData>
            </a:graphic>
          </wp:inline>
        </w:drawing>
      </w:r>
      <w:r>
        <w:rPr>
          <w:rFonts w:hint="default" w:ascii="Times New Roman" w:hAnsi="Times New Roman" w:cs="Times New Roman"/>
          <w:sz w:val="24"/>
          <w:highlight w:val="none"/>
        </w:rPr>
        <w:drawing>
          <wp:inline distT="0" distB="0" distL="0" distR="0">
            <wp:extent cx="1718310" cy="1692275"/>
            <wp:effectExtent l="0" t="0" r="3810" b="14605"/>
            <wp:docPr id="219" name="图片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9" name="图片 219"/>
                    <pic:cNvPicPr>
                      <a:picLocks noChangeAspect="1" noChangeArrowheads="1"/>
                    </pic:cNvPicPr>
                  </pic:nvPicPr>
                  <pic:blipFill>
                    <a:blip r:embed="rId15" cstate="print">
                      <a:extLst>
                        <a:ext uri="{28A0092B-C50C-407E-A947-70E740481C1C}">
                          <a14:useLocalDpi xmlns:a14="http://schemas.microsoft.com/office/drawing/2010/main" val="0"/>
                        </a:ext>
                      </a:extLst>
                    </a:blip>
                    <a:srcRect l="5466" r="5627" b="15077"/>
                    <a:stretch>
                      <a:fillRect/>
                    </a:stretch>
                  </pic:blipFill>
                  <pic:spPr>
                    <a:xfrm>
                      <a:off x="0" y="0"/>
                      <a:ext cx="1718310" cy="1692275"/>
                    </a:xfrm>
                    <a:prstGeom prst="rect">
                      <a:avLst/>
                    </a:prstGeom>
                    <a:noFill/>
                    <a:ln>
                      <a:noFill/>
                    </a:ln>
                  </pic:spPr>
                </pic:pic>
              </a:graphicData>
            </a:graphic>
          </wp:inline>
        </w:drawing>
      </w:r>
      <w:r>
        <w:rPr>
          <w:rFonts w:hint="default" w:ascii="Times New Roman" w:hAnsi="Times New Roman" w:cs="Times New Roman"/>
          <w:highlight w:val="none"/>
        </w:rPr>
        <w:drawing>
          <wp:inline distT="0" distB="0" distL="0" distR="0">
            <wp:extent cx="1709420" cy="1692275"/>
            <wp:effectExtent l="0" t="0" r="12700" b="14605"/>
            <wp:docPr id="140" name="图片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图片 140"/>
                    <pic:cNvPicPr>
                      <a:picLocks noChangeAspect="1"/>
                    </pic:cNvPicPr>
                  </pic:nvPicPr>
                  <pic:blipFill>
                    <a:blip r:embed="rId16"/>
                    <a:stretch>
                      <a:fillRect/>
                    </a:stretch>
                  </pic:blipFill>
                  <pic:spPr>
                    <a:xfrm>
                      <a:off x="0" y="0"/>
                      <a:ext cx="1709420" cy="1692275"/>
                    </a:xfrm>
                    <a:prstGeom prst="rect">
                      <a:avLst/>
                    </a:prstGeom>
                  </pic:spPr>
                </pic:pic>
              </a:graphicData>
            </a:graphic>
          </wp:inline>
        </w:drawing>
      </w:r>
    </w:p>
    <w:p w14:paraId="2EBC0466">
      <w:pPr>
        <w:keepNext w:val="0"/>
        <w:keepLines w:val="0"/>
        <w:pageBreakBefore w:val="0"/>
        <w:widowControl/>
        <w:kinsoku/>
        <w:wordWrap/>
        <w:autoSpaceDE/>
        <w:autoSpaceDN/>
        <w:bidi w:val="0"/>
        <w:ind w:left="0" w:leftChars="0" w:firstLine="0" w:firstLineChars="0"/>
        <w:jc w:val="center"/>
        <w:rPr>
          <w:rFonts w:hint="default" w:ascii="Times New Roman" w:hAnsi="Times New Roman" w:cs="Times New Roman"/>
          <w:highlight w:val="none"/>
          <w:lang w:val="en-US" w:eastAsia="zh-CN"/>
        </w:rPr>
      </w:pPr>
      <w:r>
        <w:rPr>
          <w:rFonts w:hint="default" w:ascii="Times New Roman" w:hAnsi="Times New Roman" w:cs="Times New Roman"/>
          <w:highlight w:val="none"/>
          <w:lang w:val="en-US" w:eastAsia="zh-CN"/>
        </w:rPr>
        <w:t>图4.2-4 喷漆房（左）、顶棉（中）、地棉（右）</w:t>
      </w:r>
    </w:p>
    <w:p w14:paraId="040E6D7D">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喷烤漆房按照进风和出风方式不同分为三种：上进风下出风、上进风旁路出风、平进风平出风，喷烤漆房常用上进风下出风的方式，进风前顶棉过滤，出风前地棉过滤。</w:t>
      </w:r>
    </w:p>
    <w:p w14:paraId="7BE28E3E">
      <w:pPr>
        <w:keepNext w:val="0"/>
        <w:keepLines w:val="0"/>
        <w:pageBreakBefore w:val="0"/>
        <w:widowControl/>
        <w:kinsoku/>
        <w:wordWrap/>
        <w:overflowPunct/>
        <w:topLinePunct w:val="0"/>
        <w:autoSpaceDE/>
        <w:autoSpaceDN/>
        <w:bidi w:val="0"/>
        <w:adjustRightInd w:val="0"/>
        <w:snapToGrid w:val="0"/>
        <w:spacing w:line="240" w:lineRule="auto"/>
        <w:ind w:left="0" w:leftChars="0" w:right="0" w:rightChars="0" w:firstLine="0" w:firstLineChars="0"/>
        <w:jc w:val="both"/>
        <w:textAlignment w:val="auto"/>
        <w:rPr>
          <w:rFonts w:hint="default" w:ascii="Times New Roman" w:hAnsi="Times New Roman" w:cs="Times New Roman"/>
          <w:sz w:val="24"/>
          <w:highlight w:val="none"/>
        </w:rPr>
      </w:pPr>
      <w:r>
        <w:rPr>
          <w:rFonts w:hint="default" w:ascii="Times New Roman" w:hAnsi="Times New Roman" w:cs="Times New Roman"/>
          <w:sz w:val="24"/>
          <w:highlight w:val="none"/>
        </w:rPr>
        <w:drawing>
          <wp:inline distT="0" distB="0" distL="0" distR="0">
            <wp:extent cx="1725295" cy="1121410"/>
            <wp:effectExtent l="0" t="0" r="12065" b="6350"/>
            <wp:docPr id="217" name="图片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 name="图片 21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1725295" cy="1121410"/>
                    </a:xfrm>
                    <a:prstGeom prst="rect">
                      <a:avLst/>
                    </a:prstGeom>
                    <a:noFill/>
                    <a:ln>
                      <a:noFill/>
                    </a:ln>
                  </pic:spPr>
                </pic:pic>
              </a:graphicData>
            </a:graphic>
          </wp:inline>
        </w:drawing>
      </w:r>
      <w:r>
        <w:rPr>
          <w:rFonts w:hint="default" w:ascii="Times New Roman" w:hAnsi="Times New Roman" w:cs="Times New Roman"/>
          <w:sz w:val="24"/>
          <w:highlight w:val="none"/>
        </w:rPr>
        <w:drawing>
          <wp:inline distT="0" distB="0" distL="0" distR="0">
            <wp:extent cx="1713865" cy="1123315"/>
            <wp:effectExtent l="0" t="0" r="8255" b="4445"/>
            <wp:docPr id="216" name="图片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 name="图片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1713865" cy="1125493"/>
                    </a:xfrm>
                    <a:prstGeom prst="rect">
                      <a:avLst/>
                    </a:prstGeom>
                    <a:noFill/>
                    <a:ln>
                      <a:noFill/>
                    </a:ln>
                  </pic:spPr>
                </pic:pic>
              </a:graphicData>
            </a:graphic>
          </wp:inline>
        </w:drawing>
      </w:r>
      <w:r>
        <w:rPr>
          <w:rFonts w:hint="default" w:ascii="Times New Roman" w:hAnsi="Times New Roman" w:cs="Times New Roman"/>
          <w:sz w:val="24"/>
          <w:highlight w:val="none"/>
        </w:rPr>
        <w:drawing>
          <wp:inline distT="0" distB="0" distL="0" distR="0">
            <wp:extent cx="1739265" cy="1089025"/>
            <wp:effectExtent l="0" t="0" r="13335" b="8255"/>
            <wp:docPr id="215" name="图片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 name="图片 2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1739265" cy="1089025"/>
                    </a:xfrm>
                    <a:prstGeom prst="rect">
                      <a:avLst/>
                    </a:prstGeom>
                    <a:noFill/>
                    <a:ln>
                      <a:noFill/>
                    </a:ln>
                  </pic:spPr>
                </pic:pic>
              </a:graphicData>
            </a:graphic>
          </wp:inline>
        </w:drawing>
      </w:r>
    </w:p>
    <w:p w14:paraId="786D089D">
      <w:pPr>
        <w:keepNext w:val="0"/>
        <w:keepLines w:val="0"/>
        <w:pageBreakBefore w:val="0"/>
        <w:widowControl/>
        <w:kinsoku/>
        <w:wordWrap/>
        <w:autoSpaceDE/>
        <w:autoSpaceDN/>
        <w:bidi w:val="0"/>
        <w:ind w:left="0" w:leftChars="0" w:firstLine="0" w:firstLineChars="0"/>
        <w:jc w:val="center"/>
        <w:rPr>
          <w:rFonts w:hint="default" w:ascii="Times New Roman" w:hAnsi="Times New Roman" w:cs="Times New Roman"/>
          <w:highlight w:val="none"/>
          <w:lang w:val="en-US" w:eastAsia="zh-CN"/>
        </w:rPr>
      </w:pPr>
      <w:r>
        <w:rPr>
          <w:rFonts w:hint="default" w:ascii="Times New Roman" w:hAnsi="Times New Roman" w:cs="Times New Roman"/>
          <w:highlight w:val="none"/>
          <w:lang w:val="en-US" w:eastAsia="zh-CN"/>
        </w:rPr>
        <w:t>图4.2-5 喷房进风方式示意图</w:t>
      </w:r>
    </w:p>
    <w:p w14:paraId="2A67E931">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汽车喷涂完毕后，为了保证施工质量，使漆膜完成挥发固化，需要增加温度，加快表面干燥速度。常用加温方式包括红外加热，适用于局部小面积加温；热空气循环，通过加热空气并吹入喷烤漆房，提高房间整体温度，适用于喷涂面积大以及需要加温时间较长的情况；在汽车修补过程中最常用的还是热空气加热方式，只在局部需要快干的情况下采用红外加热，或吹风机加热，通常控制喷烤漆房温度在60</w:t>
      </w:r>
      <w:r>
        <w:rPr>
          <w:rFonts w:hint="default" w:ascii="Times New Roman" w:hAnsi="Times New Roman" w:cs="Times New Roman"/>
          <w:highlight w:val="none"/>
          <w:lang w:eastAsia="zh-CN"/>
        </w:rPr>
        <w:t>℃</w:t>
      </w:r>
      <w:r>
        <w:rPr>
          <w:rFonts w:hint="default" w:ascii="Times New Roman" w:hAnsi="Times New Roman" w:cs="Times New Roman"/>
          <w:highlight w:val="none"/>
        </w:rPr>
        <w:t>左右，对于小面积补漆，也有采用在喷烤漆房自然晾干的方式。</w:t>
      </w:r>
    </w:p>
    <w:p w14:paraId="57EEEA9C">
      <w:pPr>
        <w:keepNext w:val="0"/>
        <w:keepLines w:val="0"/>
        <w:pageBreakBefore w:val="0"/>
        <w:widowControl/>
        <w:kinsoku/>
        <w:wordWrap/>
        <w:autoSpaceDE/>
        <w:autoSpaceDN/>
        <w:bidi w:val="0"/>
        <w:rPr>
          <w:rFonts w:hint="default" w:ascii="Times New Roman" w:hAnsi="Times New Roman" w:cs="Times New Roman"/>
          <w:b/>
          <w:bCs/>
          <w:highlight w:val="none"/>
        </w:rPr>
      </w:pPr>
      <w:r>
        <w:rPr>
          <w:rFonts w:hint="default" w:ascii="Times New Roman" w:hAnsi="Times New Roman" w:cs="Times New Roman"/>
          <w:b/>
          <w:bCs/>
          <w:highlight w:val="none"/>
        </w:rPr>
        <w:t>（2）加热系统</w:t>
      </w:r>
    </w:p>
    <w:p w14:paraId="5A57E5F4">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通常喷烤漆房整体附有为烘干过程提供热量（加热空气）的加热系统，常用加热系统包括电加热和燃油机加热，通过电加热或燃油加热进入喷烤漆房的空气，使空气温度达到烘干所需温度，完成漆膜烘干成型。</w:t>
      </w:r>
    </w:p>
    <w:p w14:paraId="4A0CA3FC">
      <w:pPr>
        <w:keepNext w:val="0"/>
        <w:keepLines w:val="0"/>
        <w:pageBreakBefore w:val="0"/>
        <w:widowControl/>
        <w:kinsoku/>
        <w:wordWrap/>
        <w:autoSpaceDE/>
        <w:autoSpaceDN/>
        <w:bidi w:val="0"/>
        <w:ind w:firstLine="720"/>
        <w:rPr>
          <w:rFonts w:hint="default" w:ascii="Times New Roman" w:hAnsi="Times New Roman" w:cs="Times New Roman"/>
          <w:b/>
          <w:bCs/>
          <w:highlight w:val="none"/>
        </w:rPr>
      </w:pPr>
      <w:r>
        <w:rPr>
          <w:rFonts w:hint="default" w:ascii="Times New Roman" w:hAnsi="Times New Roman" w:cs="Times New Roman"/>
          <w:b/>
          <w:bCs/>
          <w:highlight w:val="none"/>
        </w:rPr>
        <w:t>（3）喷枪和供漆系统</w:t>
      </w:r>
    </w:p>
    <w:p w14:paraId="00BF196E">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喷枪的种类和型号很多，主要有以下几种分类方法：1）按供漆方式：吸上式、压送式、重力式；2）按喷嘴类型：对嘴式、单嘴式、扁嘴式；3）按雾化方式：枪内混合式、枪外混合式。通常汽车修补时汽车漆用量相对较少，采用吸上式和重力式即可满足修补漆用量。修补不同车辆时颜色更换频繁，采用漆壶调配，免去了压送式管道清洗的过程，节约时间，同时也可以减少清洗剂用量。</w:t>
      </w:r>
    </w:p>
    <w:p w14:paraId="02395C57">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lang w:eastAsia="zh-CN"/>
        </w:rPr>
        <w:t>汽车维修</w:t>
      </w:r>
      <w:r>
        <w:rPr>
          <w:rFonts w:hint="default" w:ascii="Times New Roman" w:hAnsi="Times New Roman" w:cs="Times New Roman"/>
          <w:highlight w:val="none"/>
        </w:rPr>
        <w:t>企业喷涂用喷枪通常以空气喷枪为主，空气喷枪虽然雾化效果较好，但是喷涂效率低，浪费汽车漆的同时也增加了对环境的污染。除了空气喷枪之外，常用喷枪还包括无气喷枪、气助喷枪等，另外一些喷涂效率较高的新型喷枪也逐渐被市场所采用：1）辅助式无气喷枪，综合了空气雾化式与高压无气式喷枪的优点，主要特点如下：比传统空气雾化喷枪节省材料25%~30%，比高压无气喷枪节省材料10%；供漆压力远远低于高压无气喷涂，由于其供漆压力较低，因此供漆量比较容易控制；空气消耗量低于空气雾化喷枪。2）HVLP系列喷枪，包括高流量低压力喷枪（HVLP）和低流量低压力喷枪（LVLP），具有以下特点：喷涂效率高，大约在65%~90%左右，与一般传统喷枪相比可节省涂料50%以上，雾束均匀，喷涂效率较高，利于环保，也是美国EPA指南中所推荐的喷枪。</w:t>
      </w:r>
    </w:p>
    <w:p w14:paraId="5EFDE833">
      <w:pPr>
        <w:keepNext w:val="0"/>
        <w:keepLines w:val="0"/>
        <w:pageBreakBefore w:val="0"/>
        <w:widowControl/>
        <w:kinsoku/>
        <w:wordWrap/>
        <w:autoSpaceDE/>
        <w:autoSpaceDN/>
        <w:bidi w:val="0"/>
        <w:ind w:firstLine="720"/>
        <w:rPr>
          <w:rFonts w:hint="default" w:ascii="Times New Roman" w:hAnsi="Times New Roman" w:cs="Times New Roman"/>
          <w:b/>
          <w:bCs/>
          <w:highlight w:val="none"/>
        </w:rPr>
      </w:pPr>
      <w:r>
        <w:rPr>
          <w:rFonts w:hint="default" w:ascii="Times New Roman" w:hAnsi="Times New Roman" w:cs="Times New Roman"/>
          <w:b/>
          <w:bCs/>
          <w:highlight w:val="none"/>
        </w:rPr>
        <w:t>（4）打磨系统</w:t>
      </w:r>
    </w:p>
    <w:p w14:paraId="51276401">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lang w:eastAsia="zh-CN"/>
        </w:rPr>
        <w:t>汽车维修</w:t>
      </w:r>
      <w:r>
        <w:rPr>
          <w:rFonts w:hint="default" w:ascii="Times New Roman" w:hAnsi="Times New Roman" w:cs="Times New Roman"/>
          <w:highlight w:val="none"/>
        </w:rPr>
        <w:t>工序中在钣金维修后、喷漆前需要对受损部位进行表面处理，一般来说包含清洗、除油污、润滑脂、打磨除锈等工作。表面清洗后，对损伤部分需要采用打磨系统去除掉已损坏的漆膜，对于待修补部位不大或部分外形比较复杂的情况下多采用手工砂纸打磨，对于待修补面积部位较大的情况多采用机械打磨，采用电动磨光机对基材表面进行打磨、砂光、抛光等操作。</w:t>
      </w:r>
    </w:p>
    <w:p w14:paraId="2AB3A9BA">
      <w:pPr>
        <w:pStyle w:val="3"/>
        <w:keepNext w:val="0"/>
        <w:keepLines w:val="0"/>
        <w:pageBreakBefore w:val="0"/>
        <w:widowControl/>
        <w:kinsoku/>
        <w:wordWrap/>
        <w:autoSpaceDE/>
        <w:autoSpaceDN/>
        <w:bidi w:val="0"/>
        <w:rPr>
          <w:rFonts w:hint="default" w:ascii="Times New Roman" w:hAnsi="Times New Roman" w:cs="Times New Roman"/>
          <w:highlight w:val="none"/>
        </w:rPr>
      </w:pPr>
      <w:bookmarkStart w:id="52" w:name="_Toc30148"/>
      <w:bookmarkStart w:id="53" w:name="_Toc29615"/>
      <w:r>
        <w:rPr>
          <w:rFonts w:hint="default" w:ascii="Times New Roman" w:hAnsi="Times New Roman" w:cs="Times New Roman"/>
          <w:highlight w:val="none"/>
          <w:lang w:eastAsia="zh-CN"/>
        </w:rPr>
        <w:t>汽车维修</w:t>
      </w:r>
      <w:r>
        <w:rPr>
          <w:rFonts w:hint="default" w:ascii="Times New Roman" w:hAnsi="Times New Roman" w:cs="Times New Roman"/>
          <w:highlight w:val="none"/>
        </w:rPr>
        <w:t>行业大气污染防治技术</w:t>
      </w:r>
      <w:bookmarkEnd w:id="52"/>
      <w:bookmarkEnd w:id="53"/>
      <w:r>
        <w:rPr>
          <w:rFonts w:hint="default" w:ascii="Times New Roman" w:hAnsi="Times New Roman" w:cs="Times New Roman"/>
          <w:highlight w:val="none"/>
        </w:rPr>
        <w:t xml:space="preserve"> </w:t>
      </w:r>
    </w:p>
    <w:p w14:paraId="7E40A854">
      <w:pPr>
        <w:pStyle w:val="4"/>
        <w:keepNext w:val="0"/>
        <w:keepLines w:val="0"/>
        <w:pageBreakBefore w:val="0"/>
        <w:widowControl/>
        <w:kinsoku/>
        <w:wordWrap/>
        <w:autoSpaceDE/>
        <w:autoSpaceDN/>
        <w:bidi w:val="0"/>
        <w:rPr>
          <w:rFonts w:hint="default" w:ascii="Times New Roman" w:hAnsi="Times New Roman" w:cs="Times New Roman"/>
          <w:highlight w:val="none"/>
        </w:rPr>
      </w:pPr>
      <w:bookmarkStart w:id="54" w:name="_Toc4871"/>
      <w:bookmarkStart w:id="55" w:name="_Toc12534"/>
      <w:r>
        <w:rPr>
          <w:rFonts w:hint="default" w:ascii="Times New Roman" w:hAnsi="Times New Roman" w:cs="Times New Roman"/>
          <w:highlight w:val="none"/>
        </w:rPr>
        <w:t>源头控制</w:t>
      </w:r>
      <w:bookmarkEnd w:id="54"/>
      <w:bookmarkEnd w:id="55"/>
    </w:p>
    <w:p w14:paraId="224D11EF">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lang w:eastAsia="zh-CN"/>
        </w:rPr>
        <w:t>汽车维修</w:t>
      </w:r>
      <w:r>
        <w:rPr>
          <w:rFonts w:hint="default" w:ascii="Times New Roman" w:hAnsi="Times New Roman" w:cs="Times New Roman"/>
          <w:highlight w:val="none"/>
        </w:rPr>
        <w:t>行业</w:t>
      </w:r>
      <w:r>
        <w:rPr>
          <w:rFonts w:hint="default" w:ascii="Times New Roman" w:hAnsi="Times New Roman" w:cs="Times New Roman"/>
          <w:highlight w:val="none"/>
          <w:lang w:eastAsia="zh-CN"/>
        </w:rPr>
        <w:t>VOCs</w:t>
      </w:r>
      <w:r>
        <w:rPr>
          <w:rFonts w:hint="default" w:ascii="Times New Roman" w:hAnsi="Times New Roman" w:cs="Times New Roman"/>
          <w:highlight w:val="none"/>
        </w:rPr>
        <w:t>主要来源于修补用料，包括腻子</w:t>
      </w:r>
      <w:r>
        <w:rPr>
          <w:rFonts w:hint="default" w:ascii="Times New Roman" w:hAnsi="Times New Roman" w:cs="Times New Roman"/>
          <w:highlight w:val="none"/>
          <w:lang w:eastAsia="zh-CN"/>
        </w:rPr>
        <w:t>、</w:t>
      </w:r>
      <w:r>
        <w:rPr>
          <w:rFonts w:hint="default" w:ascii="Times New Roman" w:hAnsi="Times New Roman" w:cs="Times New Roman"/>
          <w:highlight w:val="none"/>
        </w:rPr>
        <w:t>底漆</w:t>
      </w:r>
      <w:r>
        <w:rPr>
          <w:rFonts w:hint="default" w:ascii="Times New Roman" w:hAnsi="Times New Roman" w:cs="Times New Roman"/>
          <w:highlight w:val="none"/>
          <w:lang w:eastAsia="zh-CN"/>
        </w:rPr>
        <w:t>、</w:t>
      </w:r>
      <w:r>
        <w:rPr>
          <w:rFonts w:hint="default" w:ascii="Times New Roman" w:hAnsi="Times New Roman" w:cs="Times New Roman"/>
          <w:highlight w:val="none"/>
        </w:rPr>
        <w:t>中涂</w:t>
      </w:r>
      <w:r>
        <w:rPr>
          <w:rFonts w:hint="default" w:ascii="Times New Roman" w:hAnsi="Times New Roman" w:cs="Times New Roman"/>
          <w:highlight w:val="none"/>
          <w:lang w:eastAsia="zh-CN"/>
        </w:rPr>
        <w:t>、</w:t>
      </w:r>
      <w:r>
        <w:rPr>
          <w:rFonts w:hint="default" w:ascii="Times New Roman" w:hAnsi="Times New Roman" w:cs="Times New Roman"/>
          <w:highlight w:val="none"/>
        </w:rPr>
        <w:t>色漆</w:t>
      </w:r>
      <w:r>
        <w:rPr>
          <w:rFonts w:hint="default" w:ascii="Times New Roman" w:hAnsi="Times New Roman" w:cs="Times New Roman"/>
          <w:highlight w:val="none"/>
          <w:lang w:eastAsia="zh-CN"/>
        </w:rPr>
        <w:t>、</w:t>
      </w:r>
      <w:r>
        <w:rPr>
          <w:rFonts w:hint="default" w:ascii="Times New Roman" w:hAnsi="Times New Roman" w:cs="Times New Roman"/>
          <w:highlight w:val="none"/>
        </w:rPr>
        <w:t>清漆、稀释剂、固化剂等，其中色漆与清漆的使用量最大，分别约占所有油漆使用量的40%与30%。依照工艺、质量要求选择合适的低</w:t>
      </w:r>
      <w:r>
        <w:rPr>
          <w:rFonts w:hint="default" w:ascii="Times New Roman" w:hAnsi="Times New Roman" w:cs="Times New Roman"/>
          <w:highlight w:val="none"/>
          <w:lang w:val="en-US" w:eastAsia="zh-CN"/>
        </w:rPr>
        <w:t>VOCs</w:t>
      </w:r>
      <w:r>
        <w:rPr>
          <w:rFonts w:hint="default" w:ascii="Times New Roman" w:hAnsi="Times New Roman" w:cs="Times New Roman"/>
          <w:highlight w:val="none"/>
        </w:rPr>
        <w:t>含量的原料替代，可以有效减少VOCs的排放。</w:t>
      </w:r>
    </w:p>
    <w:p w14:paraId="3B4EB14F">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底漆、中涂与清漆鉴于遮盖力、抗撞击性、膜厚、表面保护、干燥速度与工艺等要求，主要通过使用高固份涂料进行替代，水性性质涂料也有一定应用，从而削减VOCs排放。</w:t>
      </w:r>
    </w:p>
    <w:p w14:paraId="1EB4D532">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色漆主要以水性漆替代为主，近年来已有大量的推广和应用。水性色漆相较于传统的溶剂型色漆价格略高，同时对工艺的要求比较严格，汽车维修行业用水性漆代替溶剂型涂料喷涂需要对喷漆房的空气条件，温度条件，湿度条件进行严格的控制，再配备专用的水性漆喷枪，水性漆吹风枪，水性漆洗枪机，工艺改造难度不大，技术上可行。</w:t>
      </w:r>
    </w:p>
    <w:p w14:paraId="10987CEA">
      <w:pPr>
        <w:keepNext w:val="0"/>
        <w:keepLines w:val="0"/>
        <w:pageBreakBefore w:val="0"/>
        <w:widowControl/>
        <w:kinsoku/>
        <w:wordWrap/>
        <w:autoSpaceDE/>
        <w:autoSpaceDN/>
        <w:bidi w:val="0"/>
        <w:rPr>
          <w:rFonts w:hint="default" w:ascii="Times New Roman" w:hAnsi="Times New Roman" w:cs="Times New Roman"/>
          <w:color w:val="000000"/>
          <w:highlight w:val="none"/>
        </w:rPr>
      </w:pPr>
      <w:r>
        <w:rPr>
          <w:rFonts w:hint="default" w:ascii="Times New Roman" w:hAnsi="Times New Roman" w:cs="Times New Roman"/>
          <w:highlight w:val="none"/>
        </w:rPr>
        <w:t>清洗剂以水基型和半水基型清洗剂替代为主，VOCs含量相对较低，这种水性的清洗剂大约包含80%的水，15%的溶剂和5%的表面活性剂，经乳化后可以对汽车表面进行除油。相较于纯溶剂清洗剂可用于车辆前处理、稀释和喷枪清洗，水性清洗剂用途比较单一，</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店倾向于购买溶剂型清洗剂以降低成本，使得此类清洗剂推广受到一定阻碍。但是使用低VOCs清洗剂可以降低VOCs总排放，技术上可行。</w:t>
      </w:r>
      <w:r>
        <w:rPr>
          <w:rFonts w:hint="default" w:ascii="Times New Roman" w:hAnsi="Times New Roman" w:cs="Times New Roman"/>
          <w:color w:val="000000"/>
          <w:highlight w:val="none"/>
        </w:rPr>
        <w:t xml:space="preserve">  </w:t>
      </w:r>
    </w:p>
    <w:p w14:paraId="2B716865">
      <w:pPr>
        <w:pStyle w:val="4"/>
        <w:keepNext w:val="0"/>
        <w:keepLines w:val="0"/>
        <w:pageBreakBefore w:val="0"/>
        <w:widowControl/>
        <w:kinsoku/>
        <w:wordWrap/>
        <w:autoSpaceDE/>
        <w:autoSpaceDN/>
        <w:bidi w:val="0"/>
        <w:rPr>
          <w:rFonts w:hint="default" w:ascii="Times New Roman" w:hAnsi="Times New Roman" w:cs="Times New Roman"/>
          <w:highlight w:val="none"/>
        </w:rPr>
      </w:pPr>
      <w:bookmarkStart w:id="56" w:name="_Toc2415"/>
      <w:bookmarkStart w:id="57" w:name="_Toc55"/>
      <w:r>
        <w:rPr>
          <w:rFonts w:hint="default" w:ascii="Times New Roman" w:hAnsi="Times New Roman" w:cs="Times New Roman"/>
          <w:highlight w:val="none"/>
        </w:rPr>
        <w:t>过程控制</w:t>
      </w:r>
      <w:bookmarkEnd w:id="56"/>
      <w:bookmarkEnd w:id="57"/>
    </w:p>
    <w:p w14:paraId="5FE7EFED">
      <w:pPr>
        <w:keepNext w:val="0"/>
        <w:keepLines w:val="0"/>
        <w:pageBreakBefore w:val="0"/>
        <w:widowControl/>
        <w:kinsoku/>
        <w:wordWrap/>
        <w:autoSpaceDE/>
        <w:autoSpaceDN/>
        <w:bidi w:val="0"/>
        <w:rPr>
          <w:rFonts w:hint="default" w:ascii="Times New Roman" w:hAnsi="Times New Roman" w:cs="Times New Roman"/>
          <w:b/>
          <w:bCs/>
          <w:highlight w:val="none"/>
        </w:rPr>
      </w:pPr>
      <w:r>
        <w:rPr>
          <w:rFonts w:hint="default" w:ascii="Times New Roman" w:hAnsi="Times New Roman" w:cs="Times New Roman"/>
          <w:b/>
          <w:bCs/>
          <w:highlight w:val="none"/>
        </w:rPr>
        <w:t>（1）物料存储、运输</w:t>
      </w:r>
    </w:p>
    <w:p w14:paraId="4A6E915F">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油漆、稀释剂、固化剂、腻子等VOCs物料应存储于密闭容器、包装袋、储库、料仓中，盛装VOCs物料的容器或包装袋应存放于室内，或存放于设置有雨棚、遮阳和防渗设施的场地；在非取用状态应加盖、封口，保持密闭；转运过程应采用密闭容器，推荐使用密闭管道输送。</w:t>
      </w:r>
    </w:p>
    <w:p w14:paraId="440A1351">
      <w:pPr>
        <w:keepNext w:val="0"/>
        <w:keepLines w:val="0"/>
        <w:pageBreakBefore w:val="0"/>
        <w:widowControl/>
        <w:kinsoku/>
        <w:wordWrap/>
        <w:autoSpaceDE/>
        <w:autoSpaceDN/>
        <w:bidi w:val="0"/>
        <w:ind w:firstLine="720"/>
        <w:rPr>
          <w:rFonts w:hint="default" w:ascii="Times New Roman" w:hAnsi="Times New Roman" w:cs="Times New Roman"/>
          <w:b/>
          <w:bCs/>
          <w:highlight w:val="none"/>
        </w:rPr>
      </w:pPr>
      <w:r>
        <w:rPr>
          <w:rFonts w:hint="default" w:ascii="Times New Roman" w:hAnsi="Times New Roman" w:cs="Times New Roman"/>
          <w:b/>
          <w:bCs/>
          <w:highlight w:val="none"/>
        </w:rPr>
        <w:t>（2）表面处理</w:t>
      </w:r>
    </w:p>
    <w:p w14:paraId="68C20DD9">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汽车修理过程中的表面处理包括打磨、刮腻子、抛光等流程，由于腻子中也含有</w:t>
      </w:r>
      <w:r>
        <w:rPr>
          <w:rFonts w:hint="default" w:ascii="Times New Roman" w:hAnsi="Times New Roman" w:cs="Times New Roman"/>
          <w:highlight w:val="none"/>
          <w:lang w:eastAsia="zh-CN"/>
        </w:rPr>
        <w:t>VOCs</w:t>
      </w:r>
      <w:r>
        <w:rPr>
          <w:rFonts w:hint="default" w:ascii="Times New Roman" w:hAnsi="Times New Roman" w:cs="Times New Roman"/>
          <w:highlight w:val="none"/>
        </w:rPr>
        <w:t>，可能在使用过程中产生</w:t>
      </w:r>
      <w:r>
        <w:rPr>
          <w:rFonts w:hint="default" w:ascii="Times New Roman" w:hAnsi="Times New Roman" w:cs="Times New Roman"/>
          <w:highlight w:val="none"/>
          <w:lang w:eastAsia="zh-CN"/>
        </w:rPr>
        <w:t>VOCs</w:t>
      </w:r>
      <w:r>
        <w:rPr>
          <w:rFonts w:hint="default" w:ascii="Times New Roman" w:hAnsi="Times New Roman" w:cs="Times New Roman"/>
          <w:highlight w:val="none"/>
        </w:rPr>
        <w:t>逸散，同时打磨工序存在颗粒物的排放。建议表面前处理打磨、腻子等工序应在密闭空间内进行，未在密闭空间内进行的应配备专用的治理设施。</w:t>
      </w:r>
    </w:p>
    <w:p w14:paraId="5DE8352E">
      <w:pPr>
        <w:keepNext w:val="0"/>
        <w:keepLines w:val="0"/>
        <w:pageBreakBefore w:val="0"/>
        <w:widowControl/>
        <w:kinsoku/>
        <w:wordWrap/>
        <w:autoSpaceDE/>
        <w:autoSpaceDN/>
        <w:bidi w:val="0"/>
        <w:ind w:firstLine="720"/>
        <w:rPr>
          <w:rFonts w:hint="default" w:ascii="Times New Roman" w:hAnsi="Times New Roman" w:cs="Times New Roman"/>
          <w:b/>
          <w:bCs/>
          <w:highlight w:val="none"/>
        </w:rPr>
      </w:pPr>
      <w:r>
        <w:rPr>
          <w:rFonts w:hint="default" w:ascii="Times New Roman" w:hAnsi="Times New Roman" w:cs="Times New Roman"/>
          <w:b/>
          <w:bCs/>
          <w:highlight w:val="none"/>
        </w:rPr>
        <w:t>（3）调漆</w:t>
      </w:r>
    </w:p>
    <w:p w14:paraId="081C2684">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调漆包括混合基料、稀释剂、固化剂、色漆等，是喷漆前必不可少的一个环节，调漆过程应在专用的调配间或其他密闭空间内进行，同时建议使用调漆浆盖进行作业。调漆浆盖具有密封性好，精确控制出漆量，并且可以在取用油漆的时候最大限度地减少VOCs的无组织逸散。</w:t>
      </w:r>
    </w:p>
    <w:p w14:paraId="4100E232">
      <w:pPr>
        <w:keepNext w:val="0"/>
        <w:keepLines w:val="0"/>
        <w:pageBreakBefore w:val="0"/>
        <w:widowControl/>
        <w:kinsoku/>
        <w:wordWrap/>
        <w:autoSpaceDE/>
        <w:autoSpaceDN/>
        <w:bidi w:val="0"/>
        <w:ind w:firstLine="720"/>
        <w:rPr>
          <w:rFonts w:hint="default" w:ascii="Times New Roman" w:hAnsi="Times New Roman" w:cs="Times New Roman"/>
          <w:b/>
          <w:bCs/>
          <w:highlight w:val="none"/>
        </w:rPr>
      </w:pPr>
      <w:r>
        <w:rPr>
          <w:rFonts w:hint="default" w:ascii="Times New Roman" w:hAnsi="Times New Roman" w:cs="Times New Roman"/>
          <w:b/>
          <w:bCs/>
          <w:highlight w:val="none"/>
        </w:rPr>
        <w:t>（4）喷烤漆</w:t>
      </w:r>
    </w:p>
    <w:p w14:paraId="79B55940">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汽车维修必须配备喷烤漆房及设备，并且需通过交通产品认证，进行喷漆作业的</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店均应配备至少一间喷烤漆房。所有喷漆施工，不论单一漆面修补或整车喷涂，均须在喷烤漆房内进行。喷烤漆作业过程中喷漆房须处于密闭，排风开启状态，最高限度收集漆雾与喷漆废气。喷漆间需要定期维护，避免由于喷漆间的损坏或不能密封造成不必要的VOCs排放。</w:t>
      </w:r>
    </w:p>
    <w:p w14:paraId="11DC1935">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在喷漆的过程中，鼓励采用静电喷涂、高压无气喷技术，减少使用空气喷涂技术。应使用喷涂效率较高的喷枪，推荐使用高流低压喷枪（HVLP）可以提高传质效率，增加喷涂的附着率，减少油漆使用量，减少VOCs的排放。美国、欧盟、香港等地发布的</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行业指南中也提到高流量低压（HVLP）喷枪比一般的高压喷枪节省物料多达20%~25%，同时HVLP喷枪以极低的风帽雾化压力雾化涂料，提高油漆的附着力，减少飞散及反弹，可有效降低VOCs排放约30%~45%。</w:t>
      </w:r>
    </w:p>
    <w:p w14:paraId="199900F0">
      <w:pPr>
        <w:keepNext w:val="0"/>
        <w:keepLines w:val="0"/>
        <w:pageBreakBefore w:val="0"/>
        <w:widowControl/>
        <w:kinsoku/>
        <w:wordWrap/>
        <w:autoSpaceDE/>
        <w:autoSpaceDN/>
        <w:bidi w:val="0"/>
        <w:ind w:firstLine="720"/>
        <w:rPr>
          <w:rFonts w:hint="default" w:ascii="Times New Roman" w:hAnsi="Times New Roman" w:cs="Times New Roman"/>
          <w:b/>
          <w:bCs/>
          <w:highlight w:val="none"/>
        </w:rPr>
      </w:pPr>
      <w:r>
        <w:rPr>
          <w:rFonts w:hint="default" w:ascii="Times New Roman" w:hAnsi="Times New Roman" w:cs="Times New Roman"/>
          <w:b/>
          <w:bCs/>
          <w:highlight w:val="none"/>
        </w:rPr>
        <w:t>（5）清洗</w:t>
      </w:r>
    </w:p>
    <w:p w14:paraId="08C35958">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受成本及操作便捷性的影响，</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企业多使用纯溶剂稀释剂来进行清洗，清洗过程应采用密闭设备或在密闭空间内进行操作，废气应排至VOCs废气收集处理系统；无法密闭的，应采取局部气体收集措施后进行处理。采用集气罩对废气进行局部收集的，集气罩设施应符合GB/T 16758的规定，采用外部排风罩的，最远控制点风速不应低于0.3m/s。根据香港环境保护署“应用含低挥发性有机化合物及水溶性汽车修补漆所需设备技术指引”，在清洗的过程中，使用喷枪清洗机可以有效减少VOCs的挥发，并且及时有效地收集废旧溶剂，将整个清洗工序的VOCs排放降低，是一种高效环保的喷枪清洗设备。</w:t>
      </w:r>
    </w:p>
    <w:p w14:paraId="3BAC7A17">
      <w:pPr>
        <w:pStyle w:val="4"/>
        <w:keepNext w:val="0"/>
        <w:keepLines w:val="0"/>
        <w:pageBreakBefore w:val="0"/>
        <w:widowControl/>
        <w:kinsoku/>
        <w:wordWrap/>
        <w:autoSpaceDE/>
        <w:autoSpaceDN/>
        <w:bidi w:val="0"/>
        <w:rPr>
          <w:rFonts w:hint="default" w:ascii="Times New Roman" w:hAnsi="Times New Roman" w:cs="Times New Roman"/>
          <w:highlight w:val="none"/>
        </w:rPr>
      </w:pPr>
      <w:bookmarkStart w:id="58" w:name="_Toc15305"/>
      <w:bookmarkStart w:id="59" w:name="_Toc12077"/>
      <w:r>
        <w:rPr>
          <w:rFonts w:hint="default" w:ascii="Times New Roman" w:hAnsi="Times New Roman" w:cs="Times New Roman"/>
          <w:highlight w:val="none"/>
        </w:rPr>
        <w:t>末端控制</w:t>
      </w:r>
      <w:bookmarkEnd w:id="58"/>
      <w:bookmarkEnd w:id="59"/>
    </w:p>
    <w:p w14:paraId="5382D457">
      <w:pPr>
        <w:keepNext w:val="0"/>
        <w:keepLines w:val="0"/>
        <w:pageBreakBefore w:val="0"/>
        <w:widowControl/>
        <w:kinsoku/>
        <w:wordWrap/>
        <w:autoSpaceDE/>
        <w:autoSpaceDN/>
        <w:bidi w:val="0"/>
        <w:rPr>
          <w:rFonts w:hint="default" w:ascii="Times New Roman" w:hAnsi="Times New Roman" w:eastAsia="宋体" w:cs="Times New Roman"/>
          <w:highlight w:val="none"/>
          <w:lang w:eastAsia="zh-CN"/>
        </w:rPr>
      </w:pPr>
      <w:r>
        <w:rPr>
          <w:rFonts w:hint="default" w:ascii="Times New Roman" w:hAnsi="Times New Roman" w:cs="Times New Roman"/>
          <w:highlight w:val="none"/>
        </w:rPr>
        <w:t>末端治理设施是指采用收集装置收集所产生的废气，并通过治理技术进行处理，减少排放废气中的</w:t>
      </w:r>
      <w:r>
        <w:rPr>
          <w:rFonts w:hint="default" w:ascii="Times New Roman" w:hAnsi="Times New Roman" w:cs="Times New Roman"/>
          <w:highlight w:val="none"/>
          <w:lang w:eastAsia="zh-CN"/>
        </w:rPr>
        <w:t>VOCs</w:t>
      </w:r>
      <w:r>
        <w:rPr>
          <w:rFonts w:hint="default" w:ascii="Times New Roman" w:hAnsi="Times New Roman" w:cs="Times New Roman"/>
          <w:highlight w:val="none"/>
        </w:rPr>
        <w:t>浓度，达标排放。</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行业为间歇式作业，喷漆废气中含有漆雾颗粒及VOCs等成分</w:t>
      </w:r>
      <w:r>
        <w:rPr>
          <w:rFonts w:hint="default" w:ascii="Times New Roman" w:hAnsi="Times New Roman" w:cs="Times New Roman"/>
          <w:highlight w:val="none"/>
          <w:lang w:eastAsia="zh-CN"/>
        </w:rPr>
        <w:t>。</w:t>
      </w:r>
    </w:p>
    <w:p w14:paraId="7D888AF6">
      <w:pPr>
        <w:keepNext w:val="0"/>
        <w:keepLines w:val="0"/>
        <w:pageBreakBefore w:val="0"/>
        <w:widowControl/>
        <w:kinsoku/>
        <w:wordWrap/>
        <w:autoSpaceDE/>
        <w:autoSpaceDN/>
        <w:bidi w:val="0"/>
        <w:rPr>
          <w:rFonts w:hint="default" w:ascii="Times New Roman" w:hAnsi="Times New Roman" w:cs="Times New Roman"/>
          <w:b/>
          <w:bCs/>
          <w:highlight w:val="none"/>
        </w:rPr>
      </w:pPr>
      <w:r>
        <w:rPr>
          <w:rFonts w:hint="default" w:ascii="Times New Roman" w:hAnsi="Times New Roman" w:cs="Times New Roman"/>
          <w:b/>
          <w:bCs/>
          <w:highlight w:val="none"/>
          <w:lang w:eastAsia="zh-CN"/>
        </w:rPr>
        <w:t>（</w:t>
      </w:r>
      <w:r>
        <w:rPr>
          <w:rFonts w:hint="default" w:ascii="Times New Roman" w:hAnsi="Times New Roman" w:cs="Times New Roman"/>
          <w:b/>
          <w:bCs/>
          <w:highlight w:val="none"/>
          <w:lang w:val="en-US" w:eastAsia="zh-CN"/>
        </w:rPr>
        <w:t>1</w:t>
      </w:r>
      <w:r>
        <w:rPr>
          <w:rFonts w:hint="default" w:ascii="Times New Roman" w:hAnsi="Times New Roman" w:cs="Times New Roman"/>
          <w:b/>
          <w:bCs/>
          <w:highlight w:val="none"/>
          <w:lang w:eastAsia="zh-CN"/>
        </w:rPr>
        <w:t>）</w:t>
      </w:r>
      <w:r>
        <w:rPr>
          <w:rFonts w:hint="default" w:ascii="Times New Roman" w:hAnsi="Times New Roman" w:cs="Times New Roman"/>
          <w:b/>
          <w:bCs/>
          <w:highlight w:val="none"/>
        </w:rPr>
        <w:t>喷涂漆雾治理技术</w:t>
      </w:r>
    </w:p>
    <w:p w14:paraId="00548E46">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喷涂修复汽车表面过程中，通常存在大量的过喷涂漆雾，漆雾中液体溶剂和固体颗粒物并存，而液体溶剂以气溶胶的形式存在，其颗粒度小、黏度大，需要对漆雾颗粒进行高效收集和治理，否则极易造成环境污染与破坏。针对漆雾颗粒物治理技术，主要使用干式去除法和湿式去除法。</w:t>
      </w:r>
    </w:p>
    <w:p w14:paraId="50A613F3">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干式去除法是指利用过滤材料对漆雾进行过滤与拦截，所采用的主要材料有地网棉、初效棉、中效棉、漆雾棉、迷宫纸和玻纤阻漆网等，并且需定期更换过滤材料。具体过程为：过滤材料被固定在过滤装置上，风机将含有漆雾的废气抽入后经过过滤材料，风速降低，漆雾颗粒被截留、黏附在滤料上，废气经过过滤后，颗粒物明显降低至相关排放标准，减少向空气中排放。</w:t>
      </w:r>
    </w:p>
    <w:p w14:paraId="6997316C">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湿式去除法是一种利用液态物质喷淋来捕捉喷漆颗粒物的技术。所采用的液态物质多为水溶液，利用水旋式、文丘里式、水帘式(水幕式)等方式，促进水与漆雾充分混合捕捉颗粒物，从而达到降低颗粒物排放的效果。其中，为实现固液分离、净化循环水，从而提高利用率并且降低成本，通常会在水中添加絮凝剂。此技术会增加废水处理的费用。</w:t>
      </w:r>
    </w:p>
    <w:p w14:paraId="18680201">
      <w:pPr>
        <w:keepNext w:val="0"/>
        <w:keepLines w:val="0"/>
        <w:pageBreakBefore w:val="0"/>
        <w:widowControl/>
        <w:kinsoku/>
        <w:wordWrap/>
        <w:autoSpaceDE/>
        <w:autoSpaceDN/>
        <w:bidi w:val="0"/>
        <w:ind w:left="0" w:leftChars="0" w:firstLine="0" w:firstLineChars="0"/>
        <w:jc w:val="center"/>
        <w:rPr>
          <w:rFonts w:hint="default" w:ascii="Times New Roman" w:hAnsi="Times New Roman" w:cs="Times New Roman"/>
          <w:highlight w:val="none"/>
          <w:lang w:val="en-US" w:eastAsia="zh-CN"/>
        </w:rPr>
      </w:pPr>
      <w:r>
        <w:rPr>
          <w:rFonts w:hint="default" w:ascii="Times New Roman" w:hAnsi="Times New Roman" w:cs="Times New Roman"/>
          <w:highlight w:val="none"/>
          <w:lang w:val="en-US" w:eastAsia="zh-CN"/>
        </w:rPr>
        <w:t>表4.3-1 汽车维修行业漆雾处理技术</w:t>
      </w:r>
    </w:p>
    <w:tbl>
      <w:tblPr>
        <w:tblStyle w:val="2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26"/>
        <w:gridCol w:w="2410"/>
        <w:gridCol w:w="2409"/>
        <w:gridCol w:w="2177"/>
      </w:tblGrid>
      <w:tr w14:paraId="528AB2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6" w:hRule="atLeast"/>
          <w:tblHeader/>
        </w:trPr>
        <w:tc>
          <w:tcPr>
            <w:tcW w:w="1526" w:type="dxa"/>
            <w:vAlign w:val="center"/>
          </w:tcPr>
          <w:p w14:paraId="5D79AD77">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b/>
                <w:color w:val="000000"/>
                <w:sz w:val="21"/>
                <w:szCs w:val="21"/>
                <w:highlight w:val="none"/>
              </w:rPr>
            </w:pPr>
            <w:r>
              <w:rPr>
                <w:rFonts w:hint="default" w:ascii="Times New Roman" w:hAnsi="Times New Roman" w:cs="Times New Roman" w:eastAsiaTheme="minorEastAsia"/>
                <w:b/>
                <w:color w:val="000000"/>
                <w:sz w:val="21"/>
                <w:szCs w:val="21"/>
                <w:highlight w:val="none"/>
              </w:rPr>
              <w:t>处理技术</w:t>
            </w:r>
          </w:p>
        </w:tc>
        <w:tc>
          <w:tcPr>
            <w:tcW w:w="2410" w:type="dxa"/>
            <w:vAlign w:val="center"/>
          </w:tcPr>
          <w:p w14:paraId="0D01C4C4">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b/>
                <w:color w:val="000000"/>
                <w:sz w:val="21"/>
                <w:szCs w:val="21"/>
                <w:highlight w:val="none"/>
              </w:rPr>
            </w:pPr>
            <w:r>
              <w:rPr>
                <w:rFonts w:hint="default" w:ascii="Times New Roman" w:hAnsi="Times New Roman" w:cs="Times New Roman" w:eastAsiaTheme="minorEastAsia"/>
                <w:b/>
                <w:color w:val="000000"/>
                <w:sz w:val="21"/>
                <w:szCs w:val="21"/>
                <w:highlight w:val="none"/>
              </w:rPr>
              <w:t>优点</w:t>
            </w:r>
          </w:p>
        </w:tc>
        <w:tc>
          <w:tcPr>
            <w:tcW w:w="2409" w:type="dxa"/>
            <w:vAlign w:val="center"/>
          </w:tcPr>
          <w:p w14:paraId="44D47E69">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b/>
                <w:color w:val="000000"/>
                <w:sz w:val="21"/>
                <w:szCs w:val="21"/>
                <w:highlight w:val="none"/>
              </w:rPr>
            </w:pPr>
            <w:r>
              <w:rPr>
                <w:rFonts w:hint="default" w:ascii="Times New Roman" w:hAnsi="Times New Roman" w:cs="Times New Roman" w:eastAsiaTheme="minorEastAsia"/>
                <w:b/>
                <w:color w:val="000000"/>
                <w:sz w:val="21"/>
                <w:szCs w:val="21"/>
                <w:highlight w:val="none"/>
              </w:rPr>
              <w:t>缺点</w:t>
            </w:r>
          </w:p>
        </w:tc>
        <w:tc>
          <w:tcPr>
            <w:tcW w:w="2177" w:type="dxa"/>
            <w:vAlign w:val="center"/>
          </w:tcPr>
          <w:p w14:paraId="2C1C3D14">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b/>
                <w:color w:val="000000"/>
                <w:sz w:val="21"/>
                <w:szCs w:val="21"/>
                <w:highlight w:val="none"/>
              </w:rPr>
            </w:pPr>
            <w:r>
              <w:rPr>
                <w:rFonts w:hint="default" w:ascii="Times New Roman" w:hAnsi="Times New Roman" w:cs="Times New Roman" w:eastAsiaTheme="minorEastAsia"/>
                <w:b/>
                <w:color w:val="000000"/>
                <w:sz w:val="21"/>
                <w:szCs w:val="21"/>
                <w:highlight w:val="none"/>
              </w:rPr>
              <w:t>适用条件</w:t>
            </w:r>
          </w:p>
        </w:tc>
      </w:tr>
      <w:tr w14:paraId="57833C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7" w:hRule="atLeast"/>
        </w:trPr>
        <w:tc>
          <w:tcPr>
            <w:tcW w:w="1526" w:type="dxa"/>
            <w:vAlign w:val="center"/>
          </w:tcPr>
          <w:p w14:paraId="01F04276">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sz w:val="21"/>
                <w:szCs w:val="21"/>
                <w:highlight w:val="none"/>
              </w:rPr>
            </w:pPr>
            <w:r>
              <w:rPr>
                <w:rFonts w:hint="default" w:ascii="Times New Roman" w:hAnsi="Times New Roman" w:cs="Times New Roman" w:eastAsiaTheme="minorEastAsia"/>
                <w:color w:val="000000"/>
                <w:sz w:val="21"/>
                <w:szCs w:val="21"/>
                <w:highlight w:val="none"/>
              </w:rPr>
              <w:t>干式去除法</w:t>
            </w:r>
          </w:p>
        </w:tc>
        <w:tc>
          <w:tcPr>
            <w:tcW w:w="2410" w:type="dxa"/>
            <w:vAlign w:val="center"/>
          </w:tcPr>
          <w:p w14:paraId="08B13EFE">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cs="Times New Roman" w:eastAsiaTheme="minorEastAsia"/>
                <w:color w:val="000000"/>
                <w:sz w:val="21"/>
                <w:szCs w:val="21"/>
                <w:highlight w:val="none"/>
              </w:rPr>
            </w:pPr>
            <w:r>
              <w:rPr>
                <w:rFonts w:hint="default" w:ascii="Times New Roman" w:hAnsi="Times New Roman" w:cs="Times New Roman" w:eastAsiaTheme="minorEastAsia"/>
                <w:color w:val="000000"/>
                <w:sz w:val="21"/>
                <w:szCs w:val="21"/>
                <w:highlight w:val="none"/>
              </w:rPr>
              <w:t>捕捉效率高(约为98%)；无水污染问题；设备简单，噪音小，能耗低</w:t>
            </w:r>
          </w:p>
        </w:tc>
        <w:tc>
          <w:tcPr>
            <w:tcW w:w="2409" w:type="dxa"/>
            <w:vAlign w:val="center"/>
          </w:tcPr>
          <w:p w14:paraId="376F4AA0">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cs="Times New Roman" w:eastAsiaTheme="minorEastAsia"/>
                <w:color w:val="000000"/>
                <w:sz w:val="21"/>
                <w:szCs w:val="21"/>
                <w:highlight w:val="none"/>
              </w:rPr>
            </w:pPr>
            <w:r>
              <w:rPr>
                <w:rFonts w:hint="default" w:ascii="Times New Roman" w:hAnsi="Times New Roman" w:cs="Times New Roman" w:eastAsiaTheme="minorEastAsia"/>
                <w:color w:val="000000"/>
                <w:sz w:val="21"/>
                <w:szCs w:val="21"/>
                <w:highlight w:val="none"/>
              </w:rPr>
              <w:t>需要频繁更换过滤材料；清理、维护工作频繁；过滤漆雾不彻底，设备污染严重</w:t>
            </w:r>
          </w:p>
        </w:tc>
        <w:tc>
          <w:tcPr>
            <w:tcW w:w="2177" w:type="dxa"/>
            <w:vAlign w:val="center"/>
          </w:tcPr>
          <w:p w14:paraId="72573268">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cs="Times New Roman" w:eastAsiaTheme="minorEastAsia"/>
                <w:color w:val="000000"/>
                <w:sz w:val="21"/>
                <w:szCs w:val="21"/>
                <w:highlight w:val="none"/>
              </w:rPr>
            </w:pPr>
            <w:r>
              <w:rPr>
                <w:rFonts w:hint="default" w:ascii="Times New Roman" w:hAnsi="Times New Roman" w:cs="Times New Roman" w:eastAsiaTheme="minorEastAsia"/>
                <w:color w:val="000000"/>
                <w:sz w:val="21"/>
                <w:szCs w:val="21"/>
                <w:highlight w:val="none"/>
              </w:rPr>
              <w:t>工件体积小，相对而言更适合</w:t>
            </w:r>
            <w:r>
              <w:rPr>
                <w:rFonts w:hint="default" w:ascii="Times New Roman" w:hAnsi="Times New Roman" w:cs="Times New Roman" w:eastAsiaTheme="minorEastAsia"/>
                <w:color w:val="000000"/>
                <w:sz w:val="21"/>
                <w:szCs w:val="21"/>
                <w:highlight w:val="none"/>
                <w:lang w:eastAsia="zh-CN"/>
              </w:rPr>
              <w:t>汽车维修</w:t>
            </w:r>
            <w:r>
              <w:rPr>
                <w:rFonts w:hint="default" w:ascii="Times New Roman" w:hAnsi="Times New Roman" w:cs="Times New Roman" w:eastAsiaTheme="minorEastAsia"/>
                <w:color w:val="000000"/>
                <w:sz w:val="21"/>
                <w:szCs w:val="21"/>
                <w:highlight w:val="none"/>
              </w:rPr>
              <w:t>喷涂行业</w:t>
            </w:r>
          </w:p>
        </w:tc>
      </w:tr>
      <w:tr w14:paraId="21C6F9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7" w:hRule="atLeast"/>
        </w:trPr>
        <w:tc>
          <w:tcPr>
            <w:tcW w:w="1526" w:type="dxa"/>
            <w:vAlign w:val="center"/>
          </w:tcPr>
          <w:p w14:paraId="168B0192">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sz w:val="21"/>
                <w:szCs w:val="21"/>
                <w:highlight w:val="none"/>
              </w:rPr>
            </w:pPr>
            <w:r>
              <w:rPr>
                <w:rFonts w:hint="default" w:ascii="Times New Roman" w:hAnsi="Times New Roman" w:cs="Times New Roman" w:eastAsiaTheme="minorEastAsia"/>
                <w:color w:val="000000"/>
                <w:sz w:val="21"/>
                <w:szCs w:val="21"/>
                <w:highlight w:val="none"/>
              </w:rPr>
              <w:t>湿式去除法</w:t>
            </w:r>
          </w:p>
        </w:tc>
        <w:tc>
          <w:tcPr>
            <w:tcW w:w="2410" w:type="dxa"/>
            <w:vAlign w:val="center"/>
          </w:tcPr>
          <w:p w14:paraId="09E8058C">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cs="Times New Roman" w:eastAsiaTheme="minorEastAsia"/>
                <w:color w:val="000000"/>
                <w:sz w:val="21"/>
                <w:szCs w:val="21"/>
                <w:highlight w:val="none"/>
              </w:rPr>
            </w:pPr>
            <w:r>
              <w:rPr>
                <w:rFonts w:hint="default" w:ascii="Times New Roman" w:hAnsi="Times New Roman" w:cs="Times New Roman" w:eastAsiaTheme="minorEastAsia"/>
                <w:color w:val="000000"/>
                <w:sz w:val="21"/>
                <w:szCs w:val="21"/>
                <w:highlight w:val="none"/>
              </w:rPr>
              <w:t>处理的容漆量大、日常维护操作简单；漆雾处理稳定；安全性高</w:t>
            </w:r>
          </w:p>
        </w:tc>
        <w:tc>
          <w:tcPr>
            <w:tcW w:w="2409" w:type="dxa"/>
            <w:vAlign w:val="center"/>
          </w:tcPr>
          <w:p w14:paraId="7B47BFE9">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cs="Times New Roman" w:eastAsiaTheme="minorEastAsia"/>
                <w:color w:val="000000"/>
                <w:sz w:val="21"/>
                <w:szCs w:val="21"/>
                <w:highlight w:val="none"/>
              </w:rPr>
            </w:pPr>
            <w:r>
              <w:rPr>
                <w:rFonts w:hint="default" w:ascii="Times New Roman" w:hAnsi="Times New Roman" w:cs="Times New Roman" w:eastAsiaTheme="minorEastAsia"/>
                <w:color w:val="000000"/>
                <w:sz w:val="21"/>
                <w:szCs w:val="21"/>
                <w:highlight w:val="none"/>
              </w:rPr>
              <w:t>存在水污染，需治理；造价高，清理难度大；要求的风机风压高，增加涂料消耗</w:t>
            </w:r>
          </w:p>
        </w:tc>
        <w:tc>
          <w:tcPr>
            <w:tcW w:w="2177" w:type="dxa"/>
            <w:vAlign w:val="center"/>
          </w:tcPr>
          <w:p w14:paraId="6C5DDD7A">
            <w:pPr>
              <w:keepNext w:val="0"/>
              <w:keepLines w:val="0"/>
              <w:pageBreakBefore w:val="0"/>
              <w:widowControl/>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cs="Times New Roman" w:eastAsiaTheme="minorEastAsia"/>
                <w:color w:val="000000"/>
                <w:sz w:val="21"/>
                <w:szCs w:val="21"/>
                <w:highlight w:val="none"/>
              </w:rPr>
            </w:pPr>
            <w:r>
              <w:rPr>
                <w:rFonts w:hint="default" w:ascii="Times New Roman" w:hAnsi="Times New Roman" w:cs="Times New Roman" w:eastAsiaTheme="minorEastAsia"/>
                <w:color w:val="000000"/>
                <w:sz w:val="21"/>
                <w:szCs w:val="21"/>
                <w:highlight w:val="none"/>
              </w:rPr>
              <w:t>适合大批量的、工艺成型流水线式的车体涂装车间</w:t>
            </w:r>
          </w:p>
        </w:tc>
      </w:tr>
    </w:tbl>
    <w:p w14:paraId="1931BED8">
      <w:pPr>
        <w:keepNext w:val="0"/>
        <w:keepLines w:val="0"/>
        <w:pageBreakBefore w:val="0"/>
        <w:widowControl/>
        <w:kinsoku/>
        <w:wordWrap/>
        <w:autoSpaceDE/>
        <w:autoSpaceDN/>
        <w:bidi w:val="0"/>
        <w:ind w:firstLine="720"/>
        <w:rPr>
          <w:rFonts w:hint="default" w:ascii="Times New Roman" w:hAnsi="Times New Roman" w:cs="Times New Roman"/>
          <w:b/>
          <w:bCs/>
          <w:highlight w:val="none"/>
        </w:rPr>
      </w:pPr>
      <w:r>
        <w:rPr>
          <w:rFonts w:hint="default" w:ascii="Times New Roman" w:hAnsi="Times New Roman" w:cs="Times New Roman"/>
          <w:b/>
          <w:bCs/>
          <w:highlight w:val="none"/>
          <w:lang w:eastAsia="zh-CN"/>
        </w:rPr>
        <w:t>（</w:t>
      </w:r>
      <w:r>
        <w:rPr>
          <w:rFonts w:hint="default" w:ascii="Times New Roman" w:hAnsi="Times New Roman" w:cs="Times New Roman"/>
          <w:b/>
          <w:bCs/>
          <w:highlight w:val="none"/>
          <w:lang w:val="en-US" w:eastAsia="zh-CN"/>
        </w:rPr>
        <w:t>2</w:t>
      </w:r>
      <w:r>
        <w:rPr>
          <w:rFonts w:hint="default" w:ascii="Times New Roman" w:hAnsi="Times New Roman" w:cs="Times New Roman"/>
          <w:b/>
          <w:bCs/>
          <w:highlight w:val="none"/>
          <w:lang w:eastAsia="zh-CN"/>
        </w:rPr>
        <w:t>）</w:t>
      </w:r>
      <w:r>
        <w:rPr>
          <w:rFonts w:hint="default" w:ascii="Times New Roman" w:hAnsi="Times New Roman" w:cs="Times New Roman"/>
          <w:b/>
          <w:bCs/>
          <w:highlight w:val="none"/>
        </w:rPr>
        <w:t>喷涂VOCs治理技术</w:t>
      </w:r>
    </w:p>
    <w:p w14:paraId="2C2331EA">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VOCs治理技术包括回收利用技术、销毁技术以及这两种技术的组合形式，</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行业常见的VOCs末端治理技术及其适用性如下所述。</w:t>
      </w:r>
    </w:p>
    <w:p w14:paraId="19E2E6FE">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1）吸附法。吸附技术是目前工业VOCs治理的主流技术之一，是较为经典的气体净化技术。活性炭被广泛应用于吸附回收有机气体和吸附剂循环使用中，其比表面积大、微孔多、吸附能力强、吸附速率快且能吸附不同分子量的物质，可再生利用且制作活性炭的原料廉价充足，制备工艺也相对简单，适用于处理低浓度有机废气。喷涂行业一般采用活性炭作为吸附剂，对醇类、苯、醋酸及有机烃类具有较好的吸附效果。选用吸附容量更大、效率更高的蜂窝活性炭、活性炭纤维等吸附剂净化效率较高。</w:t>
      </w:r>
    </w:p>
    <w:p w14:paraId="3C205427">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lang w:val="en-US" w:eastAsia="zh-CN"/>
        </w:rPr>
        <w:t>2</w:t>
      </w:r>
      <w:r>
        <w:rPr>
          <w:rFonts w:hint="default" w:ascii="Times New Roman" w:hAnsi="Times New Roman" w:cs="Times New Roman"/>
          <w:highlight w:val="none"/>
        </w:rPr>
        <w:t>）热力燃烧法。将废气作燃料加热到有机溶剂的燃点温度以上(760</w:t>
      </w:r>
      <w:r>
        <w:rPr>
          <w:rFonts w:hint="eastAsia" w:ascii="Times New Roman" w:hAnsi="Times New Roman" w:cs="Times New Roman"/>
          <w:highlight w:val="none"/>
          <w:lang w:val="en-US" w:eastAsia="zh-CN"/>
        </w:rPr>
        <w:t>~</w:t>
      </w:r>
      <w:r>
        <w:rPr>
          <w:rFonts w:hint="default" w:ascii="Times New Roman" w:hAnsi="Times New Roman" w:cs="Times New Roman"/>
          <w:highlight w:val="none"/>
        </w:rPr>
        <w:t>980℃)进行燃烧净化。适用于处理高浓度、小气量的可燃性气体，净化效率高，有机废气被彻底氧化分解，缺点：设备易腐蚀，安装与运行成本高，易形成二次污染。</w:t>
      </w:r>
    </w:p>
    <w:p w14:paraId="64C71834">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4）催化燃烧法。在催化剂的作用下，使有机废气中的碳氢化合物在温度较低的条件下迅速氧化成水和二氧化碳，达到治理的目的。缺点：易催化剂中毒，投入成本高。</w:t>
      </w:r>
    </w:p>
    <w:p w14:paraId="52B13EE5">
      <w:pPr>
        <w:keepNext w:val="0"/>
        <w:keepLines w:val="0"/>
        <w:pageBreakBefore w:val="0"/>
        <w:widowControl/>
        <w:kinsoku/>
        <w:wordWrap/>
        <w:autoSpaceDE/>
        <w:autoSpaceDN/>
        <w:bidi w:val="0"/>
        <w:rPr>
          <w:rFonts w:hint="default" w:ascii="Times New Roman" w:hAnsi="Times New Roman" w:cs="Times New Roman"/>
          <w:highlight w:val="none"/>
          <w:lang w:val="zh-CN"/>
        </w:rPr>
      </w:pPr>
      <w:r>
        <w:rPr>
          <w:rFonts w:hint="default" w:ascii="Times New Roman" w:hAnsi="Times New Roman" w:cs="Times New Roman"/>
          <w:highlight w:val="none"/>
        </w:rPr>
        <w:t>5）蓄热燃烧法。</w:t>
      </w:r>
      <w:r>
        <w:rPr>
          <w:rFonts w:hint="default" w:ascii="Times New Roman" w:hAnsi="Times New Roman" w:cs="Times New Roman"/>
          <w:highlight w:val="none"/>
          <w:lang w:val="zh-CN"/>
        </w:rPr>
        <w:t>蓄热式燃烧技术采用了热量回收系统，回收燃烧后高温气体的热量用于预热进入系统的废气。与传统的催化燃烧、直燃式热氧化炉（TO）相比，具有热效率高、运行成本低、能处理大风量低浓度废气等特点，浓度稍高时，还可进行二次余热回收，大大降低生产运营成本。RTO适用于绝大部分的有机废气，能够处理大风量、低浓度废气，同时对废气流量弹性很大，能够适应废气中污染物的组成和浓度的变化、波动。</w:t>
      </w:r>
    </w:p>
    <w:p w14:paraId="29BAF57B">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lang w:val="en-US" w:eastAsia="zh-CN"/>
        </w:rPr>
        <w:t>6</w:t>
      </w:r>
      <w:r>
        <w:rPr>
          <w:rFonts w:hint="default" w:ascii="Times New Roman" w:hAnsi="Times New Roman" w:cs="Times New Roman"/>
          <w:highlight w:val="none"/>
        </w:rPr>
        <w:t>）活性炭吸附脱附+催化氧化。活性碳吸附脱附+催化氧化的工艺使用中，将喷漆和烤漆的VOCs废气吸附于装填有活性炭的吸附床上，干净空气被排出；活性炭吸附饱和后，热空气送入吸附床对活性炭进行脱附再生；脱附产生的高浓度VOCs气体，进入催化氧化床分解，干净的热空气用于活性炭脱附再生。目前市场已有专门为</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行业量身定制的采用该工艺的废气处理系统，设备高度集成，占地面积少，安装投资成本和运行费用适中，适合规模较小、排放量不高，经济效益也不高的维修企业选用。实际处理效率可达到50%</w:t>
      </w:r>
      <w:r>
        <w:rPr>
          <w:rFonts w:hint="default" w:ascii="Times New Roman" w:hAnsi="Times New Roman" w:cs="Times New Roman"/>
          <w:highlight w:val="none"/>
          <w:lang w:val="en-US" w:eastAsia="zh-CN"/>
        </w:rPr>
        <w:t>~</w:t>
      </w:r>
      <w:r>
        <w:rPr>
          <w:rFonts w:hint="default" w:ascii="Times New Roman" w:hAnsi="Times New Roman" w:cs="Times New Roman"/>
          <w:highlight w:val="none"/>
        </w:rPr>
        <w:t>70%，对于源头替代措施实施较到位的</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企业采用该技术可实现达标排放。</w:t>
      </w:r>
    </w:p>
    <w:p w14:paraId="3460FC60">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8）吸附浓缩+燃烧。吸附浓缩+燃烧是国内外低浓度、大风量VOCs治理的主流技术之一，将吸附技术和催化燃烧技术有机地结合起来的一种组合技术。一次设备投资和运维费用较高，适合规模大，废气风量大、浓度高或不稳定、排放量高，经济效益好的维修企业选用。气体通过活性炭吸附装置后，将饱和的活性炭解析出来的有机气体通过脱附引风机作用送入净化装置，在较低温度下，在催化剂的作用下使废气中的可燃组分彻底氧化分解，从而使气体得到净化处理的一种废气处理方法。该项技术更为先进的装置是沸石转轮吸附浓缩+催化燃烧，采用优质的疏水性石分子筛作为吸附介质，取代活性炭，具有良好的吸附选择性和吸附容量大等特点，原位再生后可重复使用，而无须经常更换介质，但投资费用较高，在</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行业推广较为困难。</w:t>
      </w:r>
    </w:p>
    <w:p w14:paraId="4D8AA0EC">
      <w:pPr>
        <w:keepNext w:val="0"/>
        <w:keepLines w:val="0"/>
        <w:pageBreakBefore w:val="0"/>
        <w:widowControl/>
        <w:kinsoku/>
        <w:wordWrap/>
        <w:autoSpaceDE/>
        <w:autoSpaceDN/>
        <w:bidi w:val="0"/>
        <w:ind w:left="0" w:leftChars="0" w:firstLine="0" w:firstLineChars="0"/>
        <w:jc w:val="center"/>
        <w:rPr>
          <w:rFonts w:hint="default" w:ascii="Times New Roman" w:hAnsi="Times New Roman" w:cs="Times New Roman"/>
          <w:highlight w:val="none"/>
          <w:lang w:val="en-US" w:eastAsia="zh-CN"/>
        </w:rPr>
      </w:pPr>
      <w:r>
        <w:rPr>
          <w:rFonts w:hint="default" w:ascii="Times New Roman" w:hAnsi="Times New Roman" w:cs="Times New Roman"/>
          <w:highlight w:val="none"/>
          <w:lang w:val="en-US" w:eastAsia="zh-CN"/>
        </w:rPr>
        <w:t>表4.3-2 不同VOCs治理技术适用范围与优缺点</w:t>
      </w:r>
    </w:p>
    <w:tbl>
      <w:tblPr>
        <w:tblStyle w:val="2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33"/>
        <w:gridCol w:w="2010"/>
        <w:gridCol w:w="3040"/>
        <w:gridCol w:w="2339"/>
      </w:tblGrid>
      <w:tr w14:paraId="683083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blHeader/>
        </w:trPr>
        <w:tc>
          <w:tcPr>
            <w:tcW w:w="1133" w:type="dxa"/>
            <w:shd w:val="clear" w:color="000000" w:fill="FFFFFF"/>
            <w:vAlign w:val="center"/>
          </w:tcPr>
          <w:p w14:paraId="561978D0">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rPr>
            </w:pPr>
            <w:r>
              <w:rPr>
                <w:rFonts w:hint="default" w:ascii="Times New Roman" w:hAnsi="Times New Roman" w:cs="Times New Roman"/>
                <w:b/>
                <w:bCs/>
                <w:color w:val="000000"/>
                <w:kern w:val="0"/>
                <w:sz w:val="21"/>
                <w:szCs w:val="21"/>
                <w:highlight w:val="none"/>
              </w:rPr>
              <w:t>处理技术</w:t>
            </w:r>
          </w:p>
        </w:tc>
        <w:tc>
          <w:tcPr>
            <w:tcW w:w="2010" w:type="dxa"/>
            <w:shd w:val="clear" w:color="000000" w:fill="FFFFFF"/>
            <w:vAlign w:val="center"/>
          </w:tcPr>
          <w:p w14:paraId="3F717E90">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rPr>
            </w:pPr>
            <w:r>
              <w:rPr>
                <w:rFonts w:hint="default" w:ascii="Times New Roman" w:hAnsi="Times New Roman" w:cs="Times New Roman"/>
                <w:b/>
                <w:bCs/>
                <w:color w:val="000000"/>
                <w:kern w:val="0"/>
                <w:sz w:val="21"/>
                <w:szCs w:val="21"/>
                <w:highlight w:val="none"/>
              </w:rPr>
              <w:t>优点</w:t>
            </w:r>
          </w:p>
        </w:tc>
        <w:tc>
          <w:tcPr>
            <w:tcW w:w="3040" w:type="dxa"/>
            <w:shd w:val="clear" w:color="000000" w:fill="FFFFFF"/>
            <w:vAlign w:val="center"/>
          </w:tcPr>
          <w:p w14:paraId="2467D1F3">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rPr>
            </w:pPr>
            <w:r>
              <w:rPr>
                <w:rFonts w:hint="default" w:ascii="Times New Roman" w:hAnsi="Times New Roman" w:cs="Times New Roman"/>
                <w:b/>
                <w:bCs/>
                <w:color w:val="000000"/>
                <w:kern w:val="0"/>
                <w:sz w:val="21"/>
                <w:szCs w:val="21"/>
                <w:highlight w:val="none"/>
              </w:rPr>
              <w:t>缺点</w:t>
            </w:r>
          </w:p>
        </w:tc>
        <w:tc>
          <w:tcPr>
            <w:tcW w:w="2339" w:type="dxa"/>
            <w:shd w:val="clear" w:color="000000" w:fill="FFFFFF"/>
          </w:tcPr>
          <w:p w14:paraId="0FD6411D">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rPr>
            </w:pPr>
            <w:r>
              <w:rPr>
                <w:rFonts w:hint="default" w:ascii="Times New Roman" w:hAnsi="Times New Roman" w:cs="Times New Roman"/>
                <w:b/>
                <w:bCs/>
                <w:color w:val="000000"/>
                <w:kern w:val="0"/>
                <w:sz w:val="21"/>
                <w:szCs w:val="21"/>
                <w:highlight w:val="none"/>
              </w:rPr>
              <w:t>适用条件</w:t>
            </w:r>
          </w:p>
        </w:tc>
      </w:tr>
      <w:tr w14:paraId="01C282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5" w:hRule="atLeast"/>
        </w:trPr>
        <w:tc>
          <w:tcPr>
            <w:tcW w:w="1133" w:type="dxa"/>
            <w:shd w:val="clear" w:color="auto" w:fill="auto"/>
            <w:vAlign w:val="center"/>
          </w:tcPr>
          <w:p w14:paraId="6082094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吸附法</w:t>
            </w:r>
          </w:p>
        </w:tc>
        <w:tc>
          <w:tcPr>
            <w:tcW w:w="2010" w:type="dxa"/>
            <w:shd w:val="clear" w:color="000000" w:fill="FFFFFF"/>
            <w:vAlign w:val="center"/>
          </w:tcPr>
          <w:p w14:paraId="70CB4A1A">
            <w:pPr>
              <w:keepNext w:val="0"/>
              <w:keepLines w:val="0"/>
              <w:pageBreakBefore w:val="0"/>
              <w:widowControl/>
              <w:kinsoku/>
              <w:wordWrap/>
              <w:overflowPunct/>
              <w:topLinePunct w:val="0"/>
              <w:autoSpaceDE/>
              <w:autoSpaceDN/>
              <w:bidi w:val="0"/>
              <w:adjustRightInd/>
              <w:snapToGrid/>
              <w:spacing w:line="240" w:lineRule="auto"/>
              <w:ind w:firstLine="0" w:firstLineChars="0"/>
              <w:jc w:val="both"/>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能耗低，工艺成熟，设备简单，易于自动化控制</w:t>
            </w:r>
          </w:p>
        </w:tc>
        <w:tc>
          <w:tcPr>
            <w:tcW w:w="3040" w:type="dxa"/>
            <w:shd w:val="clear" w:color="000000" w:fill="FFFFFF"/>
            <w:vAlign w:val="center"/>
          </w:tcPr>
          <w:p w14:paraId="530E0C86">
            <w:pPr>
              <w:keepNext w:val="0"/>
              <w:keepLines w:val="0"/>
              <w:pageBreakBefore w:val="0"/>
              <w:widowControl/>
              <w:kinsoku/>
              <w:wordWrap/>
              <w:overflowPunct/>
              <w:topLinePunct w:val="0"/>
              <w:autoSpaceDE/>
              <w:autoSpaceDN/>
              <w:bidi w:val="0"/>
              <w:adjustRightInd/>
              <w:snapToGrid/>
              <w:spacing w:line="240" w:lineRule="auto"/>
              <w:ind w:firstLine="0" w:firstLineChars="0"/>
              <w:jc w:val="both"/>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不适用于高浓度、高温的有机废气，且吸附材料需定期更换，吸附剂再生、运行费用高，监管困难</w:t>
            </w:r>
          </w:p>
        </w:tc>
        <w:tc>
          <w:tcPr>
            <w:tcW w:w="2339" w:type="dxa"/>
            <w:shd w:val="clear" w:color="000000" w:fill="FFFFFF"/>
            <w:vAlign w:val="center"/>
          </w:tcPr>
          <w:p w14:paraId="66DC4C13">
            <w:pPr>
              <w:keepNext w:val="0"/>
              <w:keepLines w:val="0"/>
              <w:pageBreakBefore w:val="0"/>
              <w:widowControl/>
              <w:kinsoku/>
              <w:wordWrap/>
              <w:overflowPunct/>
              <w:topLinePunct w:val="0"/>
              <w:autoSpaceDE/>
              <w:autoSpaceDN/>
              <w:bidi w:val="0"/>
              <w:adjustRightInd/>
              <w:snapToGrid/>
              <w:spacing w:line="240" w:lineRule="auto"/>
              <w:ind w:firstLine="0" w:firstLineChars="0"/>
              <w:jc w:val="both"/>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适用于中低浓度的VOCs的净化</w:t>
            </w:r>
            <w:r>
              <w:rPr>
                <w:rFonts w:hint="default" w:ascii="Times New Roman" w:hAnsi="Times New Roman" w:cs="Times New Roman"/>
                <w:color w:val="000000"/>
                <w:kern w:val="0"/>
                <w:sz w:val="21"/>
                <w:szCs w:val="21"/>
                <w:highlight w:val="none"/>
                <w:lang w:eastAsia="zh-CN"/>
              </w:rPr>
              <w:t>，</w:t>
            </w:r>
            <w:r>
              <w:rPr>
                <w:rFonts w:hint="default" w:ascii="Times New Roman" w:hAnsi="Times New Roman" w:cs="Times New Roman"/>
                <w:color w:val="000000"/>
                <w:kern w:val="0"/>
                <w:sz w:val="21"/>
                <w:szCs w:val="21"/>
                <w:highlight w:val="none"/>
              </w:rPr>
              <w:t>一般废气浓度&lt;1500mg/m</w:t>
            </w:r>
            <w:r>
              <w:rPr>
                <w:rFonts w:hint="default" w:ascii="Times New Roman" w:hAnsi="Times New Roman" w:cs="Times New Roman"/>
                <w:color w:val="000000"/>
                <w:kern w:val="0"/>
                <w:sz w:val="21"/>
                <w:szCs w:val="21"/>
                <w:highlight w:val="none"/>
                <w:vertAlign w:val="superscript"/>
              </w:rPr>
              <w:t>3</w:t>
            </w:r>
          </w:p>
        </w:tc>
      </w:tr>
      <w:tr w14:paraId="52B7AD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1133" w:type="dxa"/>
            <w:shd w:val="clear" w:color="auto" w:fill="auto"/>
            <w:vAlign w:val="center"/>
          </w:tcPr>
          <w:p w14:paraId="2824E06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热力燃烧</w:t>
            </w:r>
          </w:p>
        </w:tc>
        <w:tc>
          <w:tcPr>
            <w:tcW w:w="2010" w:type="dxa"/>
            <w:shd w:val="clear" w:color="000000" w:fill="FFFFFF"/>
            <w:vAlign w:val="center"/>
          </w:tcPr>
          <w:p w14:paraId="2AC9E174">
            <w:pPr>
              <w:keepNext w:val="0"/>
              <w:keepLines w:val="0"/>
              <w:pageBreakBefore w:val="0"/>
              <w:widowControl/>
              <w:kinsoku/>
              <w:wordWrap/>
              <w:overflowPunct/>
              <w:topLinePunct w:val="0"/>
              <w:autoSpaceDE/>
              <w:autoSpaceDN/>
              <w:bidi w:val="0"/>
              <w:adjustRightInd/>
              <w:snapToGrid/>
              <w:spacing w:line="240" w:lineRule="auto"/>
              <w:ind w:firstLine="0" w:firstLineChars="0"/>
              <w:jc w:val="both"/>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投资低，无二次污染</w:t>
            </w:r>
          </w:p>
        </w:tc>
        <w:tc>
          <w:tcPr>
            <w:tcW w:w="3040" w:type="dxa"/>
            <w:shd w:val="clear" w:color="000000" w:fill="FFFFFF"/>
            <w:vAlign w:val="center"/>
          </w:tcPr>
          <w:p w14:paraId="2935452F">
            <w:pPr>
              <w:keepNext w:val="0"/>
              <w:keepLines w:val="0"/>
              <w:pageBreakBefore w:val="0"/>
              <w:widowControl/>
              <w:kinsoku/>
              <w:wordWrap/>
              <w:overflowPunct/>
              <w:topLinePunct w:val="0"/>
              <w:autoSpaceDE/>
              <w:autoSpaceDN/>
              <w:bidi w:val="0"/>
              <w:adjustRightInd/>
              <w:snapToGrid/>
              <w:spacing w:line="240" w:lineRule="auto"/>
              <w:ind w:firstLine="0" w:firstLineChars="0"/>
              <w:jc w:val="both"/>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反应温度高，能耗高，运行费用较高</w:t>
            </w:r>
          </w:p>
        </w:tc>
        <w:tc>
          <w:tcPr>
            <w:tcW w:w="2339" w:type="dxa"/>
            <w:vMerge w:val="restart"/>
            <w:shd w:val="clear" w:color="000000" w:fill="FFFFFF"/>
            <w:vAlign w:val="center"/>
          </w:tcPr>
          <w:p w14:paraId="08FBF52D">
            <w:pPr>
              <w:keepNext w:val="0"/>
              <w:keepLines w:val="0"/>
              <w:pageBreakBefore w:val="0"/>
              <w:widowControl/>
              <w:kinsoku/>
              <w:wordWrap/>
              <w:overflowPunct/>
              <w:topLinePunct w:val="0"/>
              <w:autoSpaceDE/>
              <w:autoSpaceDN/>
              <w:bidi w:val="0"/>
              <w:adjustRightInd/>
              <w:snapToGrid/>
              <w:spacing w:line="240" w:lineRule="auto"/>
              <w:ind w:firstLine="0" w:firstLineChars="0"/>
              <w:jc w:val="both"/>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适用于中高浓度且无回收利用价值的有机废气治理，其中催化燃烧技术不适用于废气中含催化剂中毒的VOCs物种。</w:t>
            </w:r>
          </w:p>
        </w:tc>
      </w:tr>
      <w:tr w14:paraId="7B736D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1133" w:type="dxa"/>
            <w:shd w:val="clear" w:color="auto" w:fill="auto"/>
            <w:vAlign w:val="center"/>
          </w:tcPr>
          <w:p w14:paraId="00B1EEE0">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催化燃烧</w:t>
            </w:r>
          </w:p>
        </w:tc>
        <w:tc>
          <w:tcPr>
            <w:tcW w:w="2010" w:type="dxa"/>
            <w:shd w:val="clear" w:color="000000" w:fill="FFFFFF"/>
            <w:vAlign w:val="center"/>
          </w:tcPr>
          <w:p w14:paraId="38F6F67A">
            <w:pPr>
              <w:keepNext w:val="0"/>
              <w:keepLines w:val="0"/>
              <w:pageBreakBefore w:val="0"/>
              <w:widowControl/>
              <w:kinsoku/>
              <w:wordWrap/>
              <w:overflowPunct/>
              <w:topLinePunct w:val="0"/>
              <w:autoSpaceDE/>
              <w:autoSpaceDN/>
              <w:bidi w:val="0"/>
              <w:adjustRightInd/>
              <w:snapToGrid/>
              <w:spacing w:line="240" w:lineRule="auto"/>
              <w:ind w:firstLine="0" w:firstLineChars="0"/>
              <w:jc w:val="both"/>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反应温度低，运行费用低</w:t>
            </w:r>
          </w:p>
        </w:tc>
        <w:tc>
          <w:tcPr>
            <w:tcW w:w="3040" w:type="dxa"/>
            <w:shd w:val="clear" w:color="000000" w:fill="FFFFFF"/>
            <w:vAlign w:val="center"/>
          </w:tcPr>
          <w:p w14:paraId="77F228B3">
            <w:pPr>
              <w:keepNext w:val="0"/>
              <w:keepLines w:val="0"/>
              <w:pageBreakBefore w:val="0"/>
              <w:widowControl/>
              <w:kinsoku/>
              <w:wordWrap/>
              <w:overflowPunct/>
              <w:topLinePunct w:val="0"/>
              <w:autoSpaceDE/>
              <w:autoSpaceDN/>
              <w:bidi w:val="0"/>
              <w:adjustRightInd/>
              <w:snapToGrid/>
              <w:spacing w:line="240" w:lineRule="auto"/>
              <w:ind w:firstLine="0" w:firstLineChars="0"/>
              <w:jc w:val="both"/>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催化剂的费用较高且只有一定的寿命</w:t>
            </w:r>
          </w:p>
        </w:tc>
        <w:tc>
          <w:tcPr>
            <w:tcW w:w="2339" w:type="dxa"/>
            <w:vMerge w:val="continue"/>
            <w:shd w:val="clear" w:color="000000" w:fill="FFFFFF"/>
            <w:vAlign w:val="center"/>
          </w:tcPr>
          <w:p w14:paraId="7AC486B5">
            <w:pPr>
              <w:keepNext w:val="0"/>
              <w:keepLines w:val="0"/>
              <w:pageBreakBefore w:val="0"/>
              <w:widowControl/>
              <w:kinsoku/>
              <w:wordWrap/>
              <w:overflowPunct/>
              <w:topLinePunct w:val="0"/>
              <w:autoSpaceDE/>
              <w:autoSpaceDN/>
              <w:bidi w:val="0"/>
              <w:adjustRightInd/>
              <w:snapToGrid/>
              <w:spacing w:line="240" w:lineRule="auto"/>
              <w:ind w:firstLine="0" w:firstLineChars="0"/>
              <w:jc w:val="both"/>
              <w:textAlignment w:val="auto"/>
              <w:rPr>
                <w:rFonts w:hint="default" w:ascii="Times New Roman" w:hAnsi="Times New Roman" w:cs="Times New Roman"/>
                <w:color w:val="000000"/>
                <w:kern w:val="0"/>
                <w:sz w:val="21"/>
                <w:szCs w:val="21"/>
                <w:highlight w:val="none"/>
              </w:rPr>
            </w:pPr>
          </w:p>
        </w:tc>
      </w:tr>
      <w:tr w14:paraId="63388F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1133" w:type="dxa"/>
            <w:shd w:val="clear" w:color="auto" w:fill="auto"/>
            <w:vAlign w:val="center"/>
          </w:tcPr>
          <w:p w14:paraId="6CE0441A">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蓄热燃烧</w:t>
            </w:r>
          </w:p>
        </w:tc>
        <w:tc>
          <w:tcPr>
            <w:tcW w:w="2010" w:type="dxa"/>
            <w:shd w:val="clear" w:color="000000" w:fill="FFFFFF"/>
            <w:vAlign w:val="center"/>
          </w:tcPr>
          <w:p w14:paraId="51AF940F">
            <w:pPr>
              <w:keepNext w:val="0"/>
              <w:keepLines w:val="0"/>
              <w:pageBreakBefore w:val="0"/>
              <w:widowControl/>
              <w:kinsoku/>
              <w:wordWrap/>
              <w:overflowPunct/>
              <w:topLinePunct w:val="0"/>
              <w:autoSpaceDE/>
              <w:autoSpaceDN/>
              <w:bidi w:val="0"/>
              <w:adjustRightInd/>
              <w:snapToGrid/>
              <w:spacing w:line="240" w:lineRule="auto"/>
              <w:ind w:firstLine="0" w:firstLineChars="0"/>
              <w:jc w:val="both"/>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热利用效率高，设备运行费用低</w:t>
            </w:r>
          </w:p>
        </w:tc>
        <w:tc>
          <w:tcPr>
            <w:tcW w:w="3040" w:type="dxa"/>
            <w:shd w:val="clear" w:color="000000" w:fill="FFFFFF"/>
            <w:vAlign w:val="center"/>
          </w:tcPr>
          <w:p w14:paraId="0C4BB377">
            <w:pPr>
              <w:keepNext w:val="0"/>
              <w:keepLines w:val="0"/>
              <w:pageBreakBefore w:val="0"/>
              <w:widowControl/>
              <w:kinsoku/>
              <w:wordWrap/>
              <w:overflowPunct/>
              <w:topLinePunct w:val="0"/>
              <w:autoSpaceDE/>
              <w:autoSpaceDN/>
              <w:bidi w:val="0"/>
              <w:adjustRightInd/>
              <w:snapToGrid/>
              <w:spacing w:line="240" w:lineRule="auto"/>
              <w:ind w:firstLine="0" w:firstLineChars="0"/>
              <w:jc w:val="both"/>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费用较高，对间歇式排放处理不经济</w:t>
            </w:r>
          </w:p>
        </w:tc>
        <w:tc>
          <w:tcPr>
            <w:tcW w:w="2339" w:type="dxa"/>
            <w:vMerge w:val="continue"/>
            <w:shd w:val="clear" w:color="000000" w:fill="FFFFFF"/>
            <w:vAlign w:val="center"/>
          </w:tcPr>
          <w:p w14:paraId="58B49553">
            <w:pPr>
              <w:keepNext w:val="0"/>
              <w:keepLines w:val="0"/>
              <w:pageBreakBefore w:val="0"/>
              <w:widowControl/>
              <w:kinsoku/>
              <w:wordWrap/>
              <w:overflowPunct/>
              <w:topLinePunct w:val="0"/>
              <w:autoSpaceDE/>
              <w:autoSpaceDN/>
              <w:bidi w:val="0"/>
              <w:adjustRightInd/>
              <w:snapToGrid/>
              <w:spacing w:line="240" w:lineRule="auto"/>
              <w:ind w:firstLine="0" w:firstLineChars="0"/>
              <w:jc w:val="both"/>
              <w:textAlignment w:val="auto"/>
              <w:rPr>
                <w:rFonts w:hint="default" w:ascii="Times New Roman" w:hAnsi="Times New Roman" w:cs="Times New Roman"/>
                <w:color w:val="000000"/>
                <w:kern w:val="0"/>
                <w:sz w:val="21"/>
                <w:szCs w:val="21"/>
                <w:highlight w:val="none"/>
              </w:rPr>
            </w:pPr>
          </w:p>
        </w:tc>
      </w:tr>
      <w:tr w14:paraId="5E1924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5" w:hRule="atLeast"/>
        </w:trPr>
        <w:tc>
          <w:tcPr>
            <w:tcW w:w="1133" w:type="dxa"/>
            <w:shd w:val="clear" w:color="auto" w:fill="auto"/>
            <w:vAlign w:val="center"/>
          </w:tcPr>
          <w:p w14:paraId="011D9AA8">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活性炭吸脱附+催化氧化</w:t>
            </w:r>
          </w:p>
        </w:tc>
        <w:tc>
          <w:tcPr>
            <w:tcW w:w="2010" w:type="dxa"/>
            <w:shd w:val="clear" w:color="auto" w:fill="auto"/>
            <w:noWrap/>
            <w:vAlign w:val="center"/>
          </w:tcPr>
          <w:p w14:paraId="20F4591F">
            <w:pPr>
              <w:keepNext w:val="0"/>
              <w:keepLines w:val="0"/>
              <w:pageBreakBefore w:val="0"/>
              <w:widowControl/>
              <w:kinsoku/>
              <w:wordWrap/>
              <w:overflowPunct/>
              <w:topLinePunct w:val="0"/>
              <w:autoSpaceDE/>
              <w:autoSpaceDN/>
              <w:bidi w:val="0"/>
              <w:adjustRightInd/>
              <w:snapToGrid/>
              <w:spacing w:line="240" w:lineRule="auto"/>
              <w:ind w:firstLine="0" w:firstLineChars="0"/>
              <w:jc w:val="both"/>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VOCs去除效率高，一次投入相对较低</w:t>
            </w:r>
          </w:p>
        </w:tc>
        <w:tc>
          <w:tcPr>
            <w:tcW w:w="3040" w:type="dxa"/>
            <w:shd w:val="clear" w:color="auto" w:fill="auto"/>
            <w:noWrap/>
            <w:vAlign w:val="center"/>
          </w:tcPr>
          <w:p w14:paraId="78A92988">
            <w:pPr>
              <w:keepNext w:val="0"/>
              <w:keepLines w:val="0"/>
              <w:pageBreakBefore w:val="0"/>
              <w:widowControl/>
              <w:kinsoku/>
              <w:wordWrap/>
              <w:overflowPunct/>
              <w:topLinePunct w:val="0"/>
              <w:autoSpaceDE/>
              <w:autoSpaceDN/>
              <w:bidi w:val="0"/>
              <w:adjustRightInd/>
              <w:snapToGrid/>
              <w:spacing w:line="240" w:lineRule="auto"/>
              <w:ind w:firstLine="0" w:firstLineChars="0"/>
              <w:jc w:val="both"/>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不适用于高沸点有机物的净化；对高湿度有机废气的去除效率较低</w:t>
            </w:r>
          </w:p>
        </w:tc>
        <w:tc>
          <w:tcPr>
            <w:tcW w:w="2339" w:type="dxa"/>
            <w:vAlign w:val="center"/>
          </w:tcPr>
          <w:p w14:paraId="16EB301F">
            <w:pPr>
              <w:keepNext w:val="0"/>
              <w:keepLines w:val="0"/>
              <w:pageBreakBefore w:val="0"/>
              <w:widowControl/>
              <w:kinsoku/>
              <w:wordWrap/>
              <w:overflowPunct/>
              <w:topLinePunct w:val="0"/>
              <w:autoSpaceDE/>
              <w:autoSpaceDN/>
              <w:bidi w:val="0"/>
              <w:adjustRightInd/>
              <w:snapToGrid/>
              <w:spacing w:line="240" w:lineRule="auto"/>
              <w:ind w:firstLine="0" w:firstLineChars="0"/>
              <w:jc w:val="both"/>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适用于中低浓度、大风量VOCs的治理</w:t>
            </w:r>
          </w:p>
        </w:tc>
      </w:tr>
      <w:tr w14:paraId="5160A9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atLeast"/>
        </w:trPr>
        <w:tc>
          <w:tcPr>
            <w:tcW w:w="1133" w:type="dxa"/>
            <w:shd w:val="clear" w:color="auto" w:fill="auto"/>
            <w:vAlign w:val="center"/>
          </w:tcPr>
          <w:p w14:paraId="6137B83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吸附浓缩+燃烧</w:t>
            </w:r>
          </w:p>
        </w:tc>
        <w:tc>
          <w:tcPr>
            <w:tcW w:w="2010" w:type="dxa"/>
            <w:shd w:val="clear" w:color="auto" w:fill="auto"/>
            <w:vAlign w:val="center"/>
          </w:tcPr>
          <w:p w14:paraId="732CBCA3">
            <w:pPr>
              <w:keepNext w:val="0"/>
              <w:keepLines w:val="0"/>
              <w:pageBreakBefore w:val="0"/>
              <w:widowControl/>
              <w:kinsoku/>
              <w:wordWrap/>
              <w:overflowPunct/>
              <w:topLinePunct w:val="0"/>
              <w:autoSpaceDE/>
              <w:autoSpaceDN/>
              <w:bidi w:val="0"/>
              <w:adjustRightInd/>
              <w:snapToGrid/>
              <w:spacing w:line="240" w:lineRule="auto"/>
              <w:ind w:firstLine="0" w:firstLineChars="0"/>
              <w:jc w:val="both"/>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安全性高，VOCs去除效率高且稳定</w:t>
            </w:r>
          </w:p>
        </w:tc>
        <w:tc>
          <w:tcPr>
            <w:tcW w:w="3040" w:type="dxa"/>
            <w:shd w:val="clear" w:color="auto" w:fill="auto"/>
            <w:vAlign w:val="center"/>
          </w:tcPr>
          <w:p w14:paraId="06512436">
            <w:pPr>
              <w:keepNext w:val="0"/>
              <w:keepLines w:val="0"/>
              <w:pageBreakBefore w:val="0"/>
              <w:widowControl/>
              <w:kinsoku/>
              <w:wordWrap/>
              <w:overflowPunct/>
              <w:topLinePunct w:val="0"/>
              <w:autoSpaceDE/>
              <w:autoSpaceDN/>
              <w:bidi w:val="0"/>
              <w:adjustRightInd/>
              <w:snapToGrid/>
              <w:spacing w:line="240" w:lineRule="auto"/>
              <w:ind w:firstLine="0" w:firstLineChars="0"/>
              <w:jc w:val="both"/>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一次性投资高</w:t>
            </w:r>
          </w:p>
        </w:tc>
        <w:tc>
          <w:tcPr>
            <w:tcW w:w="2339" w:type="dxa"/>
            <w:vAlign w:val="center"/>
          </w:tcPr>
          <w:p w14:paraId="585DB30C">
            <w:pPr>
              <w:keepNext w:val="0"/>
              <w:keepLines w:val="0"/>
              <w:pageBreakBefore w:val="0"/>
              <w:widowControl/>
              <w:kinsoku/>
              <w:wordWrap/>
              <w:overflowPunct/>
              <w:topLinePunct w:val="0"/>
              <w:autoSpaceDE/>
              <w:autoSpaceDN/>
              <w:bidi w:val="0"/>
              <w:adjustRightInd/>
              <w:snapToGrid/>
              <w:spacing w:line="240" w:lineRule="auto"/>
              <w:ind w:firstLine="0" w:firstLineChars="0"/>
              <w:jc w:val="both"/>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适用于低浓度、大风量VOCs的治理排放</w:t>
            </w:r>
          </w:p>
        </w:tc>
      </w:tr>
    </w:tbl>
    <w:p w14:paraId="21C00AD6">
      <w:pPr>
        <w:pStyle w:val="2"/>
        <w:keepNext w:val="0"/>
        <w:keepLines w:val="0"/>
        <w:pageBreakBefore w:val="0"/>
        <w:widowControl/>
        <w:kinsoku/>
        <w:wordWrap/>
        <w:autoSpaceDE/>
        <w:autoSpaceDN/>
        <w:bidi w:val="0"/>
        <w:rPr>
          <w:rFonts w:hint="default" w:ascii="Times New Roman" w:hAnsi="Times New Roman" w:cs="Times New Roman"/>
          <w:highlight w:val="none"/>
          <w:lang w:val="en-US"/>
        </w:rPr>
      </w:pPr>
      <w:bookmarkStart w:id="60" w:name="_Toc9112"/>
      <w:bookmarkStart w:id="61" w:name="_Toc30246"/>
      <w:r>
        <w:rPr>
          <w:rFonts w:hint="default" w:ascii="Times New Roman" w:hAnsi="Times New Roman" w:cs="Times New Roman"/>
          <w:highlight w:val="none"/>
          <w:lang w:val="en-US"/>
        </w:rPr>
        <w:t>四川省汽车维修污染防治现状分析</w:t>
      </w:r>
      <w:bookmarkEnd w:id="60"/>
      <w:bookmarkEnd w:id="61"/>
      <w:r>
        <w:rPr>
          <w:rFonts w:hint="default" w:ascii="Times New Roman" w:hAnsi="Times New Roman" w:cs="Times New Roman"/>
          <w:highlight w:val="none"/>
          <w:lang w:val="en-US"/>
        </w:rPr>
        <w:t xml:space="preserve"> </w:t>
      </w:r>
    </w:p>
    <w:p w14:paraId="17CBF6CE">
      <w:pPr>
        <w:pStyle w:val="3"/>
        <w:keepNext w:val="0"/>
        <w:keepLines w:val="0"/>
        <w:pageBreakBefore w:val="0"/>
        <w:widowControl/>
        <w:kinsoku/>
        <w:wordWrap/>
        <w:autoSpaceDE/>
        <w:autoSpaceDN/>
        <w:bidi w:val="0"/>
        <w:rPr>
          <w:rFonts w:hint="default"/>
          <w:highlight w:val="none"/>
        </w:rPr>
      </w:pPr>
      <w:bookmarkStart w:id="62" w:name="_Toc16220"/>
      <w:bookmarkStart w:id="63" w:name="_Toc6407"/>
      <w:r>
        <w:rPr>
          <w:rFonts w:hint="default"/>
          <w:highlight w:val="none"/>
        </w:rPr>
        <w:t>四川省</w:t>
      </w:r>
      <w:r>
        <w:rPr>
          <w:rFonts w:hint="default"/>
          <w:highlight w:val="none"/>
          <w:lang w:eastAsia="zh-CN"/>
        </w:rPr>
        <w:t>汽车维修</w:t>
      </w:r>
      <w:r>
        <w:rPr>
          <w:rFonts w:hint="default"/>
          <w:highlight w:val="none"/>
        </w:rPr>
        <w:t>企业大气污染物排放清单</w:t>
      </w:r>
      <w:bookmarkEnd w:id="62"/>
      <w:bookmarkEnd w:id="63"/>
    </w:p>
    <w:p w14:paraId="7551E058">
      <w:pPr>
        <w:keepNext w:val="0"/>
        <w:keepLines w:val="0"/>
        <w:pageBreakBefore w:val="0"/>
        <w:widowControl/>
        <w:kinsoku/>
        <w:wordWrap/>
        <w:autoSpaceDE/>
        <w:autoSpaceDN/>
        <w:bidi w:val="0"/>
        <w:rPr>
          <w:rFonts w:hint="default"/>
          <w:highlight w:val="none"/>
        </w:rPr>
      </w:pPr>
      <w:r>
        <w:rPr>
          <w:rFonts w:hint="default"/>
          <w:highlight w:val="none"/>
        </w:rPr>
        <w:t>通过202</w:t>
      </w:r>
      <w:r>
        <w:rPr>
          <w:rFonts w:hint="default"/>
          <w:highlight w:val="none"/>
          <w:lang w:val="en-US" w:eastAsia="zh-CN"/>
        </w:rPr>
        <w:t>3</w:t>
      </w:r>
      <w:r>
        <w:rPr>
          <w:rFonts w:hint="default"/>
          <w:highlight w:val="none"/>
        </w:rPr>
        <w:t>年四川省大气污染源排放清单调查，获得全省各市（州）交通运输局提供的涉喷涂的</w:t>
      </w:r>
      <w:r>
        <w:rPr>
          <w:rFonts w:hint="default"/>
          <w:highlight w:val="none"/>
          <w:lang w:eastAsia="zh-CN"/>
        </w:rPr>
        <w:t>汽车维修</w:t>
      </w:r>
      <w:r>
        <w:rPr>
          <w:rFonts w:hint="default"/>
          <w:highlight w:val="none"/>
        </w:rPr>
        <w:t>企业数量以及</w:t>
      </w:r>
      <w:r>
        <w:rPr>
          <w:rFonts w:hint="default"/>
          <w:highlight w:val="none"/>
          <w:lang w:eastAsia="zh-CN"/>
        </w:rPr>
        <w:t>汽车维修</w:t>
      </w:r>
      <w:r>
        <w:rPr>
          <w:rFonts w:hint="default"/>
          <w:highlight w:val="none"/>
        </w:rPr>
        <w:t>企业的污染治理设施现状。全省21市（州）涉VOCs喷涂的</w:t>
      </w:r>
      <w:r>
        <w:rPr>
          <w:rFonts w:hint="default"/>
          <w:highlight w:val="none"/>
          <w:lang w:eastAsia="zh-CN"/>
        </w:rPr>
        <w:t>汽车维修</w:t>
      </w:r>
      <w:r>
        <w:rPr>
          <w:rFonts w:hint="default"/>
          <w:highlight w:val="none"/>
        </w:rPr>
        <w:t>企业为4</w:t>
      </w:r>
      <w:r>
        <w:rPr>
          <w:rFonts w:hint="default"/>
          <w:highlight w:val="none"/>
          <w:lang w:val="en-US" w:eastAsia="zh-CN"/>
        </w:rPr>
        <w:t>188</w:t>
      </w:r>
      <w:r>
        <w:rPr>
          <w:rFonts w:hint="default"/>
          <w:highlight w:val="none"/>
        </w:rPr>
        <w:t>家，其中一类</w:t>
      </w:r>
      <w:r>
        <w:rPr>
          <w:rFonts w:hint="default"/>
          <w:highlight w:val="none"/>
          <w:lang w:eastAsia="zh-CN"/>
        </w:rPr>
        <w:t>汽车维修</w:t>
      </w:r>
      <w:r>
        <w:rPr>
          <w:rFonts w:hint="default"/>
          <w:highlight w:val="none"/>
        </w:rPr>
        <w:t>企业有6</w:t>
      </w:r>
      <w:r>
        <w:rPr>
          <w:rFonts w:hint="default"/>
          <w:highlight w:val="none"/>
          <w:lang w:val="en-US" w:eastAsia="zh-CN"/>
        </w:rPr>
        <w:t>73</w:t>
      </w:r>
      <w:r>
        <w:rPr>
          <w:rFonts w:hint="default"/>
          <w:highlight w:val="none"/>
        </w:rPr>
        <w:t>家，占1</w:t>
      </w:r>
      <w:r>
        <w:rPr>
          <w:rFonts w:hint="default"/>
          <w:highlight w:val="none"/>
          <w:lang w:val="en-US" w:eastAsia="zh-CN"/>
        </w:rPr>
        <w:t>6</w:t>
      </w:r>
      <w:r>
        <w:rPr>
          <w:rFonts w:hint="default"/>
          <w:highlight w:val="none"/>
        </w:rPr>
        <w:t>%，二类2</w:t>
      </w:r>
      <w:r>
        <w:rPr>
          <w:rFonts w:hint="default"/>
          <w:highlight w:val="none"/>
          <w:lang w:val="en-US" w:eastAsia="zh-CN"/>
        </w:rPr>
        <w:t>308</w:t>
      </w:r>
      <w:r>
        <w:rPr>
          <w:rFonts w:hint="default"/>
          <w:highlight w:val="none"/>
        </w:rPr>
        <w:t>家，占5</w:t>
      </w:r>
      <w:r>
        <w:rPr>
          <w:rFonts w:hint="default"/>
          <w:highlight w:val="none"/>
          <w:lang w:val="en-US" w:eastAsia="zh-CN"/>
        </w:rPr>
        <w:t>5</w:t>
      </w:r>
      <w:r>
        <w:rPr>
          <w:rFonts w:hint="default"/>
          <w:highlight w:val="none"/>
        </w:rPr>
        <w:t>%，三类12</w:t>
      </w:r>
      <w:r>
        <w:rPr>
          <w:rFonts w:hint="default"/>
          <w:highlight w:val="none"/>
          <w:lang w:val="en-US" w:eastAsia="zh-CN"/>
        </w:rPr>
        <w:t>07</w:t>
      </w:r>
      <w:r>
        <w:rPr>
          <w:rFonts w:hint="default"/>
          <w:highlight w:val="none"/>
        </w:rPr>
        <w:t>家，占</w:t>
      </w:r>
      <w:r>
        <w:rPr>
          <w:rFonts w:hint="default"/>
          <w:highlight w:val="none"/>
          <w:lang w:val="en-US" w:eastAsia="zh-CN"/>
        </w:rPr>
        <w:t>29</w:t>
      </w:r>
      <w:r>
        <w:rPr>
          <w:rFonts w:hint="default"/>
          <w:highlight w:val="none"/>
        </w:rPr>
        <w:t>%。从市（州）数量分布来看，成都市、绵阳市、宜宾市、德阳市、眉山市等市（州）数量较多，均在200家以上。各市（州）</w:t>
      </w:r>
      <w:r>
        <w:rPr>
          <w:rFonts w:hint="default"/>
          <w:highlight w:val="none"/>
          <w:lang w:eastAsia="zh-CN"/>
        </w:rPr>
        <w:t>汽车维修</w:t>
      </w:r>
      <w:r>
        <w:rPr>
          <w:rFonts w:hint="default"/>
          <w:highlight w:val="none"/>
        </w:rPr>
        <w:t>企业数量详见下表。</w:t>
      </w:r>
    </w:p>
    <w:p w14:paraId="102EEA42">
      <w:pPr>
        <w:keepNext w:val="0"/>
        <w:keepLines w:val="0"/>
        <w:pageBreakBefore w:val="0"/>
        <w:widowControl/>
        <w:kinsoku/>
        <w:wordWrap/>
        <w:autoSpaceDE/>
        <w:autoSpaceDN/>
        <w:bidi w:val="0"/>
        <w:ind w:left="0" w:leftChars="0" w:firstLine="0" w:firstLineChars="0"/>
        <w:jc w:val="center"/>
        <w:rPr>
          <w:rFonts w:hint="default" w:ascii="Times New Roman" w:hAnsi="Times New Roman" w:cs="Times New Roman"/>
          <w:highlight w:val="none"/>
          <w:lang w:val="en-US" w:eastAsia="zh-CN"/>
        </w:rPr>
      </w:pPr>
      <w:r>
        <w:rPr>
          <w:rFonts w:hint="default" w:ascii="Times New Roman" w:hAnsi="Times New Roman" w:cs="Times New Roman"/>
          <w:highlight w:val="none"/>
          <w:lang w:val="en-US" w:eastAsia="zh-CN"/>
        </w:rPr>
        <w:t>表5.1-1 四川省21市（州）汽车维修企业数量分布</w:t>
      </w:r>
    </w:p>
    <w:p w14:paraId="200274ED">
      <w:pPr>
        <w:keepNext w:val="0"/>
        <w:keepLines w:val="0"/>
        <w:pageBreakBefore w:val="0"/>
        <w:widowControl/>
        <w:kinsoku/>
        <w:wordWrap/>
        <w:autoSpaceDE/>
        <w:autoSpaceDN/>
        <w:bidi w:val="0"/>
        <w:ind w:left="0" w:leftChars="0" w:firstLine="0" w:firstLineChars="0"/>
        <w:jc w:val="right"/>
        <w:rPr>
          <w:rFonts w:hint="default" w:ascii="Times New Roman" w:hAnsi="Times New Roman" w:cs="Times New Roman"/>
          <w:highlight w:val="none"/>
          <w:lang w:val="en-US" w:eastAsia="zh-CN"/>
        </w:rPr>
      </w:pPr>
      <w:r>
        <w:rPr>
          <w:rFonts w:hint="eastAsia" w:ascii="Times New Roman" w:hAnsi="Times New Roman" w:cs="Times New Roman"/>
          <w:highlight w:val="none"/>
          <w:lang w:val="en-US" w:eastAsia="zh-CN"/>
        </w:rPr>
        <w:t>单位：</w:t>
      </w:r>
      <w:r>
        <w:rPr>
          <w:rFonts w:hint="default" w:ascii="Times New Roman" w:hAnsi="Times New Roman" w:cs="Times New Roman"/>
          <w:highlight w:val="none"/>
          <w:lang w:val="en-US" w:eastAsia="zh-CN"/>
        </w:rPr>
        <w:t>家</w:t>
      </w:r>
    </w:p>
    <w:tbl>
      <w:tblPr>
        <w:tblStyle w:val="21"/>
        <w:tblW w:w="4999"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396"/>
        <w:gridCol w:w="1538"/>
        <w:gridCol w:w="1398"/>
        <w:gridCol w:w="1398"/>
        <w:gridCol w:w="1399"/>
        <w:gridCol w:w="1397"/>
      </w:tblGrid>
      <w:tr w14:paraId="5FA5A76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8" w:hRule="atLeast"/>
          <w:tblHeader/>
        </w:trPr>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4527F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rPr>
            </w:pPr>
            <w:r>
              <w:rPr>
                <w:rFonts w:hint="default" w:ascii="Times New Roman" w:hAnsi="Times New Roman" w:cs="Times New Roman"/>
                <w:b/>
                <w:bCs/>
                <w:color w:val="000000"/>
                <w:kern w:val="0"/>
                <w:sz w:val="21"/>
                <w:szCs w:val="21"/>
                <w:highlight w:val="none"/>
                <w:lang w:val="en-US" w:eastAsia="zh-CN"/>
              </w:rPr>
              <w:t>序号</w:t>
            </w:r>
          </w:p>
        </w:tc>
        <w:tc>
          <w:tcPr>
            <w:tcW w:w="9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39EAB9">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rPr>
            </w:pPr>
            <w:r>
              <w:rPr>
                <w:rFonts w:hint="default" w:ascii="Times New Roman" w:hAnsi="Times New Roman" w:cs="Times New Roman"/>
                <w:b/>
                <w:bCs/>
                <w:color w:val="000000"/>
                <w:kern w:val="0"/>
                <w:sz w:val="21"/>
                <w:szCs w:val="21"/>
                <w:highlight w:val="none"/>
                <w:lang w:val="en-US" w:eastAsia="zh-CN"/>
              </w:rPr>
              <w:t>市（州）</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5A3090">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lang w:val="en-US" w:eastAsia="zh-CN"/>
              </w:rPr>
            </w:pPr>
            <w:r>
              <w:rPr>
                <w:rFonts w:hint="default" w:ascii="Times New Roman" w:hAnsi="Times New Roman" w:cs="Times New Roman"/>
                <w:b/>
                <w:bCs/>
                <w:color w:val="000000"/>
                <w:kern w:val="0"/>
                <w:sz w:val="21"/>
                <w:szCs w:val="21"/>
                <w:highlight w:val="none"/>
                <w:lang w:val="en-US" w:eastAsia="zh-CN"/>
              </w:rPr>
              <w:t>一类</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29877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lang w:val="en-US" w:eastAsia="zh-CN"/>
              </w:rPr>
            </w:pPr>
            <w:r>
              <w:rPr>
                <w:rFonts w:hint="default" w:ascii="Times New Roman" w:hAnsi="Times New Roman" w:cs="Times New Roman"/>
                <w:b/>
                <w:bCs/>
                <w:color w:val="000000"/>
                <w:kern w:val="0"/>
                <w:sz w:val="21"/>
                <w:szCs w:val="21"/>
                <w:highlight w:val="none"/>
                <w:lang w:val="en-US" w:eastAsia="zh-CN"/>
              </w:rPr>
              <w:t>二类</w:t>
            </w:r>
          </w:p>
        </w:tc>
        <w:tc>
          <w:tcPr>
            <w:tcW w:w="139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5B990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lang w:val="en-US" w:eastAsia="zh-CN"/>
              </w:rPr>
            </w:pPr>
            <w:r>
              <w:rPr>
                <w:rFonts w:hint="default" w:ascii="Times New Roman" w:hAnsi="Times New Roman" w:cs="Times New Roman"/>
                <w:b/>
                <w:bCs/>
                <w:color w:val="000000"/>
                <w:kern w:val="0"/>
                <w:sz w:val="21"/>
                <w:szCs w:val="21"/>
                <w:highlight w:val="none"/>
                <w:lang w:val="en-US" w:eastAsia="zh-CN"/>
              </w:rPr>
              <w:t>三类</w:t>
            </w:r>
          </w:p>
        </w:tc>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016D1D">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rPr>
            </w:pPr>
            <w:r>
              <w:rPr>
                <w:rFonts w:hint="default" w:ascii="Times New Roman" w:hAnsi="Times New Roman" w:cs="Times New Roman"/>
                <w:b/>
                <w:bCs/>
                <w:color w:val="000000"/>
                <w:kern w:val="0"/>
                <w:sz w:val="21"/>
                <w:szCs w:val="21"/>
                <w:highlight w:val="none"/>
                <w:lang w:val="en-US" w:eastAsia="zh-CN"/>
              </w:rPr>
              <w:t>总计</w:t>
            </w:r>
          </w:p>
        </w:tc>
      </w:tr>
      <w:tr w14:paraId="65CF96E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D90D1E">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w:t>
            </w:r>
          </w:p>
        </w:tc>
        <w:tc>
          <w:tcPr>
            <w:tcW w:w="9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458802">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成都市</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29C209">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315</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231643">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891</w:t>
            </w:r>
          </w:p>
        </w:tc>
        <w:tc>
          <w:tcPr>
            <w:tcW w:w="139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F37570">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432</w:t>
            </w:r>
          </w:p>
        </w:tc>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7689A9">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1638</w:t>
            </w:r>
          </w:p>
        </w:tc>
      </w:tr>
      <w:tr w14:paraId="5A0AAC9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37BFE4">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2</w:t>
            </w:r>
          </w:p>
        </w:tc>
        <w:tc>
          <w:tcPr>
            <w:tcW w:w="9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C3F673">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自贡市</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945E5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4</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DD469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31</w:t>
            </w:r>
          </w:p>
        </w:tc>
        <w:tc>
          <w:tcPr>
            <w:tcW w:w="139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AFCC1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22</w:t>
            </w:r>
          </w:p>
        </w:tc>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E4905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57</w:t>
            </w:r>
          </w:p>
        </w:tc>
      </w:tr>
      <w:tr w14:paraId="1A70321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E51A7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3</w:t>
            </w:r>
          </w:p>
        </w:tc>
        <w:tc>
          <w:tcPr>
            <w:tcW w:w="9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244B02">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攀枝花市</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C76FE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26</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3E0706">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94</w:t>
            </w:r>
          </w:p>
        </w:tc>
        <w:tc>
          <w:tcPr>
            <w:tcW w:w="139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2074F0">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53</w:t>
            </w:r>
          </w:p>
        </w:tc>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7C9968">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173</w:t>
            </w:r>
          </w:p>
        </w:tc>
      </w:tr>
      <w:tr w14:paraId="018BCF7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75DA34">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4</w:t>
            </w:r>
          </w:p>
        </w:tc>
        <w:tc>
          <w:tcPr>
            <w:tcW w:w="9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1B22B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泸州市</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9174C3">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10</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CB19E4">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41</w:t>
            </w:r>
          </w:p>
        </w:tc>
        <w:tc>
          <w:tcPr>
            <w:tcW w:w="139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E251F1">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8</w:t>
            </w:r>
          </w:p>
        </w:tc>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D3AE1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59</w:t>
            </w:r>
          </w:p>
        </w:tc>
      </w:tr>
      <w:tr w14:paraId="01D8E5A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239B4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5</w:t>
            </w:r>
          </w:p>
        </w:tc>
        <w:tc>
          <w:tcPr>
            <w:tcW w:w="9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58FE3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德阳市</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E445C1">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31</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79161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167</w:t>
            </w:r>
          </w:p>
        </w:tc>
        <w:tc>
          <w:tcPr>
            <w:tcW w:w="139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B93A1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33</w:t>
            </w:r>
          </w:p>
        </w:tc>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4585D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231</w:t>
            </w:r>
          </w:p>
        </w:tc>
      </w:tr>
      <w:tr w14:paraId="2AC2A30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DFDD38">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6</w:t>
            </w:r>
          </w:p>
        </w:tc>
        <w:tc>
          <w:tcPr>
            <w:tcW w:w="9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E433D8">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绵阳市</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A2F97E">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28</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A0B689">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170</w:t>
            </w:r>
          </w:p>
        </w:tc>
        <w:tc>
          <w:tcPr>
            <w:tcW w:w="139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D68573">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84</w:t>
            </w:r>
          </w:p>
        </w:tc>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7CDDB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282</w:t>
            </w:r>
          </w:p>
        </w:tc>
      </w:tr>
      <w:tr w14:paraId="3341B8E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D11DA2">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7</w:t>
            </w:r>
          </w:p>
        </w:tc>
        <w:tc>
          <w:tcPr>
            <w:tcW w:w="9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CB385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广元市</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1CB418">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15</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03369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87</w:t>
            </w:r>
          </w:p>
        </w:tc>
        <w:tc>
          <w:tcPr>
            <w:tcW w:w="139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D9FEE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30</w:t>
            </w:r>
          </w:p>
        </w:tc>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36BCC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132</w:t>
            </w:r>
          </w:p>
        </w:tc>
      </w:tr>
      <w:tr w14:paraId="6ED35F9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DF6E6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8</w:t>
            </w:r>
          </w:p>
        </w:tc>
        <w:tc>
          <w:tcPr>
            <w:tcW w:w="9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1516B2">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遂宁市</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480209">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24</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DD544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23</w:t>
            </w:r>
          </w:p>
        </w:tc>
        <w:tc>
          <w:tcPr>
            <w:tcW w:w="139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B13AF6">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15</w:t>
            </w:r>
          </w:p>
        </w:tc>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4C7C6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62</w:t>
            </w:r>
          </w:p>
        </w:tc>
      </w:tr>
      <w:tr w14:paraId="72D2015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CD40A0">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9</w:t>
            </w:r>
          </w:p>
        </w:tc>
        <w:tc>
          <w:tcPr>
            <w:tcW w:w="9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C9861D">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内江市</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316C24">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7</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961A0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67</w:t>
            </w:r>
          </w:p>
        </w:tc>
        <w:tc>
          <w:tcPr>
            <w:tcW w:w="139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AAAB30">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3</w:t>
            </w:r>
          </w:p>
        </w:tc>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C3B88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77</w:t>
            </w:r>
          </w:p>
        </w:tc>
      </w:tr>
      <w:tr w14:paraId="28B1646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4D5D9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10</w:t>
            </w:r>
          </w:p>
        </w:tc>
        <w:tc>
          <w:tcPr>
            <w:tcW w:w="9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31EE0E">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乐山市</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67A693">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10</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D38123">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71</w:t>
            </w:r>
          </w:p>
        </w:tc>
        <w:tc>
          <w:tcPr>
            <w:tcW w:w="139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28470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102</w:t>
            </w:r>
          </w:p>
        </w:tc>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9D0D36">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183</w:t>
            </w:r>
          </w:p>
        </w:tc>
      </w:tr>
      <w:tr w14:paraId="0204657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17F51E">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11</w:t>
            </w:r>
          </w:p>
        </w:tc>
        <w:tc>
          <w:tcPr>
            <w:tcW w:w="9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2FA85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南充市</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349490">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46</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6BA60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76</w:t>
            </w:r>
          </w:p>
        </w:tc>
        <w:tc>
          <w:tcPr>
            <w:tcW w:w="139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FC6EC1">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23</w:t>
            </w:r>
          </w:p>
        </w:tc>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5C1F71">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145</w:t>
            </w:r>
          </w:p>
        </w:tc>
      </w:tr>
      <w:tr w14:paraId="6FB60E7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3D81AD">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12</w:t>
            </w:r>
          </w:p>
        </w:tc>
        <w:tc>
          <w:tcPr>
            <w:tcW w:w="9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747F29">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宜宾市</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FAE363">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21</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2BD77A">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84</w:t>
            </w:r>
          </w:p>
        </w:tc>
        <w:tc>
          <w:tcPr>
            <w:tcW w:w="139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201166">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154</w:t>
            </w:r>
          </w:p>
        </w:tc>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8F1472">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259</w:t>
            </w:r>
          </w:p>
        </w:tc>
      </w:tr>
      <w:tr w14:paraId="6B518C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69153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13</w:t>
            </w:r>
          </w:p>
        </w:tc>
        <w:tc>
          <w:tcPr>
            <w:tcW w:w="9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F86BD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广安市</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1BAD72">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17</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8BFC3D">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53</w:t>
            </w:r>
          </w:p>
        </w:tc>
        <w:tc>
          <w:tcPr>
            <w:tcW w:w="139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9EA4A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11</w:t>
            </w:r>
          </w:p>
        </w:tc>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D42D2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81</w:t>
            </w:r>
          </w:p>
        </w:tc>
      </w:tr>
      <w:tr w14:paraId="2091DFA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C625B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14</w:t>
            </w:r>
          </w:p>
        </w:tc>
        <w:tc>
          <w:tcPr>
            <w:tcW w:w="9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06BA9A">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达州市</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DEAC9A">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36</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FB9AB1">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95</w:t>
            </w:r>
          </w:p>
        </w:tc>
        <w:tc>
          <w:tcPr>
            <w:tcW w:w="139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B54A13">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13</w:t>
            </w:r>
          </w:p>
        </w:tc>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D59146">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144</w:t>
            </w:r>
          </w:p>
        </w:tc>
      </w:tr>
      <w:tr w14:paraId="7251486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67FE3A">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15</w:t>
            </w:r>
          </w:p>
        </w:tc>
        <w:tc>
          <w:tcPr>
            <w:tcW w:w="9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09978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巴中市</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301ED4">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6</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B01518">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12</w:t>
            </w:r>
          </w:p>
        </w:tc>
        <w:tc>
          <w:tcPr>
            <w:tcW w:w="139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400D3E">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8</w:t>
            </w:r>
          </w:p>
        </w:tc>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909EC2">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26</w:t>
            </w:r>
          </w:p>
        </w:tc>
      </w:tr>
      <w:tr w14:paraId="7FB04D6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0B47F4">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16</w:t>
            </w:r>
          </w:p>
        </w:tc>
        <w:tc>
          <w:tcPr>
            <w:tcW w:w="9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95121E">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雅安市</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5CF31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11</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D6A7C9">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91</w:t>
            </w:r>
          </w:p>
        </w:tc>
        <w:tc>
          <w:tcPr>
            <w:tcW w:w="139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16A15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22</w:t>
            </w:r>
          </w:p>
        </w:tc>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EEDE00">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124</w:t>
            </w:r>
          </w:p>
        </w:tc>
      </w:tr>
      <w:tr w14:paraId="54C2EF6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8B7C3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17</w:t>
            </w:r>
          </w:p>
        </w:tc>
        <w:tc>
          <w:tcPr>
            <w:tcW w:w="9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5777C4">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眉山市</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FF8096">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29</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AC6FC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93</w:t>
            </w:r>
          </w:p>
        </w:tc>
        <w:tc>
          <w:tcPr>
            <w:tcW w:w="139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DAB7E8">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101</w:t>
            </w:r>
          </w:p>
        </w:tc>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F424E6">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223</w:t>
            </w:r>
          </w:p>
        </w:tc>
      </w:tr>
      <w:tr w14:paraId="74B653B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4CAACA">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18</w:t>
            </w:r>
          </w:p>
        </w:tc>
        <w:tc>
          <w:tcPr>
            <w:tcW w:w="9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CB4A93">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资阳市</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513794">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8</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6D118D">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25</w:t>
            </w:r>
          </w:p>
        </w:tc>
        <w:tc>
          <w:tcPr>
            <w:tcW w:w="139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58C4C0">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4</w:t>
            </w:r>
          </w:p>
        </w:tc>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85E2ED">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37</w:t>
            </w:r>
          </w:p>
        </w:tc>
      </w:tr>
      <w:tr w14:paraId="77B6306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E846FD">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19</w:t>
            </w:r>
          </w:p>
        </w:tc>
        <w:tc>
          <w:tcPr>
            <w:tcW w:w="9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9A36A2">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阿坝州</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720AB1">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7</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7F190E">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53</w:t>
            </w:r>
          </w:p>
        </w:tc>
        <w:tc>
          <w:tcPr>
            <w:tcW w:w="139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A1A1C4">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30</w:t>
            </w:r>
          </w:p>
        </w:tc>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232096">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90</w:t>
            </w:r>
          </w:p>
        </w:tc>
      </w:tr>
      <w:tr w14:paraId="5A5850B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27333D">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20</w:t>
            </w:r>
          </w:p>
        </w:tc>
        <w:tc>
          <w:tcPr>
            <w:tcW w:w="9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4E916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甘孜州</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C75E0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4</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084EB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35</w:t>
            </w:r>
          </w:p>
        </w:tc>
        <w:tc>
          <w:tcPr>
            <w:tcW w:w="139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D400ED">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37</w:t>
            </w:r>
          </w:p>
        </w:tc>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CDA014">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76</w:t>
            </w:r>
          </w:p>
        </w:tc>
      </w:tr>
      <w:tr w14:paraId="067ECED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69392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21</w:t>
            </w:r>
          </w:p>
        </w:tc>
        <w:tc>
          <w:tcPr>
            <w:tcW w:w="9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8BF7B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凉山州</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30F826">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18</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852016">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49</w:t>
            </w:r>
          </w:p>
        </w:tc>
        <w:tc>
          <w:tcPr>
            <w:tcW w:w="139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45582D">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22</w:t>
            </w:r>
          </w:p>
        </w:tc>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2A5869">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89</w:t>
            </w:r>
          </w:p>
        </w:tc>
      </w:tr>
      <w:tr w14:paraId="59BB44B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1721" w:type="pct"/>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4F0AB0">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总计</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CD0DA1">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673</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4ED85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2308</w:t>
            </w:r>
          </w:p>
        </w:tc>
        <w:tc>
          <w:tcPr>
            <w:tcW w:w="139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934960">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1207</w:t>
            </w:r>
          </w:p>
        </w:tc>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27BF8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4188</w:t>
            </w:r>
          </w:p>
        </w:tc>
      </w:tr>
    </w:tbl>
    <w:p w14:paraId="31E0439B">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从污染治理设施来看，38.5%采用光解/光催化加活性炭，33.4%的企业采用活性炭处理技术，16.3%采用光催化氧化处理技术，10.2%采用燃烧技术，0.8%采用喷淋等其他技术，0.8%未上任何治理设施，</w:t>
      </w:r>
      <w:r>
        <w:rPr>
          <w:rFonts w:hint="default" w:ascii="Times New Roman" w:hAnsi="Times New Roman" w:cs="Times New Roman"/>
          <w:highlight w:val="none"/>
          <w:lang w:val="en-US" w:eastAsia="zh-CN"/>
        </w:rPr>
        <w:t>根据《</w:t>
      </w:r>
      <w:r>
        <w:rPr>
          <w:rFonts w:hint="default" w:ascii="Times New Roman" w:hAnsi="Times New Roman" w:cs="Times New Roman"/>
          <w:highlight w:val="none"/>
        </w:rPr>
        <w:t>国家污染防治技术指导目录（2024年</w:t>
      </w:r>
      <w:r>
        <w:rPr>
          <w:rFonts w:hint="default" w:ascii="Times New Roman" w:hAnsi="Times New Roman" w:cs="Times New Roman"/>
          <w:highlight w:val="none"/>
          <w:lang w:eastAsia="zh-CN"/>
        </w:rPr>
        <w:t>，</w:t>
      </w:r>
      <w:r>
        <w:rPr>
          <w:rFonts w:hint="default" w:ascii="Times New Roman" w:hAnsi="Times New Roman" w:cs="Times New Roman"/>
          <w:highlight w:val="none"/>
        </w:rPr>
        <w:t>限制</w:t>
      </w:r>
      <w:r>
        <w:rPr>
          <w:rFonts w:hint="default" w:ascii="Times New Roman" w:hAnsi="Times New Roman" w:cs="Times New Roman"/>
          <w:highlight w:val="none"/>
          <w:lang w:val="en-US" w:eastAsia="zh-CN"/>
        </w:rPr>
        <w:t>类和</w:t>
      </w:r>
      <w:r>
        <w:rPr>
          <w:rFonts w:hint="default" w:ascii="Times New Roman" w:hAnsi="Times New Roman" w:cs="Times New Roman"/>
          <w:highlight w:val="none"/>
        </w:rPr>
        <w:t>淘汰</w:t>
      </w:r>
      <w:r>
        <w:rPr>
          <w:rFonts w:hint="default" w:ascii="Times New Roman" w:hAnsi="Times New Roman" w:cs="Times New Roman"/>
          <w:highlight w:val="none"/>
          <w:lang w:val="en-US" w:eastAsia="zh-CN"/>
        </w:rPr>
        <w:t>类</w:t>
      </w:r>
      <w:r>
        <w:rPr>
          <w:rFonts w:hint="default" w:ascii="Times New Roman" w:hAnsi="Times New Roman" w:cs="Times New Roman"/>
          <w:highlight w:val="none"/>
        </w:rPr>
        <w:t>）</w:t>
      </w:r>
      <w:r>
        <w:rPr>
          <w:rFonts w:hint="default" w:ascii="Times New Roman" w:hAnsi="Times New Roman" w:cs="Times New Roman"/>
          <w:highlight w:val="none"/>
          <w:lang w:val="en-US" w:eastAsia="zh-CN"/>
        </w:rPr>
        <w:t>》，VOCs光催化及其组合净化技术和VOCs光解（光氧化）及其组合净化技术属于淘汰类技术，全省共计</w:t>
      </w:r>
      <w:r>
        <w:rPr>
          <w:rFonts w:hint="default" w:ascii="Times New Roman" w:hAnsi="Times New Roman" w:cs="Times New Roman"/>
          <w:color w:val="auto"/>
          <w:highlight w:val="none"/>
          <w:lang w:val="en-US" w:eastAsia="zh-CN"/>
        </w:rPr>
        <w:t>16.3%的企业采用以上技术，</w:t>
      </w:r>
      <w:r>
        <w:rPr>
          <w:rFonts w:hint="default" w:ascii="Times New Roman" w:hAnsi="Times New Roman" w:cs="Times New Roman"/>
          <w:color w:val="auto"/>
          <w:highlight w:val="none"/>
        </w:rPr>
        <w:t>可以看出我省</w:t>
      </w:r>
      <w:r>
        <w:rPr>
          <w:rFonts w:hint="default" w:ascii="Times New Roman" w:hAnsi="Times New Roman" w:cs="Times New Roman"/>
          <w:color w:val="auto"/>
          <w:highlight w:val="none"/>
          <w:lang w:eastAsia="zh-CN"/>
        </w:rPr>
        <w:t>汽车维修</w:t>
      </w:r>
      <w:r>
        <w:rPr>
          <w:rFonts w:hint="default" w:ascii="Times New Roman" w:hAnsi="Times New Roman" w:cs="Times New Roman"/>
          <w:color w:val="auto"/>
          <w:highlight w:val="none"/>
        </w:rPr>
        <w:t>行业末端治理技术单一且效率整体偏低。</w:t>
      </w:r>
    </w:p>
    <w:p w14:paraId="36141B85">
      <w:pPr>
        <w:keepNext w:val="0"/>
        <w:keepLines w:val="0"/>
        <w:pageBreakBefore w:val="0"/>
        <w:widowControl/>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highlight w:val="none"/>
        </w:rPr>
      </w:pPr>
      <w:r>
        <w:rPr>
          <w:rFonts w:hint="default" w:ascii="Times New Roman" w:hAnsi="Times New Roman" w:cs="Times New Roman"/>
          <w:highlight w:val="none"/>
        </w:rPr>
        <w:drawing>
          <wp:inline distT="0" distB="0" distL="114300" distR="114300">
            <wp:extent cx="3093720" cy="2362200"/>
            <wp:effectExtent l="4445" t="4445" r="10795" b="10795"/>
            <wp:docPr id="3" name="图表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5CE83BCE">
      <w:pPr>
        <w:keepNext w:val="0"/>
        <w:keepLines w:val="0"/>
        <w:pageBreakBefore w:val="0"/>
        <w:widowControl/>
        <w:kinsoku/>
        <w:wordWrap/>
        <w:autoSpaceDE/>
        <w:autoSpaceDN/>
        <w:bidi w:val="0"/>
        <w:ind w:left="0" w:leftChars="0" w:firstLine="0" w:firstLineChars="0"/>
        <w:jc w:val="center"/>
        <w:rPr>
          <w:rFonts w:hint="default" w:ascii="Times New Roman" w:hAnsi="Times New Roman" w:cs="Times New Roman"/>
          <w:highlight w:val="none"/>
          <w:lang w:val="en-US" w:eastAsia="zh-CN"/>
        </w:rPr>
      </w:pPr>
      <w:r>
        <w:rPr>
          <w:rFonts w:hint="default" w:ascii="Times New Roman" w:hAnsi="Times New Roman" w:cs="Times New Roman"/>
          <w:highlight w:val="none"/>
          <w:lang w:val="en-US" w:eastAsia="zh-CN"/>
        </w:rPr>
        <w:t>图5.1-</w:t>
      </w:r>
      <w:r>
        <w:rPr>
          <w:rFonts w:hint="eastAsia" w:ascii="Times New Roman" w:hAnsi="Times New Roman" w:cs="Times New Roman"/>
          <w:highlight w:val="none"/>
          <w:lang w:val="en-US" w:eastAsia="zh-CN"/>
        </w:rPr>
        <w:t>1</w:t>
      </w:r>
      <w:r>
        <w:rPr>
          <w:rFonts w:hint="default" w:ascii="Times New Roman" w:hAnsi="Times New Roman" w:cs="Times New Roman"/>
          <w:highlight w:val="none"/>
          <w:lang w:val="en-US" w:eastAsia="zh-CN"/>
        </w:rPr>
        <w:t xml:space="preserve"> 四川省汽车维修企业等级分布</w:t>
      </w:r>
    </w:p>
    <w:p w14:paraId="664B552A">
      <w:pPr>
        <w:keepNext w:val="0"/>
        <w:keepLines w:val="0"/>
        <w:pageBreakBefore w:val="0"/>
        <w:widowControl/>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highlight w:val="none"/>
        </w:rPr>
      </w:pPr>
      <w:r>
        <w:rPr>
          <w:rFonts w:hint="default" w:ascii="Times New Roman" w:hAnsi="Times New Roman" w:cs="Times New Roman"/>
          <w:highlight w:val="none"/>
        </w:rPr>
        <w:drawing>
          <wp:inline distT="0" distB="0" distL="114300" distR="114300">
            <wp:extent cx="4130040" cy="3512185"/>
            <wp:effectExtent l="4445" t="4445" r="10795" b="19050"/>
            <wp:docPr id="102" name="图表 102"/>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11FF5114">
      <w:pPr>
        <w:keepNext w:val="0"/>
        <w:keepLines w:val="0"/>
        <w:pageBreakBefore w:val="0"/>
        <w:widowControl/>
        <w:kinsoku/>
        <w:wordWrap/>
        <w:autoSpaceDE/>
        <w:autoSpaceDN/>
        <w:bidi w:val="0"/>
        <w:ind w:left="0" w:leftChars="0" w:firstLine="0" w:firstLineChars="0"/>
        <w:jc w:val="center"/>
        <w:rPr>
          <w:rFonts w:hint="default" w:ascii="Times New Roman" w:hAnsi="Times New Roman" w:cs="Times New Roman"/>
          <w:highlight w:val="none"/>
          <w:lang w:val="en-US" w:eastAsia="zh-CN"/>
        </w:rPr>
      </w:pPr>
      <w:r>
        <w:rPr>
          <w:rFonts w:hint="default" w:ascii="Times New Roman" w:hAnsi="Times New Roman" w:cs="Times New Roman"/>
          <w:highlight w:val="none"/>
          <w:lang w:val="en-US" w:eastAsia="zh-CN"/>
        </w:rPr>
        <w:t>图5.1-</w:t>
      </w:r>
      <w:r>
        <w:rPr>
          <w:rFonts w:hint="eastAsia" w:ascii="Times New Roman" w:hAnsi="Times New Roman" w:cs="Times New Roman"/>
          <w:highlight w:val="none"/>
          <w:lang w:val="en-US" w:eastAsia="zh-CN"/>
        </w:rPr>
        <w:t>2</w:t>
      </w:r>
      <w:r>
        <w:rPr>
          <w:rFonts w:hint="default" w:ascii="Times New Roman" w:hAnsi="Times New Roman" w:cs="Times New Roman"/>
          <w:highlight w:val="none"/>
          <w:lang w:val="en-US" w:eastAsia="zh-CN"/>
        </w:rPr>
        <w:t xml:space="preserve"> 四川省汽车维修企业治理技术分布</w:t>
      </w:r>
    </w:p>
    <w:p w14:paraId="2CDDDA43">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根据</w:t>
      </w:r>
      <w:r>
        <w:rPr>
          <w:rFonts w:hint="default" w:ascii="Times New Roman" w:hAnsi="Times New Roman" w:cs="Times New Roman"/>
          <w:highlight w:val="none"/>
          <w:lang w:eastAsia="zh-CN"/>
        </w:rPr>
        <w:t>编制组</w:t>
      </w:r>
      <w:r>
        <w:rPr>
          <w:rFonts w:hint="default" w:ascii="Times New Roman" w:hAnsi="Times New Roman" w:cs="Times New Roman"/>
          <w:highlight w:val="none"/>
        </w:rPr>
        <w:t>研究的VOCs排放因子，一类、二类、三类</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企业VOCs产生量分别为1.57吨/年、0.40吨/年、0.23吨/年，</w:t>
      </w:r>
      <w:r>
        <w:rPr>
          <w:rFonts w:hint="default" w:ascii="Times New Roman" w:hAnsi="Times New Roman" w:cs="Times New Roman"/>
          <w:highlight w:val="none"/>
          <w:lang w:eastAsia="zh-CN"/>
        </w:rPr>
        <w:t>结合汽修企业数量和治理技术信息，估算</w:t>
      </w:r>
      <w:r>
        <w:rPr>
          <w:rFonts w:hint="default" w:ascii="Times New Roman" w:hAnsi="Times New Roman" w:cs="Times New Roman"/>
          <w:highlight w:val="none"/>
        </w:rPr>
        <w:t>全省21市</w:t>
      </w:r>
      <w:r>
        <w:rPr>
          <w:rFonts w:hint="default" w:ascii="Times New Roman" w:hAnsi="Times New Roman" w:cs="Times New Roman"/>
          <w:highlight w:val="none"/>
          <w:lang w:eastAsia="zh-CN"/>
        </w:rPr>
        <w:t>（</w:t>
      </w:r>
      <w:r>
        <w:rPr>
          <w:rFonts w:hint="default" w:ascii="Times New Roman" w:hAnsi="Times New Roman" w:cs="Times New Roman"/>
          <w:highlight w:val="none"/>
        </w:rPr>
        <w:t>州</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企业</w:t>
      </w:r>
      <w:r>
        <w:rPr>
          <w:rFonts w:hint="default" w:ascii="Times New Roman" w:hAnsi="Times New Roman" w:cs="Times New Roman"/>
          <w:highlight w:val="none"/>
          <w:lang w:val="en-US" w:eastAsia="zh-CN"/>
        </w:rPr>
        <w:t>VOCs排放量为2257.42吨</w:t>
      </w:r>
      <w:r>
        <w:rPr>
          <w:rFonts w:hint="default" w:ascii="Times New Roman" w:hAnsi="Times New Roman" w:cs="Times New Roman"/>
          <w:highlight w:val="none"/>
        </w:rPr>
        <w:t>，其中一类</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企业</w:t>
      </w:r>
      <w:r>
        <w:rPr>
          <w:rFonts w:hint="default" w:ascii="Times New Roman" w:hAnsi="Times New Roman" w:cs="Times New Roman"/>
          <w:highlight w:val="none"/>
          <w:lang w:val="en-US" w:eastAsia="zh-CN"/>
        </w:rPr>
        <w:t>排放量1056.6吨</w:t>
      </w:r>
      <w:r>
        <w:rPr>
          <w:rFonts w:hint="default" w:ascii="Times New Roman" w:hAnsi="Times New Roman" w:cs="Times New Roman"/>
          <w:highlight w:val="none"/>
        </w:rPr>
        <w:t>，占</w:t>
      </w:r>
      <w:r>
        <w:rPr>
          <w:rFonts w:hint="default" w:ascii="Times New Roman" w:hAnsi="Times New Roman" w:cs="Times New Roman"/>
          <w:highlight w:val="none"/>
          <w:lang w:val="en-US" w:eastAsia="zh-CN"/>
        </w:rPr>
        <w:t>47</w:t>
      </w:r>
      <w:r>
        <w:rPr>
          <w:rFonts w:hint="default" w:ascii="Times New Roman" w:hAnsi="Times New Roman" w:cs="Times New Roman"/>
          <w:highlight w:val="none"/>
        </w:rPr>
        <w:t>%，二类</w:t>
      </w:r>
      <w:r>
        <w:rPr>
          <w:rFonts w:hint="default" w:ascii="Times New Roman" w:hAnsi="Times New Roman" w:cs="Times New Roman"/>
          <w:highlight w:val="none"/>
          <w:lang w:val="en-US" w:eastAsia="zh-CN"/>
        </w:rPr>
        <w:t>923.2吨</w:t>
      </w:r>
      <w:r>
        <w:rPr>
          <w:rFonts w:hint="default" w:ascii="Times New Roman" w:hAnsi="Times New Roman" w:cs="Times New Roman"/>
          <w:highlight w:val="none"/>
        </w:rPr>
        <w:t>，占</w:t>
      </w:r>
      <w:r>
        <w:rPr>
          <w:rFonts w:hint="default" w:ascii="Times New Roman" w:hAnsi="Times New Roman" w:cs="Times New Roman"/>
          <w:highlight w:val="none"/>
          <w:lang w:val="en-US" w:eastAsia="zh-CN"/>
        </w:rPr>
        <w:t>41</w:t>
      </w:r>
      <w:r>
        <w:rPr>
          <w:rFonts w:hint="default" w:ascii="Times New Roman" w:hAnsi="Times New Roman" w:cs="Times New Roman"/>
          <w:highlight w:val="none"/>
        </w:rPr>
        <w:t>%，三类</w:t>
      </w:r>
      <w:r>
        <w:rPr>
          <w:rFonts w:hint="default" w:ascii="Times New Roman" w:hAnsi="Times New Roman" w:cs="Times New Roman"/>
          <w:highlight w:val="none"/>
          <w:lang w:val="en-US" w:eastAsia="zh-CN"/>
        </w:rPr>
        <w:t>277.6吨</w:t>
      </w:r>
      <w:r>
        <w:rPr>
          <w:rFonts w:hint="default" w:ascii="Times New Roman" w:hAnsi="Times New Roman" w:cs="Times New Roman"/>
          <w:highlight w:val="none"/>
        </w:rPr>
        <w:t>，占</w:t>
      </w:r>
      <w:r>
        <w:rPr>
          <w:rFonts w:hint="default" w:ascii="Times New Roman" w:hAnsi="Times New Roman" w:cs="Times New Roman"/>
          <w:highlight w:val="none"/>
          <w:lang w:val="en-US" w:eastAsia="zh-CN"/>
        </w:rPr>
        <w:t>12</w:t>
      </w:r>
      <w:r>
        <w:rPr>
          <w:rFonts w:hint="default" w:ascii="Times New Roman" w:hAnsi="Times New Roman" w:cs="Times New Roman"/>
          <w:highlight w:val="none"/>
        </w:rPr>
        <w:t>%。从市</w:t>
      </w:r>
      <w:r>
        <w:rPr>
          <w:rFonts w:hint="default" w:ascii="Times New Roman" w:hAnsi="Times New Roman" w:cs="Times New Roman"/>
          <w:highlight w:val="none"/>
          <w:lang w:eastAsia="zh-CN"/>
        </w:rPr>
        <w:t>（</w:t>
      </w:r>
      <w:r>
        <w:rPr>
          <w:rFonts w:hint="default" w:ascii="Times New Roman" w:hAnsi="Times New Roman" w:cs="Times New Roman"/>
          <w:highlight w:val="none"/>
        </w:rPr>
        <w:t>州</w:t>
      </w:r>
      <w:r>
        <w:rPr>
          <w:rFonts w:hint="default" w:ascii="Times New Roman" w:hAnsi="Times New Roman" w:cs="Times New Roman"/>
          <w:highlight w:val="none"/>
          <w:lang w:eastAsia="zh-CN"/>
        </w:rPr>
        <w:t>）</w:t>
      </w:r>
      <w:r>
        <w:rPr>
          <w:rFonts w:hint="default" w:ascii="Times New Roman" w:hAnsi="Times New Roman" w:cs="Times New Roman"/>
          <w:highlight w:val="none"/>
          <w:lang w:val="en-US" w:eastAsia="zh-CN"/>
        </w:rPr>
        <w:t>排放</w:t>
      </w:r>
      <w:r>
        <w:rPr>
          <w:rFonts w:hint="default" w:ascii="Times New Roman" w:hAnsi="Times New Roman" w:cs="Times New Roman"/>
          <w:highlight w:val="none"/>
        </w:rPr>
        <w:t>分布来看，成都市</w:t>
      </w:r>
      <w:r>
        <w:rPr>
          <w:rFonts w:hint="default" w:ascii="Times New Roman" w:hAnsi="Times New Roman" w:cs="Times New Roman"/>
          <w:highlight w:val="none"/>
          <w:lang w:eastAsia="zh-CN"/>
        </w:rPr>
        <w:t>、</w:t>
      </w:r>
      <w:r>
        <w:rPr>
          <w:rFonts w:hint="default" w:ascii="Times New Roman" w:hAnsi="Times New Roman" w:cs="Times New Roman"/>
          <w:highlight w:val="none"/>
        </w:rPr>
        <w:t>绵阳市</w:t>
      </w:r>
      <w:r>
        <w:rPr>
          <w:rFonts w:hint="default" w:ascii="Times New Roman" w:hAnsi="Times New Roman" w:cs="Times New Roman"/>
          <w:highlight w:val="none"/>
          <w:lang w:eastAsia="zh-CN"/>
        </w:rPr>
        <w:t>、</w:t>
      </w:r>
      <w:r>
        <w:rPr>
          <w:rFonts w:hint="default" w:ascii="Times New Roman" w:hAnsi="Times New Roman" w:cs="Times New Roman"/>
          <w:highlight w:val="none"/>
        </w:rPr>
        <w:t>德阳市</w:t>
      </w:r>
      <w:r>
        <w:rPr>
          <w:rFonts w:hint="default" w:ascii="Times New Roman" w:hAnsi="Times New Roman" w:cs="Times New Roman"/>
          <w:highlight w:val="none"/>
          <w:lang w:eastAsia="zh-CN"/>
        </w:rPr>
        <w:t>、</w:t>
      </w:r>
      <w:r>
        <w:rPr>
          <w:rFonts w:hint="default" w:ascii="Times New Roman" w:hAnsi="Times New Roman" w:cs="Times New Roman"/>
          <w:highlight w:val="none"/>
        </w:rPr>
        <w:t>南充市</w:t>
      </w:r>
      <w:r>
        <w:rPr>
          <w:rFonts w:hint="default" w:ascii="Times New Roman" w:hAnsi="Times New Roman" w:cs="Times New Roman"/>
          <w:highlight w:val="none"/>
          <w:lang w:eastAsia="zh-CN"/>
        </w:rPr>
        <w:t>、</w:t>
      </w:r>
      <w:r>
        <w:rPr>
          <w:rFonts w:hint="default" w:ascii="Times New Roman" w:hAnsi="Times New Roman" w:cs="Times New Roman"/>
          <w:highlight w:val="none"/>
        </w:rPr>
        <w:t>眉山市等市州</w:t>
      </w:r>
      <w:r>
        <w:rPr>
          <w:rFonts w:hint="default" w:ascii="Times New Roman" w:hAnsi="Times New Roman" w:cs="Times New Roman"/>
          <w:highlight w:val="none"/>
          <w:lang w:val="en-US" w:eastAsia="zh-CN"/>
        </w:rPr>
        <w:t>排放</w:t>
      </w:r>
      <w:r>
        <w:rPr>
          <w:rFonts w:hint="default" w:ascii="Times New Roman" w:hAnsi="Times New Roman" w:cs="Times New Roman"/>
          <w:highlight w:val="none"/>
        </w:rPr>
        <w:t>量较</w:t>
      </w:r>
      <w:r>
        <w:rPr>
          <w:rFonts w:hint="default" w:ascii="Times New Roman" w:hAnsi="Times New Roman" w:cs="Times New Roman"/>
          <w:highlight w:val="none"/>
          <w:lang w:val="en-US" w:eastAsia="zh-CN"/>
        </w:rPr>
        <w:t>大</w:t>
      </w:r>
      <w:r>
        <w:rPr>
          <w:rFonts w:hint="default" w:ascii="Times New Roman" w:hAnsi="Times New Roman" w:cs="Times New Roman"/>
          <w:highlight w:val="none"/>
        </w:rPr>
        <w:t>，均在</w:t>
      </w:r>
      <w:r>
        <w:rPr>
          <w:rFonts w:hint="default" w:ascii="Times New Roman" w:hAnsi="Times New Roman" w:cs="Times New Roman"/>
          <w:highlight w:val="none"/>
          <w:lang w:val="en-US" w:eastAsia="zh-CN"/>
        </w:rPr>
        <w:t>100吨</w:t>
      </w:r>
      <w:r>
        <w:rPr>
          <w:rFonts w:hint="default" w:ascii="Times New Roman" w:hAnsi="Times New Roman" w:cs="Times New Roman"/>
          <w:highlight w:val="none"/>
        </w:rPr>
        <w:t>以上。各市（州）</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企业</w:t>
      </w:r>
      <w:r>
        <w:rPr>
          <w:rFonts w:hint="default" w:ascii="Times New Roman" w:hAnsi="Times New Roman" w:cs="Times New Roman"/>
          <w:highlight w:val="none"/>
          <w:lang w:val="en-US" w:eastAsia="zh-CN"/>
        </w:rPr>
        <w:t>排放量</w:t>
      </w:r>
      <w:r>
        <w:rPr>
          <w:rFonts w:hint="default" w:ascii="Times New Roman" w:hAnsi="Times New Roman" w:cs="Times New Roman"/>
          <w:highlight w:val="none"/>
        </w:rPr>
        <w:t>详见下表。</w:t>
      </w:r>
    </w:p>
    <w:p w14:paraId="171F665C">
      <w:pPr>
        <w:keepNext w:val="0"/>
        <w:keepLines w:val="0"/>
        <w:pageBreakBefore w:val="0"/>
        <w:widowControl/>
        <w:kinsoku/>
        <w:wordWrap/>
        <w:autoSpaceDE/>
        <w:autoSpaceDN/>
        <w:bidi w:val="0"/>
        <w:ind w:left="0" w:leftChars="0" w:firstLine="0" w:firstLineChars="0"/>
        <w:jc w:val="center"/>
        <w:rPr>
          <w:rFonts w:hint="default" w:ascii="Times New Roman" w:hAnsi="Times New Roman" w:cs="Times New Roman"/>
          <w:highlight w:val="none"/>
          <w:lang w:val="en-US" w:eastAsia="zh-CN"/>
        </w:rPr>
      </w:pPr>
      <w:r>
        <w:rPr>
          <w:rFonts w:hint="default" w:ascii="Times New Roman" w:hAnsi="Times New Roman" w:cs="Times New Roman"/>
          <w:highlight w:val="none"/>
          <w:lang w:val="en-US" w:eastAsia="zh-CN"/>
        </w:rPr>
        <w:t>表5.1-2 四川省21市（州）汽车维修企业排放量分布</w:t>
      </w:r>
    </w:p>
    <w:p w14:paraId="5C83B24A">
      <w:pPr>
        <w:keepNext w:val="0"/>
        <w:keepLines w:val="0"/>
        <w:pageBreakBefore w:val="0"/>
        <w:widowControl/>
        <w:kinsoku/>
        <w:wordWrap/>
        <w:autoSpaceDE/>
        <w:autoSpaceDN/>
        <w:bidi w:val="0"/>
        <w:ind w:left="0" w:leftChars="0" w:firstLine="0" w:firstLineChars="0"/>
        <w:jc w:val="right"/>
        <w:rPr>
          <w:rFonts w:hint="default" w:ascii="Times New Roman" w:hAnsi="Times New Roman" w:cs="Times New Roman"/>
          <w:highlight w:val="none"/>
          <w:lang w:val="en-US" w:eastAsia="zh-CN"/>
        </w:rPr>
      </w:pPr>
      <w:r>
        <w:rPr>
          <w:rFonts w:hint="default" w:ascii="Times New Roman" w:hAnsi="Times New Roman" w:cs="Times New Roman"/>
          <w:highlight w:val="none"/>
          <w:lang w:val="en-US" w:eastAsia="zh-CN"/>
        </w:rPr>
        <w:t>单位：吨</w:t>
      </w:r>
    </w:p>
    <w:tbl>
      <w:tblPr>
        <w:tblStyle w:val="21"/>
        <w:tblW w:w="4997"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436"/>
        <w:gridCol w:w="1455"/>
        <w:gridCol w:w="1436"/>
        <w:gridCol w:w="1436"/>
        <w:gridCol w:w="1323"/>
        <w:gridCol w:w="1437"/>
      </w:tblGrid>
      <w:tr w14:paraId="25A91EF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8" w:hRule="atLeast"/>
          <w:tblHeader/>
        </w:trPr>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5F00F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lang w:val="en-US" w:eastAsia="zh-CN"/>
              </w:rPr>
            </w:pPr>
            <w:r>
              <w:rPr>
                <w:rFonts w:hint="default" w:ascii="Times New Roman" w:hAnsi="Times New Roman" w:cs="Times New Roman"/>
                <w:b/>
                <w:bCs/>
                <w:color w:val="000000"/>
                <w:kern w:val="0"/>
                <w:sz w:val="21"/>
                <w:szCs w:val="21"/>
                <w:highlight w:val="none"/>
                <w:lang w:val="en-US" w:eastAsia="zh-CN"/>
              </w:rPr>
              <w:t>序号</w:t>
            </w:r>
          </w:p>
        </w:tc>
        <w:tc>
          <w:tcPr>
            <w:tcW w:w="85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14F2AE">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lang w:val="en-US" w:eastAsia="zh-CN"/>
              </w:rPr>
            </w:pPr>
            <w:r>
              <w:rPr>
                <w:rFonts w:hint="default" w:ascii="Times New Roman" w:hAnsi="Times New Roman" w:cs="Times New Roman"/>
                <w:b/>
                <w:bCs/>
                <w:color w:val="000000"/>
                <w:kern w:val="0"/>
                <w:sz w:val="21"/>
                <w:szCs w:val="21"/>
                <w:highlight w:val="none"/>
                <w:lang w:val="en-US" w:eastAsia="zh-CN"/>
              </w:rPr>
              <w:t>市（州）</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0D8EA2">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lang w:val="en-US" w:eastAsia="zh-CN"/>
              </w:rPr>
            </w:pPr>
            <w:r>
              <w:rPr>
                <w:rFonts w:hint="default" w:ascii="Times New Roman" w:hAnsi="Times New Roman" w:cs="Times New Roman"/>
                <w:b/>
                <w:bCs/>
                <w:color w:val="000000"/>
                <w:kern w:val="0"/>
                <w:sz w:val="21"/>
                <w:szCs w:val="21"/>
                <w:highlight w:val="none"/>
                <w:lang w:val="en-US" w:eastAsia="zh-CN"/>
              </w:rPr>
              <w:t>一类</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E176C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lang w:val="en-US" w:eastAsia="zh-CN"/>
              </w:rPr>
            </w:pPr>
            <w:r>
              <w:rPr>
                <w:rFonts w:hint="default" w:ascii="Times New Roman" w:hAnsi="Times New Roman" w:cs="Times New Roman"/>
                <w:b/>
                <w:bCs/>
                <w:color w:val="000000"/>
                <w:kern w:val="0"/>
                <w:sz w:val="21"/>
                <w:szCs w:val="21"/>
                <w:highlight w:val="none"/>
                <w:lang w:val="en-US" w:eastAsia="zh-CN"/>
              </w:rPr>
              <w:t>二类</w:t>
            </w:r>
          </w:p>
        </w:tc>
        <w:tc>
          <w:tcPr>
            <w:tcW w:w="77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7D3320">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lang w:val="en-US" w:eastAsia="zh-CN"/>
              </w:rPr>
            </w:pPr>
            <w:r>
              <w:rPr>
                <w:rFonts w:hint="default" w:ascii="Times New Roman" w:hAnsi="Times New Roman" w:cs="Times New Roman"/>
                <w:b/>
                <w:bCs/>
                <w:color w:val="000000"/>
                <w:kern w:val="0"/>
                <w:sz w:val="21"/>
                <w:szCs w:val="21"/>
                <w:highlight w:val="none"/>
                <w:lang w:val="en-US" w:eastAsia="zh-CN"/>
              </w:rPr>
              <w:t>三类</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D6329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lang w:val="en-US" w:eastAsia="zh-CN"/>
              </w:rPr>
            </w:pPr>
            <w:r>
              <w:rPr>
                <w:rFonts w:hint="default" w:ascii="Times New Roman" w:hAnsi="Times New Roman" w:cs="Times New Roman"/>
                <w:b/>
                <w:bCs/>
                <w:color w:val="000000"/>
                <w:kern w:val="0"/>
                <w:sz w:val="21"/>
                <w:szCs w:val="21"/>
                <w:highlight w:val="none"/>
                <w:lang w:val="en-US" w:eastAsia="zh-CN"/>
              </w:rPr>
              <w:t>总计</w:t>
            </w:r>
          </w:p>
        </w:tc>
      </w:tr>
      <w:tr w14:paraId="01A85C1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35EDA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w:t>
            </w:r>
          </w:p>
        </w:tc>
        <w:tc>
          <w:tcPr>
            <w:tcW w:w="85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FD693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成都市</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75386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494.55</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FF0E62">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356.4</w:t>
            </w:r>
          </w:p>
        </w:tc>
        <w:tc>
          <w:tcPr>
            <w:tcW w:w="77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70BA83">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99.36</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4DCB8A">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950.31</w:t>
            </w:r>
          </w:p>
        </w:tc>
      </w:tr>
      <w:tr w14:paraId="6E4678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E56434">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2</w:t>
            </w:r>
          </w:p>
        </w:tc>
        <w:tc>
          <w:tcPr>
            <w:tcW w:w="85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E3D7A1">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自贡市</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1565FA">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6.28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CB8D9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12.40 </w:t>
            </w:r>
          </w:p>
        </w:tc>
        <w:tc>
          <w:tcPr>
            <w:tcW w:w="77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774FAD">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5.06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AC3F9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23.74 </w:t>
            </w:r>
          </w:p>
        </w:tc>
      </w:tr>
      <w:tr w14:paraId="7D1ED01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D3D022">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3</w:t>
            </w:r>
          </w:p>
        </w:tc>
        <w:tc>
          <w:tcPr>
            <w:tcW w:w="85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70241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攀枝花市</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B3F808">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40.82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8A733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37.60 </w:t>
            </w:r>
          </w:p>
        </w:tc>
        <w:tc>
          <w:tcPr>
            <w:tcW w:w="77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D375D9">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12.19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9A7FB3">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90.61 </w:t>
            </w:r>
          </w:p>
        </w:tc>
      </w:tr>
      <w:tr w14:paraId="6E61FFF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56CFCD">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4</w:t>
            </w:r>
          </w:p>
        </w:tc>
        <w:tc>
          <w:tcPr>
            <w:tcW w:w="85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DE54D3">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泸州市</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23FCE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15.70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58F470">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16.40 </w:t>
            </w:r>
          </w:p>
        </w:tc>
        <w:tc>
          <w:tcPr>
            <w:tcW w:w="77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582B90">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1.84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0126B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33.94 </w:t>
            </w:r>
          </w:p>
        </w:tc>
      </w:tr>
      <w:tr w14:paraId="7C4BD8F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6CCD8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5</w:t>
            </w:r>
          </w:p>
        </w:tc>
        <w:tc>
          <w:tcPr>
            <w:tcW w:w="85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84FDFE">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德阳市</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0CEA89">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48.67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FBA2C4">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66.80 </w:t>
            </w:r>
          </w:p>
        </w:tc>
        <w:tc>
          <w:tcPr>
            <w:tcW w:w="77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098072">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7.59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C84169">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123.06 </w:t>
            </w:r>
          </w:p>
        </w:tc>
      </w:tr>
      <w:tr w14:paraId="46B2BF9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0B1A8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6</w:t>
            </w:r>
          </w:p>
        </w:tc>
        <w:tc>
          <w:tcPr>
            <w:tcW w:w="85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31313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绵阳市</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8902D0">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43.96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E0EAB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68.00 </w:t>
            </w:r>
          </w:p>
        </w:tc>
        <w:tc>
          <w:tcPr>
            <w:tcW w:w="77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3E8DE8">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19.32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B3BB58">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131.28 </w:t>
            </w:r>
          </w:p>
        </w:tc>
      </w:tr>
      <w:tr w14:paraId="35F582A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ABD7B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7</w:t>
            </w:r>
          </w:p>
        </w:tc>
        <w:tc>
          <w:tcPr>
            <w:tcW w:w="85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12779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广元市</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ABA50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23.55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56A493">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34.80 </w:t>
            </w:r>
          </w:p>
        </w:tc>
        <w:tc>
          <w:tcPr>
            <w:tcW w:w="77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CF7FBD">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6.90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6348F6">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65.25 </w:t>
            </w:r>
          </w:p>
        </w:tc>
      </w:tr>
      <w:tr w14:paraId="593D757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419269">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8</w:t>
            </w:r>
          </w:p>
        </w:tc>
        <w:tc>
          <w:tcPr>
            <w:tcW w:w="85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346ED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遂宁市</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8BBB1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37.68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0350D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9.20 </w:t>
            </w:r>
          </w:p>
        </w:tc>
        <w:tc>
          <w:tcPr>
            <w:tcW w:w="77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73871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3.45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6BD7D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50.33 </w:t>
            </w:r>
          </w:p>
        </w:tc>
      </w:tr>
      <w:tr w14:paraId="3F9AEA3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C34201">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9</w:t>
            </w:r>
          </w:p>
        </w:tc>
        <w:tc>
          <w:tcPr>
            <w:tcW w:w="85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5CF47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内江市</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6BC594">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10.99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0BFE7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26.80 </w:t>
            </w:r>
          </w:p>
        </w:tc>
        <w:tc>
          <w:tcPr>
            <w:tcW w:w="77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48F6D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0.69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DA199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38.48 </w:t>
            </w:r>
          </w:p>
        </w:tc>
      </w:tr>
      <w:tr w14:paraId="61EC888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53F53A">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10</w:t>
            </w:r>
          </w:p>
        </w:tc>
        <w:tc>
          <w:tcPr>
            <w:tcW w:w="85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C220C1">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乐山市</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6FAB5E">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15.70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2A6DF9">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28.40 </w:t>
            </w:r>
          </w:p>
        </w:tc>
        <w:tc>
          <w:tcPr>
            <w:tcW w:w="77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9F0D2E">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23.46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7C764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67.56 </w:t>
            </w:r>
          </w:p>
        </w:tc>
      </w:tr>
      <w:tr w14:paraId="5850635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52B412">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11</w:t>
            </w:r>
          </w:p>
        </w:tc>
        <w:tc>
          <w:tcPr>
            <w:tcW w:w="85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D29620">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南充市</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26F6F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72.22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C7FA98">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30.40 </w:t>
            </w:r>
          </w:p>
        </w:tc>
        <w:tc>
          <w:tcPr>
            <w:tcW w:w="77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3FE320">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5.29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E3C112">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107.91 </w:t>
            </w:r>
          </w:p>
        </w:tc>
      </w:tr>
      <w:tr w14:paraId="3B67EA3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12BB78">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12</w:t>
            </w:r>
          </w:p>
        </w:tc>
        <w:tc>
          <w:tcPr>
            <w:tcW w:w="85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D338CE">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宜宾市</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7CC181">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32.97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32DC5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33.60 </w:t>
            </w:r>
          </w:p>
        </w:tc>
        <w:tc>
          <w:tcPr>
            <w:tcW w:w="77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093D8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35.42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BC1321">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101.99 </w:t>
            </w:r>
          </w:p>
        </w:tc>
      </w:tr>
      <w:tr w14:paraId="0179BA6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8C4742">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13</w:t>
            </w:r>
          </w:p>
        </w:tc>
        <w:tc>
          <w:tcPr>
            <w:tcW w:w="85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1B1912">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广安市</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229F6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26.69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45B2F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21.20 </w:t>
            </w:r>
          </w:p>
        </w:tc>
        <w:tc>
          <w:tcPr>
            <w:tcW w:w="77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32DC3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2.53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D7659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50.42 </w:t>
            </w:r>
          </w:p>
        </w:tc>
      </w:tr>
      <w:tr w14:paraId="64C5313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70F986">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14</w:t>
            </w:r>
          </w:p>
        </w:tc>
        <w:tc>
          <w:tcPr>
            <w:tcW w:w="85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8DE5A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达州市</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F1DDD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56.52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1ECAA6">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38.00 </w:t>
            </w:r>
          </w:p>
        </w:tc>
        <w:tc>
          <w:tcPr>
            <w:tcW w:w="77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7FC142">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2.99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08C51E">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97.51 </w:t>
            </w:r>
          </w:p>
        </w:tc>
      </w:tr>
      <w:tr w14:paraId="070026B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22EA64">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15</w:t>
            </w:r>
          </w:p>
        </w:tc>
        <w:tc>
          <w:tcPr>
            <w:tcW w:w="85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1EA55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巴中市</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0E481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9.42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D0B582">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4.80 </w:t>
            </w:r>
          </w:p>
        </w:tc>
        <w:tc>
          <w:tcPr>
            <w:tcW w:w="77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CED63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1.84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D7ED9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16.06 </w:t>
            </w:r>
          </w:p>
        </w:tc>
      </w:tr>
      <w:tr w14:paraId="198D880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F8BCC0">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16</w:t>
            </w:r>
          </w:p>
        </w:tc>
        <w:tc>
          <w:tcPr>
            <w:tcW w:w="85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79D1D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雅安市</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AD7AC9">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17.27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CB9468">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36.40 </w:t>
            </w:r>
          </w:p>
        </w:tc>
        <w:tc>
          <w:tcPr>
            <w:tcW w:w="77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5F0BA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5.06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B4E56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58.73 </w:t>
            </w:r>
          </w:p>
        </w:tc>
      </w:tr>
      <w:tr w14:paraId="4505D2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AFDBA8">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17</w:t>
            </w:r>
          </w:p>
        </w:tc>
        <w:tc>
          <w:tcPr>
            <w:tcW w:w="85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16CE1E">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眉山市</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2EA8B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45.53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1D1AA0">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37.20 </w:t>
            </w:r>
          </w:p>
        </w:tc>
        <w:tc>
          <w:tcPr>
            <w:tcW w:w="77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CF676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23.23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540453">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105.96 </w:t>
            </w:r>
          </w:p>
        </w:tc>
      </w:tr>
      <w:tr w14:paraId="2E9DBBF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F7A94D">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18</w:t>
            </w:r>
          </w:p>
        </w:tc>
        <w:tc>
          <w:tcPr>
            <w:tcW w:w="85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BFC581">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资阳市</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C36FE1">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12.56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04D56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10.00 </w:t>
            </w:r>
          </w:p>
        </w:tc>
        <w:tc>
          <w:tcPr>
            <w:tcW w:w="77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7B5FA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0.92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5CE422">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23.48 </w:t>
            </w:r>
          </w:p>
        </w:tc>
      </w:tr>
      <w:tr w14:paraId="23678E6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D66C96">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19</w:t>
            </w:r>
          </w:p>
        </w:tc>
        <w:tc>
          <w:tcPr>
            <w:tcW w:w="85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1FFD83">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阿坝州</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4C18F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10.99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15009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21.20 </w:t>
            </w:r>
          </w:p>
        </w:tc>
        <w:tc>
          <w:tcPr>
            <w:tcW w:w="77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8F8CA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6.90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29FF01">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39.09 </w:t>
            </w:r>
          </w:p>
        </w:tc>
      </w:tr>
      <w:tr w14:paraId="4A8F0C5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1423C9">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20</w:t>
            </w:r>
          </w:p>
        </w:tc>
        <w:tc>
          <w:tcPr>
            <w:tcW w:w="85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195F43">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甘孜州</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677AB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6.28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D68DD6">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14.00 </w:t>
            </w:r>
          </w:p>
        </w:tc>
        <w:tc>
          <w:tcPr>
            <w:tcW w:w="77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2B42F2">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8.51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7343F6">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28.79 </w:t>
            </w:r>
          </w:p>
        </w:tc>
      </w:tr>
      <w:tr w14:paraId="62FF9D0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2A1CBE">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21</w:t>
            </w:r>
          </w:p>
        </w:tc>
        <w:tc>
          <w:tcPr>
            <w:tcW w:w="85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FA52A9">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凉山州</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7976B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28.26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58D716">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19.60 </w:t>
            </w:r>
          </w:p>
        </w:tc>
        <w:tc>
          <w:tcPr>
            <w:tcW w:w="77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89F6AD">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5.06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55AC9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52.92 </w:t>
            </w:r>
          </w:p>
        </w:tc>
      </w:tr>
      <w:tr w14:paraId="483ADD1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1695" w:type="pct"/>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3A6181">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总计</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032E2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1056.61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45CE7D">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923.20 </w:t>
            </w:r>
          </w:p>
        </w:tc>
        <w:tc>
          <w:tcPr>
            <w:tcW w:w="77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429B78">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277.61 </w:t>
            </w:r>
          </w:p>
        </w:tc>
        <w:tc>
          <w:tcPr>
            <w:tcW w:w="84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CD76C7">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2257.42 </w:t>
            </w:r>
          </w:p>
        </w:tc>
      </w:tr>
    </w:tbl>
    <w:p w14:paraId="6FF9574D">
      <w:pPr>
        <w:keepNext w:val="0"/>
        <w:keepLines w:val="0"/>
        <w:pageBreakBefore w:val="0"/>
        <w:widowControl/>
        <w:kinsoku/>
        <w:wordWrap/>
        <w:autoSpaceDE/>
        <w:autoSpaceDN/>
        <w:bidi w:val="0"/>
        <w:ind w:left="0" w:leftChars="0" w:firstLine="0" w:firstLineChars="0"/>
        <w:rPr>
          <w:rFonts w:hint="default" w:ascii="Times New Roman" w:hAnsi="Times New Roman" w:eastAsia="宋体" w:cs="Times New Roman"/>
          <w:highlight w:val="none"/>
          <w:lang w:eastAsia="zh-CN"/>
        </w:rPr>
      </w:pPr>
      <w:r>
        <w:rPr>
          <w:rFonts w:hint="default" w:ascii="Times New Roman" w:hAnsi="Times New Roman" w:eastAsia="宋体" w:cs="Times New Roman"/>
          <w:highlight w:val="none"/>
          <w:lang w:eastAsia="zh-CN"/>
        </w:rPr>
        <w:drawing>
          <wp:inline distT="0" distB="0" distL="114300" distR="114300">
            <wp:extent cx="5256530" cy="2274570"/>
            <wp:effectExtent l="4445" t="4445" r="12065" b="6985"/>
            <wp:docPr id="2" name="图表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092AAD11">
      <w:pPr>
        <w:keepNext w:val="0"/>
        <w:keepLines w:val="0"/>
        <w:pageBreakBefore w:val="0"/>
        <w:widowControl/>
        <w:kinsoku/>
        <w:wordWrap/>
        <w:autoSpaceDE/>
        <w:autoSpaceDN/>
        <w:bidi w:val="0"/>
        <w:ind w:left="0" w:leftChars="0" w:firstLine="0" w:firstLineChars="0"/>
        <w:jc w:val="center"/>
        <w:rPr>
          <w:rFonts w:hint="default" w:ascii="Times New Roman" w:hAnsi="Times New Roman" w:cs="Times New Roman"/>
          <w:highlight w:val="none"/>
          <w:lang w:val="en-US" w:eastAsia="zh-CN"/>
        </w:rPr>
      </w:pPr>
      <w:r>
        <w:rPr>
          <w:rFonts w:hint="default" w:ascii="Times New Roman" w:hAnsi="Times New Roman" w:cs="Times New Roman"/>
          <w:highlight w:val="none"/>
          <w:lang w:val="en-US" w:eastAsia="zh-CN"/>
        </w:rPr>
        <w:t>图5.1-</w:t>
      </w:r>
      <w:r>
        <w:rPr>
          <w:rFonts w:hint="eastAsia" w:ascii="Times New Roman" w:hAnsi="Times New Roman" w:cs="Times New Roman"/>
          <w:highlight w:val="none"/>
          <w:lang w:val="en-US" w:eastAsia="zh-CN"/>
        </w:rPr>
        <w:t>3</w:t>
      </w:r>
      <w:r>
        <w:rPr>
          <w:rFonts w:hint="default" w:ascii="Times New Roman" w:hAnsi="Times New Roman" w:cs="Times New Roman"/>
          <w:highlight w:val="none"/>
          <w:lang w:val="en-US" w:eastAsia="zh-CN"/>
        </w:rPr>
        <w:t xml:space="preserve"> 四川省21市（州）汽车维修企业VOCs排放量分布</w:t>
      </w:r>
    </w:p>
    <w:p w14:paraId="06C39E47">
      <w:pPr>
        <w:keepNext w:val="0"/>
        <w:keepLines w:val="0"/>
        <w:pageBreakBefore w:val="0"/>
        <w:widowControl/>
        <w:kinsoku/>
        <w:wordWrap/>
        <w:autoSpaceDE/>
        <w:autoSpaceDN/>
        <w:bidi w:val="0"/>
        <w:rPr>
          <w:rFonts w:hint="default" w:ascii="Times New Roman" w:hAnsi="Times New Roman" w:cs="Times New Roman"/>
          <w:highlight w:val="none"/>
          <w:lang w:val="en-US" w:eastAsia="zh-CN"/>
        </w:rPr>
      </w:pPr>
      <w:r>
        <w:rPr>
          <w:rFonts w:hint="default" w:ascii="Times New Roman" w:hAnsi="Times New Roman" w:cs="Times New Roman"/>
          <w:highlight w:val="none"/>
          <w:lang w:val="en-US" w:eastAsia="zh-CN"/>
        </w:rPr>
        <w:t>从区县汽车维修企业排放情况来看，全省189个区县中，排放量前十的区县排放量为47.87吨（成都成华区）~82.77吨（成都高新区），合计为643.37吨，占全省排放量的29%，前十区县9个来自于成都，德阳旌阳区排放量52.68吨，位列全省第七。排放量前三的区县为成都高新区、双流区、武侯区，排放量分别为82.77吨、76.85吨、76.77吨，分别占全省的4%、3%、3%。</w:t>
      </w:r>
    </w:p>
    <w:p w14:paraId="5FB5932A">
      <w:pPr>
        <w:keepNext w:val="0"/>
        <w:keepLines w:val="0"/>
        <w:pageBreakBefore w:val="0"/>
        <w:widowControl/>
        <w:kinsoku/>
        <w:wordWrap/>
        <w:autoSpaceDE/>
        <w:autoSpaceDN/>
        <w:bidi w:val="0"/>
        <w:ind w:left="0" w:leftChars="0" w:firstLine="0" w:firstLineChars="0"/>
        <w:jc w:val="center"/>
        <w:rPr>
          <w:rFonts w:hint="default" w:ascii="Times New Roman" w:hAnsi="Times New Roman" w:cs="Times New Roman"/>
          <w:highlight w:val="none"/>
          <w:lang w:val="en-US" w:eastAsia="zh-CN"/>
        </w:rPr>
      </w:pPr>
      <w:r>
        <w:rPr>
          <w:rFonts w:hint="default" w:ascii="Times New Roman" w:hAnsi="Times New Roman" w:cs="Times New Roman"/>
          <w:highlight w:val="none"/>
          <w:lang w:val="en-US" w:eastAsia="zh-CN"/>
        </w:rPr>
        <w:t>表5.1-3 四川省189区县汽车维修企业VOCs排放量分布</w:t>
      </w:r>
    </w:p>
    <w:p w14:paraId="5FECC987">
      <w:pPr>
        <w:keepNext w:val="0"/>
        <w:keepLines w:val="0"/>
        <w:pageBreakBefore w:val="0"/>
        <w:widowControl/>
        <w:kinsoku/>
        <w:wordWrap/>
        <w:autoSpaceDE/>
        <w:autoSpaceDN/>
        <w:bidi w:val="0"/>
        <w:ind w:left="0" w:leftChars="0" w:firstLine="0" w:firstLineChars="0"/>
        <w:jc w:val="right"/>
        <w:rPr>
          <w:rFonts w:hint="default" w:ascii="Times New Roman" w:hAnsi="Times New Roman" w:cs="Times New Roman"/>
          <w:highlight w:val="none"/>
          <w:lang w:val="en-US" w:eastAsia="zh-CN"/>
        </w:rPr>
      </w:pPr>
      <w:r>
        <w:rPr>
          <w:rFonts w:hint="default" w:ascii="Times New Roman" w:hAnsi="Times New Roman" w:cs="Times New Roman"/>
          <w:highlight w:val="none"/>
          <w:lang w:val="en-US" w:eastAsia="zh-CN"/>
        </w:rPr>
        <w:t>单位：吨</w:t>
      </w:r>
    </w:p>
    <w:tbl>
      <w:tblPr>
        <w:tblStyle w:val="21"/>
        <w:tblW w:w="4997"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663"/>
        <w:gridCol w:w="1074"/>
        <w:gridCol w:w="1686"/>
        <w:gridCol w:w="854"/>
        <w:gridCol w:w="708"/>
        <w:gridCol w:w="1060"/>
        <w:gridCol w:w="1476"/>
        <w:gridCol w:w="1002"/>
      </w:tblGrid>
      <w:tr w14:paraId="6B3A831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8" w:hRule="atLeast"/>
          <w:tblHeader/>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2D42B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b/>
                <w:bCs/>
                <w:i w:val="0"/>
                <w:iCs w:val="0"/>
                <w:color w:val="000000"/>
                <w:sz w:val="21"/>
                <w:szCs w:val="21"/>
                <w:highlight w:val="none"/>
                <w:u w:val="none"/>
              </w:rPr>
            </w:pPr>
            <w:r>
              <w:rPr>
                <w:rFonts w:hint="default" w:ascii="Times New Roman" w:hAnsi="Times New Roman" w:eastAsia="宋体" w:cs="Times New Roman"/>
                <w:b/>
                <w:bCs/>
                <w:i w:val="0"/>
                <w:iCs w:val="0"/>
                <w:color w:val="000000"/>
                <w:kern w:val="0"/>
                <w:sz w:val="21"/>
                <w:szCs w:val="21"/>
                <w:highlight w:val="none"/>
                <w:u w:val="none"/>
                <w:lang w:val="en-US" w:eastAsia="zh-CN" w:bidi="ar"/>
              </w:rPr>
              <w:t>序号</w:t>
            </w:r>
          </w:p>
        </w:tc>
        <w:tc>
          <w:tcPr>
            <w:tcW w:w="660"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30885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b/>
                <w:bCs/>
                <w:i w:val="0"/>
                <w:iCs w:val="0"/>
                <w:color w:val="000000"/>
                <w:sz w:val="21"/>
                <w:szCs w:val="21"/>
                <w:highlight w:val="none"/>
                <w:u w:val="none"/>
              </w:rPr>
            </w:pPr>
            <w:r>
              <w:rPr>
                <w:rFonts w:hint="default" w:ascii="Times New Roman" w:hAnsi="Times New Roman" w:eastAsia="宋体" w:cs="Times New Roman"/>
                <w:b/>
                <w:bCs/>
                <w:i w:val="0"/>
                <w:iCs w:val="0"/>
                <w:color w:val="000000"/>
                <w:kern w:val="0"/>
                <w:sz w:val="21"/>
                <w:szCs w:val="21"/>
                <w:highlight w:val="none"/>
                <w:u w:val="none"/>
                <w:lang w:val="en-US" w:eastAsia="zh-CN" w:bidi="ar"/>
              </w:rPr>
              <w:t>市（州）</w:t>
            </w: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AA06A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b/>
                <w:bCs/>
                <w:i w:val="0"/>
                <w:iCs w:val="0"/>
                <w:color w:val="000000"/>
                <w:sz w:val="21"/>
                <w:szCs w:val="21"/>
                <w:highlight w:val="none"/>
                <w:u w:val="none"/>
              </w:rPr>
            </w:pPr>
            <w:r>
              <w:rPr>
                <w:rFonts w:hint="default" w:ascii="Times New Roman" w:hAnsi="Times New Roman" w:eastAsia="宋体" w:cs="Times New Roman"/>
                <w:b/>
                <w:bCs/>
                <w:i w:val="0"/>
                <w:iCs w:val="0"/>
                <w:color w:val="000000"/>
                <w:kern w:val="0"/>
                <w:sz w:val="21"/>
                <w:szCs w:val="21"/>
                <w:highlight w:val="none"/>
                <w:u w:val="none"/>
                <w:lang w:val="en-US" w:eastAsia="zh-CN" w:bidi="ar"/>
              </w:rPr>
              <w:t>区县</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B9E9D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b/>
                <w:bCs/>
                <w:i w:val="0"/>
                <w:iCs w:val="0"/>
                <w:color w:val="000000"/>
                <w:sz w:val="21"/>
                <w:szCs w:val="21"/>
                <w:highlight w:val="none"/>
                <w:u w:val="none"/>
              </w:rPr>
            </w:pPr>
            <w:r>
              <w:rPr>
                <w:rFonts w:hint="default" w:ascii="Times New Roman" w:hAnsi="Times New Roman" w:eastAsia="宋体" w:cs="Times New Roman"/>
                <w:b/>
                <w:bCs/>
                <w:i w:val="0"/>
                <w:iCs w:val="0"/>
                <w:color w:val="000000"/>
                <w:kern w:val="0"/>
                <w:sz w:val="21"/>
                <w:szCs w:val="21"/>
                <w:highlight w:val="none"/>
                <w:u w:val="none"/>
                <w:lang w:val="en-US" w:eastAsia="zh-CN" w:bidi="ar"/>
              </w:rPr>
              <w:t>排放量</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52AF0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b/>
                <w:bCs/>
                <w:i w:val="0"/>
                <w:iCs w:val="0"/>
                <w:color w:val="000000"/>
                <w:sz w:val="21"/>
                <w:szCs w:val="21"/>
                <w:highlight w:val="none"/>
                <w:u w:val="none"/>
              </w:rPr>
            </w:pPr>
            <w:r>
              <w:rPr>
                <w:rFonts w:hint="default" w:ascii="Times New Roman" w:hAnsi="Times New Roman" w:eastAsia="宋体" w:cs="Times New Roman"/>
                <w:b/>
                <w:bCs/>
                <w:i w:val="0"/>
                <w:iCs w:val="0"/>
                <w:color w:val="000000"/>
                <w:kern w:val="0"/>
                <w:sz w:val="21"/>
                <w:szCs w:val="21"/>
                <w:highlight w:val="none"/>
                <w:u w:val="none"/>
                <w:lang w:val="en-US" w:eastAsia="zh-CN" w:bidi="ar"/>
              </w:rPr>
              <w:t>序号</w:t>
            </w:r>
          </w:p>
        </w:tc>
        <w:tc>
          <w:tcPr>
            <w:tcW w:w="574"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F1A20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b/>
                <w:bCs/>
                <w:i w:val="0"/>
                <w:iCs w:val="0"/>
                <w:color w:val="000000"/>
                <w:sz w:val="21"/>
                <w:szCs w:val="21"/>
                <w:highlight w:val="none"/>
                <w:u w:val="none"/>
              </w:rPr>
            </w:pPr>
            <w:r>
              <w:rPr>
                <w:rFonts w:hint="default" w:ascii="Times New Roman" w:hAnsi="Times New Roman" w:eastAsia="宋体" w:cs="Times New Roman"/>
                <w:b/>
                <w:bCs/>
                <w:i w:val="0"/>
                <w:iCs w:val="0"/>
                <w:color w:val="000000"/>
                <w:kern w:val="0"/>
                <w:sz w:val="21"/>
                <w:szCs w:val="21"/>
                <w:highlight w:val="none"/>
                <w:u w:val="none"/>
                <w:lang w:val="en-US" w:eastAsia="zh-CN" w:bidi="ar"/>
              </w:rPr>
              <w:t>市（州）</w:t>
            </w: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74C4D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b/>
                <w:bCs/>
                <w:i w:val="0"/>
                <w:iCs w:val="0"/>
                <w:color w:val="000000"/>
                <w:sz w:val="21"/>
                <w:szCs w:val="21"/>
                <w:highlight w:val="none"/>
                <w:u w:val="none"/>
              </w:rPr>
            </w:pPr>
            <w:r>
              <w:rPr>
                <w:rFonts w:hint="default" w:ascii="Times New Roman" w:hAnsi="Times New Roman" w:eastAsia="宋体" w:cs="Times New Roman"/>
                <w:b/>
                <w:bCs/>
                <w:i w:val="0"/>
                <w:iCs w:val="0"/>
                <w:color w:val="000000"/>
                <w:kern w:val="0"/>
                <w:sz w:val="21"/>
                <w:szCs w:val="21"/>
                <w:highlight w:val="none"/>
                <w:u w:val="none"/>
                <w:lang w:val="en-US" w:eastAsia="zh-CN" w:bidi="ar"/>
              </w:rPr>
              <w:t>区县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6D72D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b/>
                <w:bCs/>
                <w:i w:val="0"/>
                <w:iCs w:val="0"/>
                <w:color w:val="000000"/>
                <w:sz w:val="21"/>
                <w:szCs w:val="21"/>
                <w:highlight w:val="none"/>
                <w:u w:val="none"/>
              </w:rPr>
            </w:pPr>
            <w:r>
              <w:rPr>
                <w:rFonts w:hint="default" w:ascii="Times New Roman" w:hAnsi="Times New Roman" w:eastAsia="宋体" w:cs="Times New Roman"/>
                <w:b/>
                <w:bCs/>
                <w:i w:val="0"/>
                <w:iCs w:val="0"/>
                <w:color w:val="000000"/>
                <w:kern w:val="0"/>
                <w:sz w:val="21"/>
                <w:szCs w:val="21"/>
                <w:highlight w:val="none"/>
                <w:u w:val="none"/>
                <w:lang w:val="en-US" w:eastAsia="zh-CN" w:bidi="ar"/>
              </w:rPr>
              <w:t>排放量</w:t>
            </w:r>
          </w:p>
        </w:tc>
      </w:tr>
      <w:tr w14:paraId="28AF82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E074F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w:t>
            </w:r>
          </w:p>
        </w:tc>
        <w:tc>
          <w:tcPr>
            <w:tcW w:w="660"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ACECD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成都市</w:t>
            </w: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13ACF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成华区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E3929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47.87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52A02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96</w:t>
            </w:r>
          </w:p>
        </w:tc>
        <w:tc>
          <w:tcPr>
            <w:tcW w:w="574"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479D4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南充市</w:t>
            </w: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29535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顺庆区</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4B4BA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22.78 </w:t>
            </w:r>
          </w:p>
        </w:tc>
      </w:tr>
      <w:tr w14:paraId="441B991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D109E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2</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954204">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62051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崇州市</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0E749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35.33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DE4FD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97</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59DF3F">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180C1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西充县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E5BBD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6.09 </w:t>
            </w:r>
          </w:p>
        </w:tc>
      </w:tr>
      <w:tr w14:paraId="7F0A397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93F69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3</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67D603">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D456C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大邑县</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A1780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26.14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BD65A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98</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1A81F7">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6EEF8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仪陇县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D2153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4.59 </w:t>
            </w:r>
          </w:p>
        </w:tc>
      </w:tr>
      <w:tr w14:paraId="39D3CF1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79A88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4</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456A5A">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05A79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东部新区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85E65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4.32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E35A7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99</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32CC55">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9E214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营山县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96232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1.03 </w:t>
            </w:r>
          </w:p>
        </w:tc>
      </w:tr>
      <w:tr w14:paraId="4DEA25B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DF467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5</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AF0A9E">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6F40A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都江堰市</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F2DBB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42.44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80491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100</w:t>
            </w:r>
          </w:p>
        </w:tc>
        <w:tc>
          <w:tcPr>
            <w:tcW w:w="574"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E82D3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宜宾市</w:t>
            </w: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18828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翠屏区</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DA249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15.70 </w:t>
            </w:r>
          </w:p>
        </w:tc>
      </w:tr>
      <w:tr w14:paraId="5FBD8DF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07C26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6</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6A7BA4">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7FDA5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高新区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D9610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82.77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78D10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101</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2935EC">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7D5B5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高县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A003F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5.64 </w:t>
            </w:r>
          </w:p>
        </w:tc>
      </w:tr>
      <w:tr w14:paraId="237B09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A8346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7</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3C0C87">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1E1BA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简阳市</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CA656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18.89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7307F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102</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F1C814">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9A305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珙县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E5287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8.60 </w:t>
            </w:r>
          </w:p>
        </w:tc>
      </w:tr>
      <w:tr w14:paraId="43A91ED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99188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8</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EB6ADB">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3A269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金牛区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52E4F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63.18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DCF33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103</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A2B32E">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5334C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江安县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424B7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5.11 </w:t>
            </w:r>
          </w:p>
        </w:tc>
      </w:tr>
      <w:tr w14:paraId="2631A89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3B8B0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9</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859468">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5226B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金堂县</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A2030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25.63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ED264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104</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01AA8D">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B7F22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南溪区</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D8E82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7.02 </w:t>
            </w:r>
          </w:p>
        </w:tc>
      </w:tr>
      <w:tr w14:paraId="1F3E6D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85718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10</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A3F207">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BDAAD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锦江区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13D86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42.40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CCFCA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105</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87D042">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0F101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屏山县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21B9A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2.24 </w:t>
            </w:r>
          </w:p>
        </w:tc>
      </w:tr>
      <w:tr w14:paraId="44820CD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9767A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11</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7A5896">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A642E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龙泉驿区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D3C3E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68.60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9BC26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106</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5A5C90">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AC8E9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三江新区</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5CC06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16.94 </w:t>
            </w:r>
          </w:p>
        </w:tc>
      </w:tr>
      <w:tr w14:paraId="169981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93085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12</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E9A826">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A00DD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彭州市</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29FCB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49.32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35A54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107</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7F500C">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A7C1A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兴文县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2A491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9.19 </w:t>
            </w:r>
          </w:p>
        </w:tc>
      </w:tr>
      <w:tr w14:paraId="4BA1209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DFCF7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13</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F39F33">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4D2B5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郫都区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7308B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51.23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C5CD1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108</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B9ED58">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E51DA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叙州区</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6E933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23.30 </w:t>
            </w:r>
          </w:p>
        </w:tc>
      </w:tr>
      <w:tr w14:paraId="54EA363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F762E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14</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4B3F1D">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776F6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蒲江县</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9F4C4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14.22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77846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109</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970F57">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2AEE0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筠连县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F5F7E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3.33 </w:t>
            </w:r>
          </w:p>
        </w:tc>
      </w:tr>
      <w:tr w14:paraId="351DD2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3FE77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15</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12B7FC">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0D233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青白江区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21015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20.93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AD88C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110</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FF2D3A">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6D896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长宁县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F0124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4.92 </w:t>
            </w:r>
          </w:p>
        </w:tc>
      </w:tr>
      <w:tr w14:paraId="0B4756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F980A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16</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9E6539">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5DF93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青羊区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956A9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18.19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1ACC2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111</w:t>
            </w:r>
          </w:p>
        </w:tc>
        <w:tc>
          <w:tcPr>
            <w:tcW w:w="574"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24544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广安市</w:t>
            </w: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2183F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广安区</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249E9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10.57 </w:t>
            </w:r>
          </w:p>
        </w:tc>
      </w:tr>
      <w:tr w14:paraId="385F667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F782B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17</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E4DD22">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3E68A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邛崃市</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28384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28.23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5BD57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112</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B22E23">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7A36E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华蓥市</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11AD3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4.86 </w:t>
            </w:r>
          </w:p>
        </w:tc>
      </w:tr>
      <w:tr w14:paraId="431BA4E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77B99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18</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323B8E">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AF32E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双流区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EE617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76.85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0EAA6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113</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B84C8A">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1C279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邻水县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92197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10.00 </w:t>
            </w:r>
          </w:p>
        </w:tc>
      </w:tr>
      <w:tr w14:paraId="48A85D1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9AF2F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19</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78D79D">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86B62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天府新区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054FE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22.13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A7325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114</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DBA9B8">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B52B4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前锋区</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7EB05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17.02 </w:t>
            </w:r>
          </w:p>
        </w:tc>
      </w:tr>
      <w:tr w14:paraId="2815F99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0E733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20</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372918">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805E8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温江区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44553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37.61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3F653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115</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76E960">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3AAF5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武胜县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D0021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5.17 </w:t>
            </w:r>
          </w:p>
        </w:tc>
      </w:tr>
      <w:tr w14:paraId="3F1980F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7ED18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21</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6D8D78">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E4D4D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武侯区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36F49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76.77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CC9A0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116</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76D509">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EA024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岳池县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296F6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2.80 </w:t>
            </w:r>
          </w:p>
        </w:tc>
      </w:tr>
      <w:tr w14:paraId="788576E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038B5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22</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676C51">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79F94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新都区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0A733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74.10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3F709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117</w:t>
            </w:r>
          </w:p>
        </w:tc>
        <w:tc>
          <w:tcPr>
            <w:tcW w:w="574"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F6D19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达州市</w:t>
            </w: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9B6B3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达川区</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36658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27.24 </w:t>
            </w:r>
          </w:p>
        </w:tc>
      </w:tr>
      <w:tr w14:paraId="4F3718A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AFA7B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23</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C162EA">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E92F5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新津区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C967E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23.16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0CEA2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118</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C13044">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DB40E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大竹县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DFB56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13.68 </w:t>
            </w:r>
          </w:p>
        </w:tc>
      </w:tr>
      <w:tr w14:paraId="332B1AF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E949E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24</w:t>
            </w:r>
          </w:p>
        </w:tc>
        <w:tc>
          <w:tcPr>
            <w:tcW w:w="660"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1C77C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攀枝花市</w:t>
            </w: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C517A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东区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FD2A1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21.21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10FE3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119</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FF7CFB">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AB018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高新区</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20890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8.68 </w:t>
            </w:r>
          </w:p>
        </w:tc>
      </w:tr>
      <w:tr w14:paraId="353673A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00997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25</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EA0E6F">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A9AF7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米易县</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5756E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3.60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BA293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120</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402AFF">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4EA1C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开江县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5459A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6.00 </w:t>
            </w:r>
          </w:p>
        </w:tc>
      </w:tr>
      <w:tr w14:paraId="462EB3F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C3FFE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26</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A26F2D">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8E088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仁和区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7A247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46.55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689C9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121</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7821B7">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D445D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渠县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8F3CB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9.14 </w:t>
            </w:r>
          </w:p>
        </w:tc>
      </w:tr>
      <w:tr w14:paraId="11446BB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537C4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27</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63B072">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89475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西区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C09D1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11.58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ADE7D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122</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97C7B3">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A59FE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通川区</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3333E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17.39 </w:t>
            </w:r>
          </w:p>
        </w:tc>
      </w:tr>
      <w:tr w14:paraId="4E894A7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239E8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28</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3C3AEE">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72DC5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盐边县</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1C896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7.67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41779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123</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C55AC1">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95C9D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万源市</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2849C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8.21 </w:t>
            </w:r>
          </w:p>
        </w:tc>
      </w:tr>
      <w:tr w14:paraId="3036DED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BCFBC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29</w:t>
            </w:r>
          </w:p>
        </w:tc>
        <w:tc>
          <w:tcPr>
            <w:tcW w:w="660"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81767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自贡市</w:t>
            </w: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34751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大安区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5959E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3.84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DACCE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124</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7573A1">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26CAA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宣汉县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F1A23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7.17 </w:t>
            </w:r>
          </w:p>
        </w:tc>
      </w:tr>
      <w:tr w14:paraId="6158EE0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8D58F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30</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D0C954">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9752C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贡井区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77FDF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18.98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D61C4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125</w:t>
            </w:r>
          </w:p>
        </w:tc>
        <w:tc>
          <w:tcPr>
            <w:tcW w:w="574"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DF03F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巴中市</w:t>
            </w: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9EB06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巴州区</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74680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2.37 </w:t>
            </w:r>
          </w:p>
        </w:tc>
      </w:tr>
      <w:tr w14:paraId="4CA94D3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C6393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31</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71B228">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92200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自流井区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C77F4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0.92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FBAFA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126</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37EB72">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5C954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恩阳区</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B6B69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0.80 </w:t>
            </w:r>
          </w:p>
        </w:tc>
      </w:tr>
      <w:tr w14:paraId="28C42B3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217ED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32</w:t>
            </w:r>
          </w:p>
        </w:tc>
        <w:tc>
          <w:tcPr>
            <w:tcW w:w="660"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EABE0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泸州市</w:t>
            </w: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ED61C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古蔺县</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FA85D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1.03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29939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127</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D004D0">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8A4CC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经开区</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79746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2.37 </w:t>
            </w:r>
          </w:p>
        </w:tc>
      </w:tr>
      <w:tr w14:paraId="123E2AB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379E6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33</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62C472">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11630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合江县</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0C0A0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0.40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C2954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128</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59D37A">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09BAF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南江县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F45F6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5.89 </w:t>
            </w:r>
          </w:p>
        </w:tc>
      </w:tr>
      <w:tr w14:paraId="12E3AE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5D091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34</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F35438">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A1D7A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江阳区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7860D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5.54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C9ABE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129</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E12CBB">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58F83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平昌县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E0B6B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3.06 </w:t>
            </w:r>
          </w:p>
        </w:tc>
      </w:tr>
      <w:tr w14:paraId="3BB9B25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7C9A1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35</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8DA60C">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6E267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龙马潭区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5F3EF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16.99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BA370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130</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749EC4">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53526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通江县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33C53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1.57 </w:t>
            </w:r>
          </w:p>
        </w:tc>
      </w:tr>
      <w:tr w14:paraId="2A2BD52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3C9EB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36</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B9C304">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AFD11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泸县</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8B726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5.86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3BF40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131</w:t>
            </w:r>
          </w:p>
        </w:tc>
        <w:tc>
          <w:tcPr>
            <w:tcW w:w="574"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7A468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雅安市</w:t>
            </w: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2F0DD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宝兴县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A44E0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2.86 </w:t>
            </w:r>
          </w:p>
        </w:tc>
      </w:tr>
      <w:tr w14:paraId="438310E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5C4DE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37</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2D9EF4">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C501A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纳溪区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29364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1.60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A23C6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132</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B413DF">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9C82C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汉源县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7AA62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4.40 </w:t>
            </w:r>
          </w:p>
        </w:tc>
      </w:tr>
      <w:tr w14:paraId="201FF7E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FFF80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38</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EBABF3">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ACF94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叙永县</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9D251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2.52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8D20F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133</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4894ED">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D8113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经开区</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5E82D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0.23 </w:t>
            </w:r>
          </w:p>
        </w:tc>
      </w:tr>
      <w:tr w14:paraId="456A36A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01579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39</w:t>
            </w:r>
          </w:p>
        </w:tc>
        <w:tc>
          <w:tcPr>
            <w:tcW w:w="660"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78BAC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德阳市</w:t>
            </w: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D90B9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广汉市</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EB476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19.77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6C164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134</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D42299">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F8155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芦山县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8B719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1.60 </w:t>
            </w:r>
          </w:p>
        </w:tc>
      </w:tr>
      <w:tr w14:paraId="3725C12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5E1A9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40</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601F85">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0DC59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旌阳区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AA01F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52.68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70445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135</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FAAAF4">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C8DB7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名山区</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EB41A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9.35 </w:t>
            </w:r>
          </w:p>
        </w:tc>
      </w:tr>
      <w:tr w14:paraId="4C3A051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E9A87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41</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A3C6FD">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E717B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罗江区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EFF38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2.37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0596A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136</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D12849">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4A128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石棉县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0FF84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7.91 </w:t>
            </w:r>
          </w:p>
        </w:tc>
      </w:tr>
      <w:tr w14:paraId="1CE8719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F51C8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42</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BFEF3F">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C6DE5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绵竹市</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933FB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20.82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92DF7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137</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8149CC">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37FF3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天全县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9C1E8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4.97 </w:t>
            </w:r>
          </w:p>
        </w:tc>
      </w:tr>
      <w:tr w14:paraId="7B51463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6C71E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43</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B9DDB7">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AE106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什邡市</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B6346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14.68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C63A2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138</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BE4860">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C3AF4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荥经县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98A26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2.00 </w:t>
            </w:r>
          </w:p>
        </w:tc>
      </w:tr>
      <w:tr w14:paraId="5EA43B8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D7E6F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44</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0BC172">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66017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中江县</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1D04F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12.74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3E327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139</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0513C5">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25B00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雨城区</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CB499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25.41 </w:t>
            </w:r>
          </w:p>
        </w:tc>
      </w:tr>
      <w:tr w14:paraId="4158F85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92C17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45</w:t>
            </w:r>
          </w:p>
        </w:tc>
        <w:tc>
          <w:tcPr>
            <w:tcW w:w="660"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176D8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绵阳市</w:t>
            </w: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5E882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安州区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9AA1B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4.99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DFDFE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140</w:t>
            </w:r>
          </w:p>
        </w:tc>
        <w:tc>
          <w:tcPr>
            <w:tcW w:w="574"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D303A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眉山市</w:t>
            </w: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ECFF3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丹棱县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C66BF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10.04 </w:t>
            </w:r>
          </w:p>
        </w:tc>
      </w:tr>
      <w:tr w14:paraId="1CAD84F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F80C4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46</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65BB82">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5B333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北川羌族自治县</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09F5A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5.43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41DAC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141</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E7D23B">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ED78B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东坡区</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38286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35.73 </w:t>
            </w:r>
          </w:p>
        </w:tc>
      </w:tr>
      <w:tr w14:paraId="3AB63BF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5C439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47</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2BBEFB">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5FA95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涪城区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8CA16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15.32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5C681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142</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5BBE8B">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F7530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洪雅县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D1986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11.78 </w:t>
            </w:r>
          </w:p>
        </w:tc>
      </w:tr>
      <w:tr w14:paraId="7B72122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AC48F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48</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1497C6">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F9FA0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高新区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4EF97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34.10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E60F4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143</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91C707">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EA806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眉山天府新区</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7FE63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5.87 </w:t>
            </w:r>
          </w:p>
        </w:tc>
      </w:tr>
      <w:tr w14:paraId="1173803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58A3D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49</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92C985">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9D4FA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江油市</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84916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22.45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9CE0E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144</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A6326A">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9BF9D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彭山区</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3C012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9.35 </w:t>
            </w:r>
          </w:p>
        </w:tc>
      </w:tr>
      <w:tr w14:paraId="6E3F5BD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225A9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50</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6E9B44">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17C39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经开区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442E2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14.49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1AC7F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145</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9F1995">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AD243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青神县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F22DA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6.86 </w:t>
            </w:r>
          </w:p>
        </w:tc>
      </w:tr>
      <w:tr w14:paraId="3FFD298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F9E54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51</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AFDB42">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07080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科创区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75C6E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1.89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2B6C2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146</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85235D">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A9CA9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仁寿县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FD8BE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26.33 </w:t>
            </w:r>
          </w:p>
        </w:tc>
      </w:tr>
      <w:tr w14:paraId="334D8C4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F5377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52</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F9B2CB">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F7B8C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平武县</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D2F2A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1.20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C10FA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147</w:t>
            </w:r>
          </w:p>
        </w:tc>
        <w:tc>
          <w:tcPr>
            <w:tcW w:w="574"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69282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资阳市</w:t>
            </w: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B299A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安岳县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7A594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6.40 </w:t>
            </w:r>
          </w:p>
        </w:tc>
      </w:tr>
      <w:tr w14:paraId="2D9222D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DBB3D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53</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9F3291">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41207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三台县</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8CE4B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9.35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8106D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148</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1EF56F">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42A50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高新区</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8164B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7.91 </w:t>
            </w:r>
          </w:p>
        </w:tc>
      </w:tr>
      <w:tr w14:paraId="0731FAE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C1798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54</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D7EF54">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4CCD7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盐亭县</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63DA9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5.61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57485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149</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9C9195">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C3CD6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乐至县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2E49F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3.97 </w:t>
            </w:r>
          </w:p>
        </w:tc>
      </w:tr>
      <w:tr w14:paraId="2C45547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EAFE1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55</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B7EA6D">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F85EA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游仙区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A3AFA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8.35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FD8B4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150</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241B11">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48E49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临空区</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6FCE1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0.46 </w:t>
            </w:r>
          </w:p>
        </w:tc>
      </w:tr>
      <w:tr w14:paraId="1836589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440DE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56</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D39E7A">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9FB4B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梓潼县</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494F0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8.10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1CDEC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151</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F1E684">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E9DC1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雁江区</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9FDBA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4.74 </w:t>
            </w:r>
          </w:p>
        </w:tc>
      </w:tr>
      <w:tr w14:paraId="3CFF174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658B0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57</w:t>
            </w:r>
          </w:p>
        </w:tc>
        <w:tc>
          <w:tcPr>
            <w:tcW w:w="660"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098F2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广元市</w:t>
            </w: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F88B3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苍溪县</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3A2B7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10.34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FD67B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152</w:t>
            </w:r>
          </w:p>
        </w:tc>
        <w:tc>
          <w:tcPr>
            <w:tcW w:w="574"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20F77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阿坝州</w:t>
            </w: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162AB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阿坝县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4F8C3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1.78 </w:t>
            </w:r>
          </w:p>
        </w:tc>
      </w:tr>
      <w:tr w14:paraId="3F355B4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21499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58</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99D202">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43118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朝天区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850E1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0.80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952D7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153</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1327CF">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F7EB5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黑水县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ABC18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0.23 </w:t>
            </w:r>
          </w:p>
        </w:tc>
      </w:tr>
      <w:tr w14:paraId="0DDD9B7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BD619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59</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E8A5A7">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1AE45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剑阁县</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B8601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3.03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308CD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154</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5A4343">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A9694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红原县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4B5F4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4.26 </w:t>
            </w:r>
          </w:p>
        </w:tc>
      </w:tr>
      <w:tr w14:paraId="4819658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CB7CE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60</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627C23">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E2C48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经开区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7DDC3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3.97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5449A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155</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DA6E10">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E6FE1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金川县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E3D65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1.26 </w:t>
            </w:r>
          </w:p>
        </w:tc>
      </w:tr>
      <w:tr w14:paraId="15C90EC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4F6EF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61</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F47E95">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63D31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利州区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6684B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26.83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0F07E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156</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D93A48">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29B66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九寨沟县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662E6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4.06 </w:t>
            </w:r>
          </w:p>
        </w:tc>
      </w:tr>
      <w:tr w14:paraId="2FE7799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CD667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62</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6F7D2C">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00EA8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青川县</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0B6EA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3.43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450A4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157</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226670">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A517C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理县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5263C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1.20 </w:t>
            </w:r>
          </w:p>
        </w:tc>
      </w:tr>
      <w:tr w14:paraId="4FFC08B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A03DB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63</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19E9BA">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36CE4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旺苍县</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9B961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6.34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32DE1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158</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70D3E4">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65FD5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马尔康市</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C84F9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5.66 </w:t>
            </w:r>
          </w:p>
        </w:tc>
      </w:tr>
      <w:tr w14:paraId="507BA6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C376E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64</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E44F09">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0D5DD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昭化区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8AEE9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10.51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94828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159</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C11347">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EBE47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茂县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914C5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7.01 </w:t>
            </w:r>
          </w:p>
        </w:tc>
      </w:tr>
      <w:tr w14:paraId="37610F2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18A49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65</w:t>
            </w:r>
          </w:p>
        </w:tc>
        <w:tc>
          <w:tcPr>
            <w:tcW w:w="660"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A86BE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遂宁市</w:t>
            </w: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C9486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安居区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6A37F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4.34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F3FB2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160</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3EB06B">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99EC1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壤塘县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D06E2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0.80 </w:t>
            </w:r>
          </w:p>
        </w:tc>
      </w:tr>
      <w:tr w14:paraId="16D1B1F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AE411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66</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FD84AA">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69656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大英县</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DA4A2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3.14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2AF3D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161</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F0CC44">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4D60A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若尔盖县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25A3D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1.03 </w:t>
            </w:r>
          </w:p>
        </w:tc>
      </w:tr>
      <w:tr w14:paraId="1DBCC2A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CAAC7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67</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F0F0AD">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42BE7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高新区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3DE73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24.01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AA465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162</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A4BC43">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C90DB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松潘县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E120A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4.40 </w:t>
            </w:r>
          </w:p>
        </w:tc>
      </w:tr>
      <w:tr w14:paraId="6381418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0D0E0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68</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345F3E">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D2779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河东新区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45005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4.80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0B852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163</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4A4C8A">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C27AE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汶川县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97C78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4.80 </w:t>
            </w:r>
          </w:p>
        </w:tc>
      </w:tr>
      <w:tr w14:paraId="6441E9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5283F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69</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A7B631">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A9CC7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经开区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AFDCA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5.34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99779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164</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1538D5">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E850F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小金县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0C4FE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2.60 </w:t>
            </w:r>
          </w:p>
        </w:tc>
      </w:tr>
      <w:tr w14:paraId="7E9BA59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ECC2D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70</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982FDD">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A96F1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蓬溪县</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38D3A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1.97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8342A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165</w:t>
            </w:r>
          </w:p>
        </w:tc>
        <w:tc>
          <w:tcPr>
            <w:tcW w:w="574"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A773A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甘孜州</w:t>
            </w: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8DD93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巴塘县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7C4CD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0.40 </w:t>
            </w:r>
          </w:p>
        </w:tc>
      </w:tr>
      <w:tr w14:paraId="377B319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46882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71</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E164D3">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E9387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射洪市</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93E51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6.73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672C6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166</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CDFF43">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3A99D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白玉县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BA80D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2.18 </w:t>
            </w:r>
          </w:p>
        </w:tc>
      </w:tr>
      <w:tr w14:paraId="1BF2983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AB8A0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72</w:t>
            </w:r>
          </w:p>
        </w:tc>
        <w:tc>
          <w:tcPr>
            <w:tcW w:w="660"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17F3F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内江市</w:t>
            </w: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38EF0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东兴区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249BA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2.40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13C50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167</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850391">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7EC7D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丹巴县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A7ADE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3.63 </w:t>
            </w:r>
          </w:p>
        </w:tc>
      </w:tr>
      <w:tr w14:paraId="345A770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88490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73</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75A65A">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648BF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高新区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A15EF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2.37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1BC2A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168</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85ADD6">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41AFD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道孚县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E82A1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1.20 </w:t>
            </w:r>
          </w:p>
        </w:tc>
      </w:tr>
      <w:tr w14:paraId="32043D6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E1D96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74</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962EC4">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829E8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经开区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00110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15.74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14496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169</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EFC8F9">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9DD2B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稻城县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2A444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1.66 </w:t>
            </w:r>
          </w:p>
        </w:tc>
      </w:tr>
      <w:tr w14:paraId="3892120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6A5B8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75</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AAAB66">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DB450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隆昌市</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F5F08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5.94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386B0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170</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6BEF70">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8BFBB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得荣县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A4311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0.23 </w:t>
            </w:r>
          </w:p>
        </w:tc>
      </w:tr>
      <w:tr w14:paraId="79AB920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4CD66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76</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4C80D8">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087BA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市中区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4E1E1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1.83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50D55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171</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483AD5">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8C6F4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甘孜县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30667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6.75 </w:t>
            </w:r>
          </w:p>
        </w:tc>
      </w:tr>
      <w:tr w14:paraId="7BAB83D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6BB8B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77</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F22B34">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0A950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威远县</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EA29F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6.77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3E730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172</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DC11C8">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F1646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九龙县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10A02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2.80 </w:t>
            </w:r>
          </w:p>
        </w:tc>
      </w:tr>
      <w:tr w14:paraId="0608249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CCA2C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78</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F315DC">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689E3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资中县</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5E6C7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3.43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D5222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173</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B9887C">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FFAF9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康定市</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19F2E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4.37 </w:t>
            </w:r>
          </w:p>
        </w:tc>
      </w:tr>
      <w:tr w14:paraId="7336246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DCADF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79</w:t>
            </w:r>
          </w:p>
        </w:tc>
        <w:tc>
          <w:tcPr>
            <w:tcW w:w="660"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44FB8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乐山市</w:t>
            </w: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49E74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峨边彝族自治县</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06304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3.06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175CC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174</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3C100F">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0A824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理塘县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21A3C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0.23 </w:t>
            </w:r>
          </w:p>
        </w:tc>
      </w:tr>
      <w:tr w14:paraId="1C3BAC0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B787E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80</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3B1FB5">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9BDAB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峨眉山市</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6907B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11.02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22D3B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175</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C35EB7">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A6D22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色达县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AF4E9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1.32 </w:t>
            </w:r>
          </w:p>
        </w:tc>
      </w:tr>
      <w:tr w14:paraId="1B3D06D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BCEBB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81</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B3ADAC">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5E9FD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高新区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6CB14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1.78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C87B9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176</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488559">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B391E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石渠县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E082D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1.95 </w:t>
            </w:r>
          </w:p>
        </w:tc>
      </w:tr>
      <w:tr w14:paraId="6DF8CAE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424E3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82</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A35799">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371E3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夹江县</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F64AE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8.31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4EE44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177</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50CC06">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DDF69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乡城县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2B9CB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1.61 </w:t>
            </w:r>
          </w:p>
        </w:tc>
      </w:tr>
      <w:tr w14:paraId="7535FE4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770BC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83</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99F58B">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15CE3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犍为县</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B020D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9.58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027DC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178</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114912">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7346A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雅江县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37A80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0.46 </w:t>
            </w:r>
          </w:p>
        </w:tc>
      </w:tr>
      <w:tr w14:paraId="7FF02EF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967D7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84</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9CC314">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DAF57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金口河区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B9BDA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1.15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846E4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179</w:t>
            </w:r>
          </w:p>
        </w:tc>
        <w:tc>
          <w:tcPr>
            <w:tcW w:w="574"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050FE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凉山州</w:t>
            </w: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9E740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布拖县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DA1E2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5.03 </w:t>
            </w:r>
          </w:p>
        </w:tc>
      </w:tr>
      <w:tr w14:paraId="23AAD52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0D475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85</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48D1D9">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56555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井研县</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BCB91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7.01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C5283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180</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C5365F">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AEE13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德昌县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D71AE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8.72 </w:t>
            </w:r>
          </w:p>
        </w:tc>
      </w:tr>
      <w:tr w14:paraId="184712A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733F1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86</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60AC4B">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CE409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马边彝族自治县</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9ECB5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2.35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C1836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181</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9DE897">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524BF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甘洛县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8B62E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3.57 </w:t>
            </w:r>
          </w:p>
        </w:tc>
      </w:tr>
      <w:tr w14:paraId="3A06DB2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C1CE0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87</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902DF9">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C3166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沐川县</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05368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4.98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6CF9F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182</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2B2C7C">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CDBF3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会理市</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36566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8.00 </w:t>
            </w:r>
          </w:p>
        </w:tc>
      </w:tr>
      <w:tr w14:paraId="41FEABE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61F37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88</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410C1B">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62675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沙湾区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2109E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2.81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7D203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183</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C1728C">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2C880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金阳县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B338F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1.20 </w:t>
            </w:r>
          </w:p>
        </w:tc>
      </w:tr>
      <w:tr w14:paraId="45D16D2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2CD24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89</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46A274">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3383E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市中区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29DD9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8.65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8C1A2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184</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025779">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2D47E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美姑县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00DB3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1.43 </w:t>
            </w:r>
          </w:p>
        </w:tc>
      </w:tr>
      <w:tr w14:paraId="2A3EAC8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B2B3B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90</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B7F393">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AF3B2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五通桥区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62BEC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6.86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93159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185</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76C480">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CC027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冕宁县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20713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6.29 </w:t>
            </w:r>
          </w:p>
        </w:tc>
      </w:tr>
      <w:tr w14:paraId="7B0A838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F8C7C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91</w:t>
            </w:r>
          </w:p>
        </w:tc>
        <w:tc>
          <w:tcPr>
            <w:tcW w:w="660"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C2FF6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南充市</w:t>
            </w: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99624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高坪区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E83AA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43.94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A963F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186</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790029">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482B6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宁南县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9305C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1.72 </w:t>
            </w:r>
          </w:p>
        </w:tc>
      </w:tr>
      <w:tr w14:paraId="16EEB27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1C67E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92</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5B8A09">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C182E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嘉陵区</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69EB6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6.97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62CEB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187</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67E78A">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C2B2D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西昌市</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5C9C7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13.82 </w:t>
            </w:r>
          </w:p>
        </w:tc>
      </w:tr>
      <w:tr w14:paraId="5BB587F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5EB1E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93</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919B7C">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E2F29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阆中市</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264A9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6.34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F88B3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188</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5C6213">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78E94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越西县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98D82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1.57 </w:t>
            </w:r>
          </w:p>
        </w:tc>
      </w:tr>
      <w:tr w14:paraId="77405D3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3E3D1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94</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30AD31">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26B15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南部县</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7E9AA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11.11 </w:t>
            </w:r>
          </w:p>
        </w:tc>
        <w:tc>
          <w:tcPr>
            <w:tcW w:w="445"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36C77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189</w:t>
            </w:r>
          </w:p>
        </w:tc>
        <w:tc>
          <w:tcPr>
            <w:tcW w:w="57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306A1B">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832"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A787C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昭觉县</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A6BE0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1.57 </w:t>
            </w:r>
          </w:p>
        </w:tc>
      </w:tr>
      <w:tr w14:paraId="5A5402F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4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423D3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95</w:t>
            </w:r>
          </w:p>
        </w:tc>
        <w:tc>
          <w:tcPr>
            <w:tcW w:w="6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676539">
            <w:pPr>
              <w:keepNext w:val="0"/>
              <w:keepLines w:val="0"/>
              <w:pageBreakBefore w:val="0"/>
              <w:widowControl/>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宋体" w:cs="Times New Roman"/>
                <w:i w:val="0"/>
                <w:iCs w:val="0"/>
                <w:color w:val="000000"/>
                <w:sz w:val="21"/>
                <w:szCs w:val="21"/>
                <w:highlight w:val="none"/>
                <w:u w:val="none"/>
              </w:rPr>
            </w:pPr>
          </w:p>
        </w:tc>
        <w:tc>
          <w:tcPr>
            <w:tcW w:w="919"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BDA21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蓬安县</w:t>
            </w:r>
          </w:p>
        </w:tc>
        <w:tc>
          <w:tcPr>
            <w:tcW w:w="531"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2FD7F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5.06 </w:t>
            </w:r>
          </w:p>
        </w:tc>
        <w:tc>
          <w:tcPr>
            <w:tcW w:w="1852" w:type="pct"/>
            <w:gridSpan w:val="3"/>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48DDE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总计</w:t>
            </w:r>
          </w:p>
        </w:tc>
        <w:tc>
          <w:tcPr>
            <w:tcW w:w="617" w:type="pct"/>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7530C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right"/>
              <w:textAlignment w:val="bottom"/>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2257.42 </w:t>
            </w:r>
          </w:p>
        </w:tc>
      </w:tr>
    </w:tbl>
    <w:p w14:paraId="54F806DD">
      <w:pPr>
        <w:pStyle w:val="3"/>
        <w:keepNext w:val="0"/>
        <w:keepLines w:val="0"/>
        <w:pageBreakBefore w:val="0"/>
        <w:widowControl/>
        <w:kinsoku/>
        <w:wordWrap/>
        <w:autoSpaceDE/>
        <w:autoSpaceDN/>
        <w:bidi w:val="0"/>
        <w:rPr>
          <w:rFonts w:hint="default" w:ascii="Times New Roman" w:hAnsi="Times New Roman" w:cs="Times New Roman"/>
          <w:highlight w:val="none"/>
        </w:rPr>
      </w:pPr>
      <w:bookmarkStart w:id="64" w:name="_Toc31818"/>
      <w:bookmarkStart w:id="65" w:name="_Toc30162"/>
      <w:r>
        <w:rPr>
          <w:rFonts w:hint="default" w:ascii="Times New Roman" w:hAnsi="Times New Roman" w:cs="Times New Roman"/>
          <w:highlight w:val="none"/>
          <w:lang w:eastAsia="zh-CN"/>
        </w:rPr>
        <w:t>汽车维修</w:t>
      </w:r>
      <w:r>
        <w:rPr>
          <w:rFonts w:hint="default" w:ascii="Times New Roman" w:hAnsi="Times New Roman" w:cs="Times New Roman"/>
          <w:highlight w:val="none"/>
        </w:rPr>
        <w:t>企业污染防治现状及存在问题</w:t>
      </w:r>
      <w:bookmarkEnd w:id="64"/>
      <w:bookmarkEnd w:id="65"/>
    </w:p>
    <w:p w14:paraId="34F6CBE6">
      <w:pPr>
        <w:pStyle w:val="4"/>
        <w:keepNext w:val="0"/>
        <w:keepLines w:val="0"/>
        <w:pageBreakBefore w:val="0"/>
        <w:widowControl/>
        <w:kinsoku/>
        <w:wordWrap/>
        <w:autoSpaceDE/>
        <w:autoSpaceDN/>
        <w:bidi w:val="0"/>
        <w:rPr>
          <w:rFonts w:hint="default" w:ascii="Times New Roman" w:hAnsi="Times New Roman" w:cs="Times New Roman"/>
          <w:highlight w:val="none"/>
        </w:rPr>
      </w:pPr>
      <w:bookmarkStart w:id="66" w:name="_Toc7447"/>
      <w:bookmarkStart w:id="67" w:name="_Toc25343"/>
      <w:r>
        <w:rPr>
          <w:rFonts w:hint="default" w:ascii="Times New Roman" w:hAnsi="Times New Roman" w:cs="Times New Roman"/>
          <w:highlight w:val="none"/>
        </w:rPr>
        <w:t>调研企业基本情况</w:t>
      </w:r>
      <w:bookmarkEnd w:id="66"/>
      <w:bookmarkEnd w:id="67"/>
    </w:p>
    <w:p w14:paraId="4BDF1400">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为深入了解我省</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行业的污染防治现状，</w:t>
      </w:r>
      <w:r>
        <w:rPr>
          <w:rFonts w:hint="default" w:ascii="Times New Roman" w:hAnsi="Times New Roman" w:cs="Times New Roman"/>
          <w:highlight w:val="none"/>
          <w:lang w:val="en-US" w:eastAsia="zh-CN"/>
        </w:rPr>
        <w:t>标准编制组</w:t>
      </w:r>
      <w:r>
        <w:rPr>
          <w:rFonts w:hint="default" w:ascii="Times New Roman" w:hAnsi="Times New Roman" w:cs="Times New Roman"/>
          <w:highlight w:val="none"/>
        </w:rPr>
        <w:t>分别在成都平原及周边、川南地区、川东北、攀西地区开展</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企业的现场调研工作，共计调研</w:t>
      </w:r>
      <w:r>
        <w:rPr>
          <w:rFonts w:hint="default" w:ascii="Times New Roman" w:hAnsi="Times New Roman" w:cs="Times New Roman"/>
          <w:highlight w:val="none"/>
          <w:lang w:val="en-US" w:eastAsia="zh-CN"/>
        </w:rPr>
        <w:t>12</w:t>
      </w:r>
      <w:r>
        <w:rPr>
          <w:rFonts w:hint="default" w:ascii="Times New Roman" w:hAnsi="Times New Roman" w:cs="Times New Roman"/>
          <w:highlight w:val="none"/>
        </w:rPr>
        <w:t>7家</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企业，调研名单如</w:t>
      </w:r>
      <w:r>
        <w:rPr>
          <w:rFonts w:hint="default" w:ascii="Times New Roman" w:hAnsi="Times New Roman" w:cs="Times New Roman"/>
          <w:highlight w:val="none"/>
          <w:lang w:val="en-US" w:eastAsia="zh-CN"/>
        </w:rPr>
        <w:t>下</w:t>
      </w:r>
      <w:r>
        <w:rPr>
          <w:rFonts w:hint="default" w:ascii="Times New Roman" w:hAnsi="Times New Roman" w:cs="Times New Roman"/>
          <w:highlight w:val="none"/>
        </w:rPr>
        <w:t>表所示，涵盖了不同类型</w:t>
      </w:r>
      <w:r>
        <w:rPr>
          <w:rFonts w:hint="default" w:ascii="Times New Roman" w:hAnsi="Times New Roman" w:cs="Times New Roman"/>
          <w:highlight w:val="none"/>
          <w:lang w:val="en-US" w:eastAsia="zh-CN"/>
        </w:rPr>
        <w:t>不同治理技术</w:t>
      </w:r>
      <w:r>
        <w:rPr>
          <w:rFonts w:hint="default" w:ascii="Times New Roman" w:hAnsi="Times New Roman" w:cs="Times New Roman"/>
          <w:highlight w:val="none"/>
        </w:rPr>
        <w:t>的</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企业。</w:t>
      </w:r>
    </w:p>
    <w:p w14:paraId="5C07881F">
      <w:pPr>
        <w:keepNext w:val="0"/>
        <w:keepLines w:val="0"/>
        <w:pageBreakBefore w:val="0"/>
        <w:widowControl/>
        <w:kinsoku/>
        <w:wordWrap/>
        <w:autoSpaceDE/>
        <w:autoSpaceDN/>
        <w:bidi w:val="0"/>
        <w:rPr>
          <w:rFonts w:hint="default" w:ascii="Times New Roman" w:hAnsi="Times New Roman" w:cs="Times New Roman"/>
          <w:highlight w:val="none"/>
          <w:lang w:val="en-US" w:eastAsia="zh-CN"/>
        </w:rPr>
      </w:pPr>
      <w:r>
        <w:rPr>
          <w:rFonts w:hint="default" w:ascii="Times New Roman" w:hAnsi="Times New Roman" w:cs="Times New Roman"/>
          <w:highlight w:val="none"/>
          <w:lang w:val="en-US" w:eastAsia="zh-CN"/>
        </w:rPr>
        <w:t>从汽车维修厂类别来看</w:t>
      </w:r>
      <w:r>
        <w:rPr>
          <w:rFonts w:hint="default" w:ascii="Times New Roman" w:hAnsi="Times New Roman" w:cs="Times New Roman"/>
          <w:highlight w:val="none"/>
        </w:rPr>
        <w:t>，一类</w:t>
      </w:r>
      <w:r>
        <w:rPr>
          <w:rFonts w:hint="default" w:ascii="Times New Roman" w:hAnsi="Times New Roman" w:cs="Times New Roman"/>
          <w:highlight w:val="none"/>
          <w:lang w:eastAsia="zh-CN"/>
        </w:rPr>
        <w:t>汽车维修</w:t>
      </w:r>
      <w:r>
        <w:rPr>
          <w:rFonts w:hint="default" w:ascii="Times New Roman" w:hAnsi="Times New Roman" w:cs="Times New Roman"/>
          <w:highlight w:val="none"/>
          <w:lang w:val="en-US" w:eastAsia="zh-CN"/>
        </w:rPr>
        <w:t>35</w:t>
      </w:r>
      <w:r>
        <w:rPr>
          <w:rFonts w:hint="default" w:ascii="Times New Roman" w:hAnsi="Times New Roman" w:cs="Times New Roman"/>
          <w:highlight w:val="none"/>
        </w:rPr>
        <w:t>家，2类</w:t>
      </w:r>
      <w:r>
        <w:rPr>
          <w:rFonts w:hint="default" w:ascii="Times New Roman" w:hAnsi="Times New Roman" w:cs="Times New Roman"/>
          <w:highlight w:val="none"/>
          <w:lang w:eastAsia="zh-CN"/>
        </w:rPr>
        <w:t>汽车维修</w:t>
      </w:r>
      <w:r>
        <w:rPr>
          <w:rFonts w:hint="default" w:ascii="Times New Roman" w:hAnsi="Times New Roman" w:cs="Times New Roman"/>
          <w:highlight w:val="none"/>
          <w:lang w:val="en-US" w:eastAsia="zh-CN"/>
        </w:rPr>
        <w:t>70</w:t>
      </w:r>
      <w:r>
        <w:rPr>
          <w:rFonts w:hint="default" w:ascii="Times New Roman" w:hAnsi="Times New Roman" w:cs="Times New Roman"/>
          <w:highlight w:val="none"/>
        </w:rPr>
        <w:t>家，3类</w:t>
      </w:r>
      <w:r>
        <w:rPr>
          <w:rFonts w:hint="default" w:ascii="Times New Roman" w:hAnsi="Times New Roman" w:cs="Times New Roman"/>
          <w:highlight w:val="none"/>
          <w:lang w:eastAsia="zh-CN"/>
        </w:rPr>
        <w:t>汽车维修</w:t>
      </w:r>
      <w:r>
        <w:rPr>
          <w:rFonts w:hint="default" w:ascii="Times New Roman" w:hAnsi="Times New Roman" w:cs="Times New Roman"/>
          <w:highlight w:val="none"/>
          <w:lang w:val="en-US" w:eastAsia="zh-CN"/>
        </w:rPr>
        <w:t>22</w:t>
      </w:r>
      <w:r>
        <w:rPr>
          <w:rFonts w:hint="default" w:ascii="Times New Roman" w:hAnsi="Times New Roman" w:cs="Times New Roman"/>
          <w:highlight w:val="none"/>
        </w:rPr>
        <w:t>家</w:t>
      </w:r>
      <w:r>
        <w:rPr>
          <w:rFonts w:hint="default" w:ascii="Times New Roman" w:hAnsi="Times New Roman" w:cs="Times New Roman"/>
          <w:highlight w:val="none"/>
          <w:lang w:eastAsia="zh-CN"/>
        </w:rPr>
        <w:t>，</w:t>
      </w:r>
      <w:r>
        <w:rPr>
          <w:rFonts w:hint="default" w:ascii="Times New Roman" w:hAnsi="Times New Roman" w:cs="Times New Roman"/>
          <w:highlight w:val="none"/>
          <w:lang w:val="en-US" w:eastAsia="zh-CN"/>
        </w:rPr>
        <w:t>分别占比28%、55%、17%</w:t>
      </w:r>
      <w:r>
        <w:rPr>
          <w:rFonts w:hint="default" w:ascii="Times New Roman" w:hAnsi="Times New Roman" w:cs="Times New Roman"/>
          <w:highlight w:val="none"/>
          <w:lang w:eastAsia="zh-CN"/>
        </w:rPr>
        <w:t>；</w:t>
      </w:r>
      <w:r>
        <w:rPr>
          <w:rFonts w:hint="default" w:ascii="Times New Roman" w:hAnsi="Times New Roman" w:cs="Times New Roman"/>
          <w:highlight w:val="none"/>
        </w:rPr>
        <w:t>4S店</w:t>
      </w:r>
      <w:r>
        <w:rPr>
          <w:rFonts w:hint="default" w:ascii="Times New Roman" w:hAnsi="Times New Roman" w:cs="Times New Roman"/>
          <w:highlight w:val="none"/>
          <w:lang w:val="en-US" w:eastAsia="zh-CN"/>
        </w:rPr>
        <w:t>48</w:t>
      </w:r>
      <w:r>
        <w:rPr>
          <w:rFonts w:hint="default" w:ascii="Times New Roman" w:hAnsi="Times New Roman" w:cs="Times New Roman"/>
          <w:highlight w:val="none"/>
        </w:rPr>
        <w:t>家，</w:t>
      </w:r>
      <w:r>
        <w:rPr>
          <w:rFonts w:hint="default" w:ascii="Times New Roman" w:hAnsi="Times New Roman" w:cs="Times New Roman"/>
          <w:highlight w:val="none"/>
          <w:lang w:val="en-US" w:eastAsia="zh-CN"/>
        </w:rPr>
        <w:t>占比38%，</w:t>
      </w:r>
      <w:r>
        <w:rPr>
          <w:rFonts w:hint="default" w:ascii="Times New Roman" w:hAnsi="Times New Roman" w:cs="Times New Roman"/>
          <w:highlight w:val="none"/>
        </w:rPr>
        <w:t>其中有</w:t>
      </w:r>
      <w:r>
        <w:rPr>
          <w:rFonts w:hint="default" w:ascii="Times New Roman" w:hAnsi="Times New Roman" w:cs="Times New Roman"/>
          <w:highlight w:val="none"/>
          <w:lang w:val="en-US" w:eastAsia="zh-CN"/>
        </w:rPr>
        <w:t>3</w:t>
      </w:r>
      <w:r>
        <w:rPr>
          <w:rFonts w:hint="default" w:ascii="Times New Roman" w:hAnsi="Times New Roman" w:cs="Times New Roman"/>
          <w:highlight w:val="none"/>
        </w:rPr>
        <w:t>家钣喷中心</w:t>
      </w:r>
      <w:r>
        <w:rPr>
          <w:rFonts w:hint="default" w:ascii="Times New Roman" w:hAnsi="Times New Roman" w:cs="Times New Roman"/>
          <w:highlight w:val="none"/>
          <w:lang w:eastAsia="zh-CN"/>
        </w:rPr>
        <w:t>。</w:t>
      </w:r>
      <w:r>
        <w:rPr>
          <w:rFonts w:hint="default" w:ascii="Times New Roman" w:hAnsi="Times New Roman" w:cs="Times New Roman"/>
          <w:highlight w:val="none"/>
          <w:lang w:val="en-US" w:eastAsia="zh-CN"/>
        </w:rPr>
        <w:t>从维修车辆类型来看</w:t>
      </w:r>
      <w:r>
        <w:rPr>
          <w:rFonts w:hint="default" w:ascii="Times New Roman" w:hAnsi="Times New Roman" w:cs="Times New Roman"/>
          <w:highlight w:val="none"/>
        </w:rPr>
        <w:t>，</w:t>
      </w:r>
      <w:r>
        <w:rPr>
          <w:rFonts w:hint="default" w:ascii="Times New Roman" w:hAnsi="Times New Roman" w:cs="Times New Roman"/>
          <w:highlight w:val="none"/>
          <w:lang w:val="en-US" w:eastAsia="zh-CN"/>
        </w:rPr>
        <w:t>121家</w:t>
      </w:r>
      <w:r>
        <w:rPr>
          <w:rFonts w:hint="default" w:ascii="Times New Roman" w:hAnsi="Times New Roman" w:cs="Times New Roman"/>
          <w:highlight w:val="none"/>
        </w:rPr>
        <w:t>为小汽车维修，</w:t>
      </w:r>
      <w:r>
        <w:rPr>
          <w:rFonts w:hint="default" w:ascii="Times New Roman" w:hAnsi="Times New Roman" w:cs="Times New Roman"/>
          <w:highlight w:val="none"/>
          <w:lang w:val="en-US" w:eastAsia="zh-CN"/>
        </w:rPr>
        <w:t>占比95%；</w:t>
      </w:r>
      <w:r>
        <w:rPr>
          <w:rFonts w:hint="default" w:ascii="Times New Roman" w:hAnsi="Times New Roman" w:cs="Times New Roman"/>
          <w:highlight w:val="none"/>
        </w:rPr>
        <w:t>有</w:t>
      </w:r>
      <w:r>
        <w:rPr>
          <w:rFonts w:hint="default" w:ascii="Times New Roman" w:hAnsi="Times New Roman" w:cs="Times New Roman"/>
          <w:highlight w:val="none"/>
          <w:lang w:val="en-US" w:eastAsia="zh-CN"/>
        </w:rPr>
        <w:t>3</w:t>
      </w:r>
      <w:r>
        <w:rPr>
          <w:rFonts w:hint="default" w:ascii="Times New Roman" w:hAnsi="Times New Roman" w:cs="Times New Roman"/>
          <w:highlight w:val="none"/>
        </w:rPr>
        <w:t>家货车，2家公交车，1家环卫车</w:t>
      </w:r>
      <w:r>
        <w:rPr>
          <w:rFonts w:hint="default" w:ascii="Times New Roman" w:hAnsi="Times New Roman" w:cs="Times New Roman"/>
          <w:highlight w:val="none"/>
          <w:lang w:eastAsia="zh-CN"/>
        </w:rPr>
        <w:t>，</w:t>
      </w:r>
      <w:r>
        <w:rPr>
          <w:rFonts w:hint="default" w:ascii="Times New Roman" w:hAnsi="Times New Roman" w:cs="Times New Roman"/>
          <w:highlight w:val="none"/>
          <w:lang w:val="en-US" w:eastAsia="zh-CN"/>
        </w:rPr>
        <w:t>合计占比5%</w:t>
      </w:r>
      <w:r>
        <w:rPr>
          <w:rFonts w:hint="default" w:ascii="Times New Roman" w:hAnsi="Times New Roman" w:cs="Times New Roman"/>
          <w:highlight w:val="none"/>
          <w:lang w:eastAsia="zh-CN"/>
        </w:rPr>
        <w:t>。</w:t>
      </w:r>
      <w:r>
        <w:rPr>
          <w:rFonts w:hint="default" w:ascii="Times New Roman" w:hAnsi="Times New Roman" w:cs="Times New Roman"/>
          <w:highlight w:val="none"/>
          <w:lang w:val="en-US" w:eastAsia="zh-CN"/>
        </w:rPr>
        <w:t>从</w:t>
      </w:r>
      <w:r>
        <w:rPr>
          <w:rFonts w:hint="default" w:ascii="Times New Roman" w:hAnsi="Times New Roman" w:cs="Times New Roman"/>
          <w:highlight w:val="none"/>
        </w:rPr>
        <w:t>末端处理技术分类</w:t>
      </w:r>
      <w:r>
        <w:rPr>
          <w:rFonts w:hint="default" w:ascii="Times New Roman" w:hAnsi="Times New Roman" w:cs="Times New Roman"/>
          <w:highlight w:val="none"/>
          <w:lang w:val="en-US" w:eastAsia="zh-CN"/>
        </w:rPr>
        <w:t>来看</w:t>
      </w:r>
      <w:r>
        <w:rPr>
          <w:rFonts w:hint="default" w:ascii="Times New Roman" w:hAnsi="Times New Roman" w:cs="Times New Roman"/>
          <w:highlight w:val="none"/>
        </w:rPr>
        <w:t>，</w:t>
      </w:r>
      <w:r>
        <w:rPr>
          <w:rFonts w:hint="default" w:ascii="Times New Roman" w:hAnsi="Times New Roman" w:cs="Times New Roman"/>
          <w:highlight w:val="none"/>
          <w:lang w:val="en-US" w:eastAsia="zh-CN"/>
        </w:rPr>
        <w:t>使用</w:t>
      </w:r>
      <w:r>
        <w:rPr>
          <w:rFonts w:hint="default" w:ascii="Times New Roman" w:hAnsi="Times New Roman" w:cs="Times New Roman"/>
          <w:highlight w:val="none"/>
        </w:rPr>
        <w:t>UV</w:t>
      </w:r>
      <w:r>
        <w:rPr>
          <w:rFonts w:hint="default" w:ascii="Times New Roman" w:hAnsi="Times New Roman" w:cs="Times New Roman"/>
          <w:highlight w:val="none"/>
          <w:lang w:val="en-US" w:eastAsia="zh-CN"/>
        </w:rPr>
        <w:t>光氧+</w:t>
      </w:r>
      <w:r>
        <w:rPr>
          <w:rFonts w:hint="default" w:ascii="Times New Roman" w:hAnsi="Times New Roman" w:cs="Times New Roman"/>
          <w:highlight w:val="none"/>
        </w:rPr>
        <w:t>活性炭吸附</w:t>
      </w:r>
      <w:r>
        <w:rPr>
          <w:rFonts w:hint="default" w:ascii="Times New Roman" w:hAnsi="Times New Roman" w:cs="Times New Roman"/>
          <w:highlight w:val="none"/>
          <w:lang w:val="en-US" w:eastAsia="zh-CN"/>
        </w:rPr>
        <w:t>以及</w:t>
      </w:r>
      <w:r>
        <w:rPr>
          <w:rFonts w:hint="default" w:ascii="Times New Roman" w:hAnsi="Times New Roman" w:cs="Times New Roman"/>
          <w:highlight w:val="none"/>
        </w:rPr>
        <w:t>活性炭吸附</w:t>
      </w:r>
      <w:r>
        <w:rPr>
          <w:rFonts w:hint="default" w:ascii="Times New Roman" w:hAnsi="Times New Roman" w:cs="Times New Roman"/>
          <w:highlight w:val="none"/>
          <w:lang w:val="en-US" w:eastAsia="zh-CN"/>
        </w:rPr>
        <w:t>企业最多，分别</w:t>
      </w:r>
      <w:r>
        <w:rPr>
          <w:rFonts w:hint="default" w:ascii="Times New Roman" w:hAnsi="Times New Roman" w:cs="Times New Roman"/>
          <w:highlight w:val="none"/>
        </w:rPr>
        <w:t>为</w:t>
      </w:r>
      <w:r>
        <w:rPr>
          <w:rFonts w:hint="default" w:ascii="Times New Roman" w:hAnsi="Times New Roman" w:cs="Times New Roman"/>
          <w:highlight w:val="none"/>
          <w:lang w:val="en-US" w:eastAsia="zh-CN"/>
        </w:rPr>
        <w:t>51</w:t>
      </w:r>
      <w:r>
        <w:rPr>
          <w:rFonts w:hint="default" w:ascii="Times New Roman" w:hAnsi="Times New Roman" w:cs="Times New Roman"/>
          <w:highlight w:val="none"/>
        </w:rPr>
        <w:t>家</w:t>
      </w:r>
      <w:r>
        <w:rPr>
          <w:rFonts w:hint="default" w:ascii="Times New Roman" w:hAnsi="Times New Roman" w:cs="Times New Roman"/>
          <w:highlight w:val="none"/>
          <w:lang w:eastAsia="zh-CN"/>
        </w:rPr>
        <w:t>、</w:t>
      </w:r>
      <w:r>
        <w:rPr>
          <w:rFonts w:hint="default" w:ascii="Times New Roman" w:hAnsi="Times New Roman" w:cs="Times New Roman"/>
          <w:highlight w:val="none"/>
          <w:lang w:val="en-US" w:eastAsia="zh-CN"/>
        </w:rPr>
        <w:t>43</w:t>
      </w:r>
      <w:r>
        <w:rPr>
          <w:rFonts w:hint="default" w:ascii="Times New Roman" w:hAnsi="Times New Roman" w:cs="Times New Roman"/>
          <w:highlight w:val="none"/>
        </w:rPr>
        <w:t>家</w:t>
      </w:r>
      <w:r>
        <w:rPr>
          <w:rFonts w:hint="default" w:ascii="Times New Roman" w:hAnsi="Times New Roman" w:cs="Times New Roman"/>
          <w:highlight w:val="none"/>
          <w:lang w:eastAsia="zh-CN"/>
        </w:rPr>
        <w:t>，</w:t>
      </w:r>
      <w:r>
        <w:rPr>
          <w:rFonts w:hint="default" w:ascii="Times New Roman" w:hAnsi="Times New Roman" w:cs="Times New Roman"/>
          <w:highlight w:val="none"/>
          <w:lang w:val="en-US" w:eastAsia="zh-CN"/>
        </w:rPr>
        <w:t>占比分别</w:t>
      </w:r>
      <w:r>
        <w:rPr>
          <w:rFonts w:hint="default" w:ascii="Times New Roman" w:hAnsi="Times New Roman" w:cs="Times New Roman"/>
          <w:highlight w:val="none"/>
        </w:rPr>
        <w:t>为</w:t>
      </w:r>
      <w:r>
        <w:rPr>
          <w:rFonts w:hint="default" w:ascii="Times New Roman" w:hAnsi="Times New Roman" w:cs="Times New Roman"/>
          <w:highlight w:val="none"/>
          <w:lang w:val="en-US" w:eastAsia="zh-CN"/>
        </w:rPr>
        <w:t>40%、34%</w:t>
      </w:r>
      <w:r>
        <w:rPr>
          <w:rFonts w:hint="default" w:ascii="Times New Roman" w:hAnsi="Times New Roman" w:cs="Times New Roman"/>
          <w:highlight w:val="none"/>
        </w:rPr>
        <w:t>，</w:t>
      </w:r>
      <w:r>
        <w:rPr>
          <w:rFonts w:hint="default" w:ascii="Times New Roman" w:hAnsi="Times New Roman" w:cs="Times New Roman"/>
          <w:highlight w:val="none"/>
          <w:lang w:val="en-US" w:eastAsia="zh-CN"/>
        </w:rPr>
        <w:t>其次</w:t>
      </w:r>
      <w:r>
        <w:rPr>
          <w:rFonts w:hint="default" w:ascii="Times New Roman" w:hAnsi="Times New Roman" w:cs="Times New Roman"/>
          <w:highlight w:val="none"/>
        </w:rPr>
        <w:t>活性炭吸附-脱附-蓄热催化燃烧</w:t>
      </w:r>
      <w:r>
        <w:rPr>
          <w:rFonts w:hint="default" w:ascii="Times New Roman" w:hAnsi="Times New Roman" w:cs="Times New Roman"/>
          <w:highlight w:val="none"/>
          <w:lang w:val="en-US" w:eastAsia="zh-CN"/>
        </w:rPr>
        <w:t>16</w:t>
      </w:r>
      <w:r>
        <w:rPr>
          <w:rFonts w:hint="default" w:ascii="Times New Roman" w:hAnsi="Times New Roman" w:cs="Times New Roman"/>
          <w:highlight w:val="none"/>
        </w:rPr>
        <w:t>家，UV</w:t>
      </w:r>
      <w:r>
        <w:rPr>
          <w:rFonts w:hint="default" w:ascii="Times New Roman" w:hAnsi="Times New Roman" w:cs="Times New Roman"/>
          <w:highlight w:val="none"/>
          <w:lang w:val="en-US" w:eastAsia="zh-CN"/>
        </w:rPr>
        <w:t>光氧</w:t>
      </w:r>
      <w:r>
        <w:rPr>
          <w:rFonts w:hint="default" w:ascii="Times New Roman" w:hAnsi="Times New Roman" w:cs="Times New Roman"/>
          <w:highlight w:val="none"/>
        </w:rPr>
        <w:t>13家</w:t>
      </w:r>
      <w:r>
        <w:rPr>
          <w:rFonts w:hint="default" w:ascii="Times New Roman" w:hAnsi="Times New Roman" w:cs="Times New Roman"/>
          <w:highlight w:val="none"/>
          <w:lang w:val="en-US" w:eastAsia="zh-CN"/>
        </w:rPr>
        <w:t>（2022年调研企业）</w:t>
      </w:r>
      <w:r>
        <w:rPr>
          <w:rFonts w:hint="default" w:ascii="Times New Roman" w:hAnsi="Times New Roman" w:cs="Times New Roman"/>
          <w:highlight w:val="none"/>
        </w:rPr>
        <w:t>，</w:t>
      </w:r>
      <w:r>
        <w:rPr>
          <w:rFonts w:hint="default" w:ascii="Times New Roman" w:hAnsi="Times New Roman" w:cs="Times New Roman"/>
          <w:highlight w:val="none"/>
          <w:lang w:val="en-US" w:eastAsia="zh-CN"/>
        </w:rPr>
        <w:t>干式过滤+活性炭吸附+脱附系统+低温催化分解2家，</w:t>
      </w:r>
      <w:r>
        <w:rPr>
          <w:rFonts w:hint="default" w:ascii="Times New Roman" w:hAnsi="Times New Roman" w:cs="Times New Roman"/>
          <w:highlight w:val="none"/>
        </w:rPr>
        <w:t>汽车美容</w:t>
      </w:r>
      <w:r>
        <w:rPr>
          <w:rFonts w:hint="default" w:ascii="Times New Roman" w:hAnsi="Times New Roman" w:cs="Times New Roman"/>
          <w:highlight w:val="none"/>
          <w:lang w:eastAsia="zh-CN"/>
        </w:rPr>
        <w:t>企业</w:t>
      </w:r>
      <w:r>
        <w:rPr>
          <w:rFonts w:hint="default" w:ascii="Times New Roman" w:hAnsi="Times New Roman" w:cs="Times New Roman"/>
          <w:highlight w:val="none"/>
        </w:rPr>
        <w:t>2家，无喷涂</w:t>
      </w:r>
      <w:r>
        <w:rPr>
          <w:rFonts w:hint="default" w:ascii="Times New Roman" w:hAnsi="Times New Roman" w:cs="Times New Roman"/>
          <w:highlight w:val="none"/>
          <w:lang w:eastAsia="zh-CN"/>
        </w:rPr>
        <w:t>。</w:t>
      </w:r>
      <w:r>
        <w:rPr>
          <w:rFonts w:hint="default" w:ascii="Times New Roman" w:hAnsi="Times New Roman" w:cs="Times New Roman"/>
          <w:highlight w:val="none"/>
        </w:rPr>
        <w:t>涂料类型上，有</w:t>
      </w:r>
      <w:r>
        <w:rPr>
          <w:rFonts w:hint="default" w:ascii="Times New Roman" w:hAnsi="Times New Roman" w:cs="Times New Roman"/>
          <w:highlight w:val="none"/>
          <w:lang w:val="en-US" w:eastAsia="zh-CN"/>
        </w:rPr>
        <w:t>46</w:t>
      </w:r>
      <w:r>
        <w:rPr>
          <w:rFonts w:hint="default" w:ascii="Times New Roman" w:hAnsi="Times New Roman" w:cs="Times New Roman"/>
          <w:highlight w:val="none"/>
        </w:rPr>
        <w:t>家有使用水性漆，</w:t>
      </w:r>
      <w:r>
        <w:rPr>
          <w:rFonts w:hint="default" w:ascii="Times New Roman" w:hAnsi="Times New Roman" w:cs="Times New Roman"/>
          <w:highlight w:val="none"/>
          <w:lang w:val="en-US" w:eastAsia="zh-CN"/>
        </w:rPr>
        <w:t>占比36%，81</w:t>
      </w:r>
      <w:r>
        <w:rPr>
          <w:rFonts w:hint="default" w:ascii="Times New Roman" w:hAnsi="Times New Roman" w:cs="Times New Roman"/>
          <w:highlight w:val="none"/>
        </w:rPr>
        <w:t>家</w:t>
      </w:r>
      <w:r>
        <w:rPr>
          <w:rFonts w:hint="default" w:ascii="Times New Roman" w:hAnsi="Times New Roman" w:cs="Times New Roman"/>
          <w:highlight w:val="none"/>
          <w:lang w:val="en-US" w:eastAsia="zh-CN"/>
        </w:rPr>
        <w:t>使用</w:t>
      </w:r>
      <w:r>
        <w:rPr>
          <w:rFonts w:hint="default" w:ascii="Times New Roman" w:hAnsi="Times New Roman" w:cs="Times New Roman"/>
          <w:highlight w:val="none"/>
        </w:rPr>
        <w:t>油性漆</w:t>
      </w:r>
      <w:r>
        <w:rPr>
          <w:rFonts w:hint="default" w:ascii="Times New Roman" w:hAnsi="Times New Roman" w:cs="Times New Roman"/>
          <w:highlight w:val="none"/>
          <w:lang w:eastAsia="zh-CN"/>
        </w:rPr>
        <w:t>，</w:t>
      </w:r>
      <w:r>
        <w:rPr>
          <w:rFonts w:hint="default" w:ascii="Times New Roman" w:hAnsi="Times New Roman" w:cs="Times New Roman"/>
          <w:highlight w:val="none"/>
          <w:lang w:val="en-US" w:eastAsia="zh-CN"/>
        </w:rPr>
        <w:t>占比64%</w:t>
      </w:r>
      <w:r>
        <w:rPr>
          <w:rFonts w:hint="default" w:ascii="Times New Roman" w:hAnsi="Times New Roman" w:cs="Times New Roman"/>
          <w:highlight w:val="none"/>
        </w:rPr>
        <w:t>。</w:t>
      </w:r>
      <w:r>
        <w:rPr>
          <w:rFonts w:hint="default" w:ascii="Times New Roman" w:hAnsi="Times New Roman" w:cs="Times New Roman"/>
          <w:highlight w:val="none"/>
          <w:lang w:val="en-US" w:eastAsia="zh-CN"/>
        </w:rPr>
        <w:t>从区域类型来看，控制区企业117家，占比92%，其他区10家，占比8%。</w:t>
      </w:r>
    </w:p>
    <w:p w14:paraId="18495A19">
      <w:pPr>
        <w:keepNext w:val="0"/>
        <w:keepLines w:val="0"/>
        <w:pageBreakBefore w:val="0"/>
        <w:widowControl/>
        <w:kinsoku/>
        <w:wordWrap/>
        <w:autoSpaceDE/>
        <w:autoSpaceDN/>
        <w:bidi w:val="0"/>
        <w:ind w:left="0" w:leftChars="0" w:firstLine="0" w:firstLineChars="0"/>
        <w:jc w:val="center"/>
        <w:rPr>
          <w:rFonts w:hint="default" w:ascii="Times New Roman" w:hAnsi="Times New Roman" w:cs="Times New Roman"/>
          <w:highlight w:val="none"/>
          <w:lang w:val="en-US" w:eastAsia="zh-CN"/>
        </w:rPr>
      </w:pPr>
      <w:r>
        <w:rPr>
          <w:rFonts w:hint="default" w:ascii="Times New Roman" w:hAnsi="Times New Roman" w:cs="Times New Roman"/>
          <w:highlight w:val="none"/>
          <w:lang w:val="en-US" w:eastAsia="zh-CN"/>
        </w:rPr>
        <w:t>表5.2-1 调研汽车维修企业基本信息</w:t>
      </w:r>
    </w:p>
    <w:tbl>
      <w:tblPr>
        <w:tblStyle w:val="21"/>
        <w:tblW w:w="4922"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628"/>
        <w:gridCol w:w="1023"/>
        <w:gridCol w:w="735"/>
        <w:gridCol w:w="828"/>
        <w:gridCol w:w="1001"/>
        <w:gridCol w:w="757"/>
        <w:gridCol w:w="2227"/>
        <w:gridCol w:w="1196"/>
      </w:tblGrid>
      <w:tr w14:paraId="0C73D5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91" w:hRule="atLeast"/>
          <w:tblHeader/>
        </w:trPr>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C84F9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21"/>
                <w:szCs w:val="21"/>
                <w:highlight w:val="none"/>
                <w:u w:val="none"/>
              </w:rPr>
            </w:pPr>
            <w:r>
              <w:rPr>
                <w:rFonts w:hint="default" w:ascii="Times New Roman" w:hAnsi="Times New Roman" w:eastAsia="宋体" w:cs="Times New Roman"/>
                <w:b/>
                <w:bCs/>
                <w:i w:val="0"/>
                <w:iCs w:val="0"/>
                <w:color w:val="000000"/>
                <w:kern w:val="0"/>
                <w:sz w:val="21"/>
                <w:szCs w:val="21"/>
                <w:highlight w:val="none"/>
                <w:u w:val="none"/>
                <w:lang w:val="en-US" w:eastAsia="zh-CN" w:bidi="ar"/>
              </w:rPr>
              <w:t>序号</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92B54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21"/>
                <w:szCs w:val="21"/>
                <w:highlight w:val="none"/>
                <w:u w:val="none"/>
              </w:rPr>
            </w:pPr>
            <w:r>
              <w:rPr>
                <w:rFonts w:hint="default" w:ascii="Times New Roman" w:hAnsi="Times New Roman" w:eastAsia="宋体" w:cs="Times New Roman"/>
                <w:b/>
                <w:bCs/>
                <w:i w:val="0"/>
                <w:iCs w:val="0"/>
                <w:color w:val="000000"/>
                <w:kern w:val="0"/>
                <w:sz w:val="21"/>
                <w:szCs w:val="21"/>
                <w:highlight w:val="none"/>
                <w:u w:val="none"/>
                <w:lang w:val="en-US" w:eastAsia="zh-CN" w:bidi="ar"/>
              </w:rPr>
              <w:t>编号</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DA038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21"/>
                <w:szCs w:val="21"/>
                <w:highlight w:val="none"/>
                <w:u w:val="none"/>
              </w:rPr>
            </w:pPr>
            <w:r>
              <w:rPr>
                <w:rFonts w:hint="default" w:ascii="Times New Roman" w:hAnsi="Times New Roman" w:eastAsia="宋体" w:cs="Times New Roman"/>
                <w:b/>
                <w:bCs/>
                <w:i w:val="0"/>
                <w:iCs w:val="0"/>
                <w:color w:val="000000"/>
                <w:kern w:val="0"/>
                <w:sz w:val="21"/>
                <w:szCs w:val="21"/>
                <w:highlight w:val="none"/>
                <w:u w:val="none"/>
                <w:lang w:val="en-US" w:eastAsia="zh-CN" w:bidi="ar"/>
              </w:rPr>
              <w:t>修理厂类别</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7C20E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21"/>
                <w:szCs w:val="21"/>
                <w:highlight w:val="none"/>
                <w:u w:val="none"/>
              </w:rPr>
            </w:pPr>
            <w:r>
              <w:rPr>
                <w:rFonts w:hint="default" w:ascii="Times New Roman" w:hAnsi="Times New Roman" w:eastAsia="宋体" w:cs="Times New Roman"/>
                <w:b/>
                <w:bCs/>
                <w:i w:val="0"/>
                <w:iCs w:val="0"/>
                <w:color w:val="000000"/>
                <w:kern w:val="0"/>
                <w:sz w:val="21"/>
                <w:szCs w:val="21"/>
                <w:highlight w:val="none"/>
                <w:u w:val="none"/>
                <w:lang w:val="en-US" w:eastAsia="zh-CN" w:bidi="ar"/>
              </w:rPr>
              <w:t>是否是4S店</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22D4B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21"/>
                <w:szCs w:val="21"/>
                <w:highlight w:val="none"/>
                <w:u w:val="none"/>
              </w:rPr>
            </w:pPr>
            <w:r>
              <w:rPr>
                <w:rFonts w:hint="default" w:ascii="Times New Roman" w:hAnsi="Times New Roman" w:eastAsia="宋体" w:cs="Times New Roman"/>
                <w:b/>
                <w:bCs/>
                <w:i w:val="0"/>
                <w:iCs w:val="0"/>
                <w:color w:val="000000"/>
                <w:kern w:val="0"/>
                <w:sz w:val="21"/>
                <w:szCs w:val="21"/>
                <w:highlight w:val="none"/>
                <w:u w:val="none"/>
                <w:lang w:val="en-US" w:eastAsia="zh-CN" w:bidi="ar"/>
              </w:rPr>
              <w:t>维修车辆类型</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328D3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21"/>
                <w:szCs w:val="21"/>
                <w:highlight w:val="none"/>
                <w:u w:val="none"/>
              </w:rPr>
            </w:pPr>
            <w:r>
              <w:rPr>
                <w:rFonts w:hint="default" w:ascii="Times New Roman" w:hAnsi="Times New Roman" w:eastAsia="宋体" w:cs="Times New Roman"/>
                <w:b/>
                <w:bCs/>
                <w:i w:val="0"/>
                <w:iCs w:val="0"/>
                <w:color w:val="000000"/>
                <w:kern w:val="0"/>
                <w:sz w:val="21"/>
                <w:szCs w:val="21"/>
                <w:highlight w:val="none"/>
                <w:u w:val="none"/>
                <w:lang w:val="en-US" w:eastAsia="zh-CN" w:bidi="ar"/>
              </w:rPr>
              <w:t>是否有水性</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9C529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21"/>
                <w:szCs w:val="21"/>
                <w:highlight w:val="none"/>
                <w:u w:val="none"/>
              </w:rPr>
            </w:pPr>
            <w:r>
              <w:rPr>
                <w:rFonts w:hint="default" w:ascii="Times New Roman" w:hAnsi="Times New Roman" w:eastAsia="宋体" w:cs="Times New Roman"/>
                <w:b/>
                <w:bCs/>
                <w:i w:val="0"/>
                <w:iCs w:val="0"/>
                <w:color w:val="000000"/>
                <w:kern w:val="0"/>
                <w:sz w:val="21"/>
                <w:szCs w:val="21"/>
                <w:highlight w:val="none"/>
                <w:u w:val="none"/>
                <w:lang w:val="en-US" w:eastAsia="zh-CN" w:bidi="ar"/>
              </w:rPr>
              <w:t>治理技术</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3EED9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21"/>
                <w:szCs w:val="21"/>
                <w:highlight w:val="none"/>
                <w:u w:val="none"/>
              </w:rPr>
            </w:pPr>
            <w:r>
              <w:rPr>
                <w:rFonts w:hint="default" w:ascii="Times New Roman" w:hAnsi="Times New Roman" w:eastAsia="宋体" w:cs="Times New Roman"/>
                <w:b/>
                <w:bCs/>
                <w:i w:val="0"/>
                <w:iCs w:val="0"/>
                <w:color w:val="000000"/>
                <w:kern w:val="0"/>
                <w:sz w:val="21"/>
                <w:szCs w:val="21"/>
                <w:highlight w:val="none"/>
                <w:u w:val="none"/>
                <w:lang w:val="en-US" w:eastAsia="zh-CN" w:bidi="ar"/>
              </w:rPr>
              <w:t>区域类型</w:t>
            </w:r>
          </w:p>
        </w:tc>
      </w:tr>
      <w:tr w14:paraId="1C0CFFE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5085E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1</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07E36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成都1</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0EC4A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34261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64CCF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32BD0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08D1D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D9244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582EB2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97"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D9440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2</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02747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成都2</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B8B5F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一类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9A311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402B1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6FF07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FFCFC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活性炭吸附-脱附-蓄热催化燃烧</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0A6B9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5945E8D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5A638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3</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8A6DB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成都3</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EB9C4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一类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CDA03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B83D5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公交车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58DE2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8CD80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F4272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66BC53A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2"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9FFFF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4</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6C022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成都4</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F553C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三类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F9AE3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261D8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ED2FA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0D5D4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B1507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1C005A5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2"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4B8FB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5</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4A7DB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成都5</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C32BA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F2106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13E63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FEEAE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8C0F4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D1A7E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12A5478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2"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6B3D9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6</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61EC3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成都6</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C60B0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69F44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660BB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A3D2B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CB299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7FE6C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1F77EDB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2"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FF749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7</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5E589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成都7</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CECA9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三类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B3EC3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57FD3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448FF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D6165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864AA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1AA6E30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97"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0F0AD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8</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27811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成都8</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5C0AC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11C44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95315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04E57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9A807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活性炭吸附-脱附-蓄热催化燃烧</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3118C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0940FA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97"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A7132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9</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674CD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成都9</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041A0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一类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23AC0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67484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D37AA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DACFD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活性炭吸附-脱附-蓄热催化燃烧</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9A122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233296E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21FB6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10</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1C526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成都10</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DEB3B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89D1E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D52B7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DD28E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6268A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活性炭吸附-脱附-蓄热催化燃烧</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4D0C3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5E0ECEF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97"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35581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11</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3B585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成都11</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F080B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一类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CBF57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069CA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57ADE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45E81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活性炭吸附-脱附-蓄热催化燃烧</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AD98B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658659A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C4F14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12</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63619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成都12</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0D71B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三类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09A23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A5922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04EBE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C3C9F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79A67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43FBE05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F3E50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13</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8E7BE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成都13</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F0625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一类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72D8F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DE8ED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30B54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556C5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D47A6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507B5F8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91"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B7676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14</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E6228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成都14</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D2D71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一类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92F10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4S钣喷中心</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94CA7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EC470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7D13A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UV氧化</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A445A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1F4C4DE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272E2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15</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A25E6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成都15</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36BDD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0846A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98924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4BF08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28BEB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783BB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61AB497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0AFC7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16</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AE3EF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成都16</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529EE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三类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EC99F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2BC4F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F223A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37430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86A8A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293E244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DDA3C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17</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D1194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成都17</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39044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A58BF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AB673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332AC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2CFA6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A4B82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2F04E66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24B58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18</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D6F52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成都18</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9DE6F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62114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CC974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DE4E5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4AC02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FC557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356B57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91"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855F3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19</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6E4E1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成都19</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9B17F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一类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2D180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是，钣喷中心</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38CC3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00EE5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9228B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0F649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59892F0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3CD10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20</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286B3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成都20</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F9E12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36ADB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E8AD3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564B8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56B60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0B2F8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28717EC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65841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21</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51B4E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成都21</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B9779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555A8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BAA43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DDAA5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8781D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B3AB9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465A09D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83C5B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22</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C684F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成都22</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14EC0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三类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AAFAB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B1106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1F142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2CFEC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D9BE6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24F5080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3CABD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23</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B94AE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成都23</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7406F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三类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9F45E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642D5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952A8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DAF23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4B3BB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50EEBA4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91"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F186D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24</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86D08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成都24</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ECBDA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一类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279A5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2"/>
                <w:sz w:val="22"/>
                <w:szCs w:val="22"/>
                <w:highlight w:val="none"/>
                <w:u w:val="none"/>
                <w:lang w:val="en-US" w:eastAsia="zh-CN" w:bidi="ar-SA"/>
              </w:rPr>
            </w:pPr>
            <w:r>
              <w:rPr>
                <w:rFonts w:hint="default" w:ascii="Times New Roman" w:hAnsi="Times New Roman" w:eastAsia="宋体" w:cs="Times New Roman"/>
                <w:i w:val="0"/>
                <w:iCs w:val="0"/>
                <w:color w:val="000000"/>
                <w:kern w:val="0"/>
                <w:sz w:val="22"/>
                <w:szCs w:val="22"/>
                <w:highlight w:val="none"/>
                <w:u w:val="none"/>
                <w:lang w:val="en-US" w:eastAsia="zh-CN" w:bidi="ar"/>
              </w:rPr>
              <w:t>是，钣喷中心</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2CF54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FC310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1D65F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47336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784B188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1A96C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25</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D2356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成都25</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AFC40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6AC29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FE7C7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68AA5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EAAB6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6F2C2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39C1662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4475B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26</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8E196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成都26</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9136D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EAD11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FF2F5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50F08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AE062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3DD40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15E6CF7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16810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27</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00010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成都27</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1556E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C8159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229F5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货车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CA90E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16270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68830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4DF3D12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D0B4D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28</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96CCF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成都28</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370F3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BAC28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72285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A71F3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524AC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C5AF4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108C190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97"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7B991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29</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19B24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成都29</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7FD6A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三类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28286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8A0C8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1B675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5854B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活性炭吸附-脱附-蓄热催化燃烧</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9F23B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0D82B80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D9965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30</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9FB4E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成都30</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6AEF5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一类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BAA14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3B393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B8B2F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E84ED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40515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784CBCC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46150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31</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84A48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成都31</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AE4FE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三类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CAEA1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25C79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6FFDC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F0218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A622F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2A8280D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2E447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32</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1DFE5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成都32</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B75F8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D78BA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E2E21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ACA8A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E7201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69B6A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5B500AD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CD554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33</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80E29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成都33</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7338D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一类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F68E3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5AA63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BE2D9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B1C9F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7D1EB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1FD8F42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2719A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34</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7F828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成都34</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AB205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68B93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7CE4F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35646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13795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188C6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275EF59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D5C67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35</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23823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成都35</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FAE69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3D088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25572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货车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95DED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8C564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C735A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7B4067D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778D9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36</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36DCE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成都36</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61821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96544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5DB66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58867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47747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2EC25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7E0CF8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97"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374F1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37</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3B097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成都37</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C784A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一类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58FC7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16E84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5D805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9E402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活性炭吸附-脱附-蓄热催化燃烧</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6D3DB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3CA3E1B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EAC9A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38</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66F3E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成都38</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3722B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一类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FACA0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84D5D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1ADB6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0A840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16346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32A1BFA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1C4CE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39</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0D3A4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成都39</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4CFB4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6165B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A6C71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2FD71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CEA2F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A85C6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22FFFA2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01AB7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40</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21BA4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成都40</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AE478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6D67C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2F020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0068F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D0D96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48B11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7D24864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AC06E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41</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30C5B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成都41</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B7BC3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715C9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8F2BB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77F3A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382FF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8272C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3BEFF97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04310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42</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B95CE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成都42</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36124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7F59C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72214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6675C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F8164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D84A4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0C07C66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E91F9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43</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9DA15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成都43</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E68B6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一类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8A999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BCA5B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69AC2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E91CE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D9675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6115105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5D2B1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44</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234F4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成都44</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42134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9BAF0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BF79B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199EE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DF7BD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70E04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7129AB3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97"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EBCAB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45</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F6F93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成都45</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23A96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一类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19481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9EA0B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BA05E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93776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活性炭吸附-脱附-蓄热催化燃烧</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EC523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5233BAC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37FB2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46</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408F2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成都46</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76EF1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54BEE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BA1BD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5675C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B07C3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8D5D3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04F24CE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97"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B3EC1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47</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8D475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成都47</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B4BAD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35166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D75B8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94F8E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AE234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活性炭吸附-脱附-蓄热催化燃烧</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8BA2F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31CDA3A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50B51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48</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C5AA1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成都48</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285DF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CA698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2CA07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DEBAB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273FD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895E6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0A6CE74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76CCC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49</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5589B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成都49</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1EC79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一类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F4084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4C9F2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0180E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DE2DE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083E4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33E444A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F9BEA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50</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754BB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成都50</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106FF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69415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2E80D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E9406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DCA3D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A16BA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6A88DCE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73154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51</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F17E9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成都51</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E2BF1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AA6AA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03B7D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E6954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D5FE3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013BC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4C00C0C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DB3B6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52</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FD677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成都52</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98F3E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7E6B5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8C5A9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1F488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79B8D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F7D05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34CBF2B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E2579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53</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0C7F5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成都53</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4784A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8FA5D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E1AED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49C3C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55C60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E2147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24184A9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97"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9CFDD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54</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FE3BE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成都54</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6B082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F2F89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3D6FA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1F5BA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71A09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活性炭吸附-脱附-蓄热催化燃烧</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9F664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5DBCD4D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46DB2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55</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195B5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成都55</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11BBF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三类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E88FB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CE823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14CAD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AA313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D2226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0B50601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96B63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56</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0159A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成都56</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37F29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三类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9FBA4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869BC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C888B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F0F9E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54DC6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4B06C91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C1E07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57</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D0A06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成都57</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77D28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6C6D4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2582D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1A1B7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D2ED5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0DD78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5027FA6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49D36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58</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BD5A2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成都58</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A9031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D435B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0B266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48A79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8A695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89134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255A739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27E86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59</w:t>
            </w:r>
          </w:p>
        </w:tc>
        <w:tc>
          <w:tcPr>
            <w:tcW w:w="60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A3D74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德阳1</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07916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一类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AF332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5E568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B97E2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59A94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67FCC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52B8708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776BE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60</w:t>
            </w:r>
          </w:p>
        </w:tc>
        <w:tc>
          <w:tcPr>
            <w:tcW w:w="60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6E4C9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德阳2</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0C8A1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EFA99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CD9A0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7F642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C1FC8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7C7D4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3E69474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C5AFC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61</w:t>
            </w:r>
          </w:p>
        </w:tc>
        <w:tc>
          <w:tcPr>
            <w:tcW w:w="60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B47BD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德阳3</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E5A90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一类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D4849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1CA5A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0AA3D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D98F1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E4A69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0E7C187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230CF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62</w:t>
            </w:r>
          </w:p>
        </w:tc>
        <w:tc>
          <w:tcPr>
            <w:tcW w:w="60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312FF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德阳4</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8136E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三类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57E91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BFB2C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08461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47E45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5237C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3C9D5D8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04737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63</w:t>
            </w:r>
          </w:p>
        </w:tc>
        <w:tc>
          <w:tcPr>
            <w:tcW w:w="60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D704D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德阳5</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9615D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三类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09BA6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3B602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EB261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9AAF8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D57EC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457A519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CC60B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64</w:t>
            </w:r>
          </w:p>
        </w:tc>
        <w:tc>
          <w:tcPr>
            <w:tcW w:w="60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EB481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德阳6</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21C2C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一类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49456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684A5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D6940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634EC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3B530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429F60C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540DB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65</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8EB5B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广元1</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24D0B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C8BB1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44F0D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9A4E3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074DF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UV氧化</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4D955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6365CBF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A5D5B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66</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12C01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广元2</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8EA34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6C4C6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446FF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64869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F3768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UV氧化</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27C04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5D2A98C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D2B29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67</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053CA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广元3</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AAC5B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23E04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36322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7A19D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9E415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C2D45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2E7433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BA407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68</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72BE0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广元4</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911E9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2B711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5465B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928D3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4F9A6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UV氧化</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3E053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1B5AB61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91"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F8EDC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69</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163DD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广元5</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86C2E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FDFDD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93474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环卫车、小车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53C18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EDA1A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UV氧化</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8EA8D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1EF4715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3972F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70</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9C4EF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广元6</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B280F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一类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09259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FA035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公交车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93789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23443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UV氧化</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586E5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5416F3A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B01D5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71</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1408D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广元7</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FBD1B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一类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DE685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F4376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BB565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24BE3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71A03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19A6A5D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13CC1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72</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2E26B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广元8</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C2F86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EC4A3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F8BBF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82D62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15B52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UV氧化</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AE722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23E9BFF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5FE06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73</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FB48B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广元9</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E2EA5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三类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C06D6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7A812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21A87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17471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UV氧化</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CB9FA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530E08A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50D66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74</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9ED29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广元10</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F2965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一类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DE79B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19DE1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869DA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6581B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UV氧化</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CDF2C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6C54B30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05994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75</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393BC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乐山1</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6C2F5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7369A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82BD2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F59B8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6C1B1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55262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4BFA321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8FFDF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76</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CF22B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乐山2</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06D4A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D5A27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EC1E9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3D069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2F447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E5E82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228E12D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B63A5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77</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0EA2F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乐山3</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DDF6E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9D91E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8FBFE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43F6A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73B5E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225D8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62E8C64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EEB16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78</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22985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乐山4</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13E01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一类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586DC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5FCB1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943CB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B9EE6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CAE45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6C46ADE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84BA1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79</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E3B71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乐山5</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FB3DF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D8776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3C38E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1E5F2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A3142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EDEE2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6F76234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F5CFB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80</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E3C1D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乐山6</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0D78A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一类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3111F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1388D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货车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143C7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A701B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EE094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2FB45F3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3703E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81</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EFF58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乐山7</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768E6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CE6DB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A65F1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62976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DE24F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D945E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77C53F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5845B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82</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B4BD5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乐山8</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D5FFD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009E3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D1584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903C9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155C6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53D73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5C365C4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B392B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83</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B7003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乐山9</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5A381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一类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E6EB5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DBF3C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A6A6D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F4DAC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34A45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2910FD5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C50F6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84</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6423C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乐山10</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06492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716A5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9FE13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E0C6D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1B161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ED5B4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44CF3AE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74038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85</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765B5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乐山11</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D781A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A60FF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193A2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C5468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89854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89185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64AE838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542E5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86</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0A095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乐山12</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E151C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68380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C3680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F50D3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C71B1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4DBBE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02AF8E0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C9948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87</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809BD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乐山13</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EE4CC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三类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827F5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1449C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D0D88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B97EA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AC1B5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2B82DEF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F79BB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88</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157AA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乐山14</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7BE7D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三类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01FCE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38274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75015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71C23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46CEC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0392BE6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EEF3D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89</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A486F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乐山15</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C28B8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三类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8FB8D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EA0D7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4BBA4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11B3C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C11F1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5A3162D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A8543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90</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89400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乐山16</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9228B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533B6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7BDF5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AC76F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F0C07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A207F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7FD1408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C6D77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91</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C6C09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乐山17</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98FE2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7E9EB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50360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CA97E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66B02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A6CB9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0BC00B8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01AA3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92</w:t>
            </w:r>
          </w:p>
        </w:tc>
        <w:tc>
          <w:tcPr>
            <w:tcW w:w="60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3B1F5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泸州1</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0C451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87A7B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8DD15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F738D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B5378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CA79F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2672AAE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97"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8F0AB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93</w:t>
            </w:r>
          </w:p>
        </w:tc>
        <w:tc>
          <w:tcPr>
            <w:tcW w:w="60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626A4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泸州2</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7D8B6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D0BA5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E4581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61F85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46973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活性炭吸附-脱附-蓄热催化燃烧</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F8A6A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30D1367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91"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CC618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94</w:t>
            </w:r>
          </w:p>
        </w:tc>
        <w:tc>
          <w:tcPr>
            <w:tcW w:w="60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BB5AA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泸州3</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EFC12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230D9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FC9B6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E05B4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9C736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干式过滤+活性炭吸附+脱附系统+低温催化分解</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41E4D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15E6AA4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91"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344CC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95</w:t>
            </w:r>
          </w:p>
        </w:tc>
        <w:tc>
          <w:tcPr>
            <w:tcW w:w="60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5CFC9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泸州4</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DC140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7C77D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83D39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5B0A1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89793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干式过滤+活性炭吸附+脱附系统+低温催化分解</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F01F6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342D1A6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45586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96</w:t>
            </w:r>
          </w:p>
        </w:tc>
        <w:tc>
          <w:tcPr>
            <w:tcW w:w="60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974D2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眉山1</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EA23D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0DC67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A252F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3FEEC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17BDA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9E1F4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56BDDCE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39C14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97</w:t>
            </w:r>
          </w:p>
        </w:tc>
        <w:tc>
          <w:tcPr>
            <w:tcW w:w="60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9CC5F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眉山2</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E0316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6E627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57AB4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CB8E1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430E2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CAF28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7DC36CB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7EAB1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98</w:t>
            </w:r>
          </w:p>
        </w:tc>
        <w:tc>
          <w:tcPr>
            <w:tcW w:w="60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87106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眉山3</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25FDD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62417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B1177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0E6C7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63DBB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975A0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04EF7CB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E3F2D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2"/>
                <w:szCs w:val="22"/>
                <w:highlight w:val="none"/>
                <w:u w:val="none"/>
                <w:lang w:val="en-US" w:eastAsia="zh-CN" w:bidi="ar"/>
              </w:rPr>
              <w:t>99</w:t>
            </w:r>
          </w:p>
        </w:tc>
        <w:tc>
          <w:tcPr>
            <w:tcW w:w="60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0A1BF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2"/>
                <w:szCs w:val="22"/>
                <w:highlight w:val="none"/>
                <w:u w:val="none"/>
                <w:lang w:val="en-US" w:eastAsia="zh-CN" w:bidi="ar"/>
              </w:rPr>
              <w:t>眉山4</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CFCDB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2"/>
                <w:szCs w:val="22"/>
                <w:highlight w:val="none"/>
                <w:u w:val="none"/>
                <w:lang w:val="en-US" w:eastAsia="zh-CN" w:bidi="ar"/>
              </w:rPr>
              <w:t>一类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F3999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2"/>
                <w:szCs w:val="22"/>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B4C05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C8ACE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D9E06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30DB2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33B8AF4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55AB2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100</w:t>
            </w:r>
          </w:p>
        </w:tc>
        <w:tc>
          <w:tcPr>
            <w:tcW w:w="60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E36F5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眉山5</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CE6A2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一类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58F46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28E8F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EF0FE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A309C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8CF97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75C90F5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D5130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101</w:t>
            </w:r>
          </w:p>
        </w:tc>
        <w:tc>
          <w:tcPr>
            <w:tcW w:w="60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831CC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眉山6</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0B907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三类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890E9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39362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6D670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97FEF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4BEA9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2E2B318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97"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6EAC2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102</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FEA21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宜宾1</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246DB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三类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E2E3D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EAAF5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99F76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B2820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该店为汽车美容，不涉及喷漆</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04455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1589451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29C63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103</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1F181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宜宾2</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546C8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一类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1C885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0A440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47254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EFB1F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09CA7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14DE99F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943A4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104</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A8E85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宜宾3</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4A930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6042E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4639B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B4703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D9D45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EB7CD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13A429D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DD9BF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105</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46139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宜宾4</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E3362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三类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5BECD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A53F4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03C4B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2EFC5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UV氧化</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88B18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1B29BFB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AE8B0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106</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7A66E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宜宾5</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7789D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三类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0DC86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88E11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4F99F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E46BE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2C4EA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6398D10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263B1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107</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B506F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宜宾6</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A1369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709A6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EFF00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707C0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BA945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55851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624E33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73BCA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108</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1603C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宜宾7</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C7074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一类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E1A9E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9253D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3DC5A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EEAD1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F4419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4BE8F0F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E2B33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109</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CD81C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宜宾8</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6472E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一类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D7CCD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F7EEF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E442A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B9960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C1A62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06EB15A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AD48D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110</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3153F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宜宾9</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CD4A8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3AC6C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1C2B7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1BC1F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0CBF0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AB274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6F3B481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5340A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111</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3FDD9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宜宾10</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DDD04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一类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8D4B2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3CE19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35ED5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55894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82D7B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控制区</w:t>
            </w:r>
          </w:p>
        </w:tc>
      </w:tr>
      <w:tr w14:paraId="0283CA6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34914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112</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B5A32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宜宾11</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CB62A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4A9E3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A886B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89670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B345A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24BAC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1876C22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97"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826E1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113</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5BB9B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宜宾12</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CF59A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0ECD0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9EF71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20856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053BF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活性炭吸附-脱附-蓄热催化燃烧</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1E385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1DE9483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97"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22C0B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114</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D7676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宜宾13</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78245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E9127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323D8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06710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B4939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活性炭吸附-脱附-蓄热催化燃烧</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866F1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585993B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97"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02FB5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115</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5CA00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宜宾14</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70FEE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一类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287CF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418E8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36A9F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6697F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活性炭吸附-脱附-蓄热催化燃烧</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211DB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7B43EA3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97"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CF8EE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116</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2B671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宜宾15</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02B87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B15A9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890EF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70E69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752B9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活性炭吸附-脱附-蓄热催化燃烧</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3EE35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565A3B1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97"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04C40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117</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0DDB5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宜宾16</w:t>
            </w:r>
          </w:p>
        </w:tc>
        <w:tc>
          <w:tcPr>
            <w:tcW w:w="4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BD735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E7898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45BAD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E1747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是</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71EF0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活性炭吸附-脱附-蓄热催化燃烧</w:t>
            </w:r>
          </w:p>
        </w:tc>
        <w:tc>
          <w:tcPr>
            <w:tcW w:w="7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EEBB6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控制区</w:t>
            </w:r>
          </w:p>
        </w:tc>
      </w:tr>
      <w:tr w14:paraId="0C93206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AF742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118</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A3D59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西昌1</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A1522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262626"/>
                <w:sz w:val="21"/>
                <w:szCs w:val="21"/>
                <w:highlight w:val="none"/>
                <w:u w:val="none"/>
              </w:rPr>
            </w:pPr>
            <w:r>
              <w:rPr>
                <w:rFonts w:hint="default" w:ascii="Times New Roman" w:hAnsi="Times New Roman" w:eastAsia="宋体" w:cs="Times New Roman"/>
                <w:i w:val="0"/>
                <w:iCs w:val="0"/>
                <w:color w:val="262626"/>
                <w:kern w:val="0"/>
                <w:sz w:val="21"/>
                <w:szCs w:val="21"/>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6142C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13283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172F0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99521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UV氧化</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C3290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其他区</w:t>
            </w:r>
          </w:p>
        </w:tc>
      </w:tr>
      <w:tr w14:paraId="01CAC65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0D4D7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119</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AA458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西昌2</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831C9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262626"/>
                <w:sz w:val="21"/>
                <w:szCs w:val="21"/>
                <w:highlight w:val="none"/>
                <w:u w:val="none"/>
              </w:rPr>
            </w:pPr>
            <w:r>
              <w:rPr>
                <w:rFonts w:hint="default" w:ascii="Times New Roman" w:hAnsi="Times New Roman" w:eastAsia="宋体" w:cs="Times New Roman"/>
                <w:i w:val="0"/>
                <w:iCs w:val="0"/>
                <w:color w:val="262626"/>
                <w:kern w:val="0"/>
                <w:sz w:val="21"/>
                <w:szCs w:val="21"/>
                <w:highlight w:val="none"/>
                <w:u w:val="none"/>
                <w:lang w:val="en-US" w:eastAsia="zh-CN" w:bidi="ar"/>
              </w:rPr>
              <w:t>三类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1B492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B4B5A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0B501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CAD1B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E3321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其他区</w:t>
            </w:r>
          </w:p>
        </w:tc>
      </w:tr>
      <w:tr w14:paraId="37416D6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DA6F7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120</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1F577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西昌3</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3A524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262626"/>
                <w:sz w:val="21"/>
                <w:szCs w:val="21"/>
                <w:highlight w:val="none"/>
                <w:u w:val="none"/>
              </w:rPr>
            </w:pPr>
            <w:r>
              <w:rPr>
                <w:rFonts w:hint="default" w:ascii="Times New Roman" w:hAnsi="Times New Roman" w:eastAsia="宋体" w:cs="Times New Roman"/>
                <w:i w:val="0"/>
                <w:iCs w:val="0"/>
                <w:color w:val="262626"/>
                <w:kern w:val="0"/>
                <w:sz w:val="21"/>
                <w:szCs w:val="21"/>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282E1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9F959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03604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07138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活性炭吸附</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4E302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其他区</w:t>
            </w:r>
          </w:p>
        </w:tc>
      </w:tr>
      <w:tr w14:paraId="42249D9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8AE6B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121</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13636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西昌4</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67A7E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262626"/>
                <w:sz w:val="21"/>
                <w:szCs w:val="21"/>
                <w:highlight w:val="none"/>
                <w:u w:val="none"/>
              </w:rPr>
            </w:pPr>
            <w:r>
              <w:rPr>
                <w:rFonts w:hint="default" w:ascii="Times New Roman" w:hAnsi="Times New Roman" w:eastAsia="宋体" w:cs="Times New Roman"/>
                <w:i w:val="0"/>
                <w:iCs w:val="0"/>
                <w:color w:val="262626"/>
                <w:kern w:val="0"/>
                <w:sz w:val="21"/>
                <w:szCs w:val="21"/>
                <w:highlight w:val="none"/>
                <w:u w:val="none"/>
                <w:lang w:val="en-US" w:eastAsia="zh-CN" w:bidi="ar"/>
              </w:rPr>
              <w:t>一类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25578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4A3EE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8DC8E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45510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E978F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其他区</w:t>
            </w:r>
          </w:p>
        </w:tc>
      </w:tr>
      <w:tr w14:paraId="744D9D2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FEDDA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122</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2FB17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西昌5</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7DCB6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262626"/>
                <w:sz w:val="21"/>
                <w:szCs w:val="21"/>
                <w:highlight w:val="none"/>
                <w:u w:val="none"/>
              </w:rPr>
            </w:pPr>
            <w:r>
              <w:rPr>
                <w:rFonts w:hint="default" w:ascii="Times New Roman" w:hAnsi="Times New Roman" w:eastAsia="宋体" w:cs="Times New Roman"/>
                <w:i w:val="0"/>
                <w:iCs w:val="0"/>
                <w:color w:val="262626"/>
                <w:kern w:val="0"/>
                <w:sz w:val="21"/>
                <w:szCs w:val="21"/>
                <w:highlight w:val="none"/>
                <w:u w:val="none"/>
                <w:lang w:val="en-US" w:eastAsia="zh-CN" w:bidi="ar"/>
              </w:rPr>
              <w:t>一类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B30FD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527B0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1D6DCC">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A1912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39B81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其他区</w:t>
            </w:r>
          </w:p>
        </w:tc>
      </w:tr>
      <w:tr w14:paraId="1697402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546A9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123</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C1919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西昌6</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7E7BD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262626"/>
                <w:sz w:val="21"/>
                <w:szCs w:val="21"/>
                <w:highlight w:val="none"/>
                <w:u w:val="none"/>
              </w:rPr>
            </w:pPr>
            <w:r>
              <w:rPr>
                <w:rFonts w:hint="default" w:ascii="Times New Roman" w:hAnsi="Times New Roman" w:eastAsia="宋体" w:cs="Times New Roman"/>
                <w:i w:val="0"/>
                <w:iCs w:val="0"/>
                <w:color w:val="262626"/>
                <w:kern w:val="0"/>
                <w:sz w:val="21"/>
                <w:szCs w:val="21"/>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04DCF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AB7CD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8A308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A3A6B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UV氧化</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BFE8B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其他区</w:t>
            </w:r>
          </w:p>
        </w:tc>
      </w:tr>
      <w:tr w14:paraId="02AF333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6BB65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124</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EAC4E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西昌7</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B978C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262626"/>
                <w:sz w:val="21"/>
                <w:szCs w:val="21"/>
                <w:highlight w:val="none"/>
                <w:u w:val="none"/>
              </w:rPr>
            </w:pPr>
            <w:r>
              <w:rPr>
                <w:rFonts w:hint="default" w:ascii="Times New Roman" w:hAnsi="Times New Roman" w:eastAsia="宋体" w:cs="Times New Roman"/>
                <w:i w:val="0"/>
                <w:iCs w:val="0"/>
                <w:color w:val="262626"/>
                <w:kern w:val="0"/>
                <w:sz w:val="21"/>
                <w:szCs w:val="21"/>
                <w:highlight w:val="none"/>
                <w:u w:val="none"/>
                <w:lang w:val="en-US" w:eastAsia="zh-CN" w:bidi="ar"/>
              </w:rPr>
              <w:t>三类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66ECC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2D024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A8500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B7946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不涉及喷漆</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796FB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其他区</w:t>
            </w:r>
          </w:p>
        </w:tc>
      </w:tr>
      <w:tr w14:paraId="7DD43C1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72B3B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125</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838003">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西昌8</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8A10D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262626"/>
                <w:sz w:val="21"/>
                <w:szCs w:val="21"/>
                <w:highlight w:val="none"/>
                <w:u w:val="none"/>
              </w:rPr>
            </w:pPr>
            <w:r>
              <w:rPr>
                <w:rFonts w:hint="default" w:ascii="Times New Roman" w:hAnsi="Times New Roman" w:eastAsia="宋体" w:cs="Times New Roman"/>
                <w:i w:val="0"/>
                <w:iCs w:val="0"/>
                <w:color w:val="262626"/>
                <w:kern w:val="0"/>
                <w:sz w:val="21"/>
                <w:szCs w:val="21"/>
                <w:highlight w:val="none"/>
                <w:u w:val="none"/>
                <w:lang w:val="en-US" w:eastAsia="zh-CN" w:bidi="ar"/>
              </w:rPr>
              <w:t>一类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B82FC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07746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D9FCB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1DA86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03803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其他区</w:t>
            </w:r>
          </w:p>
        </w:tc>
      </w:tr>
      <w:tr w14:paraId="059FC53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57CB0E">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126</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E87F6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西昌9</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1CDF2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262626"/>
                <w:sz w:val="21"/>
                <w:szCs w:val="21"/>
                <w:highlight w:val="none"/>
                <w:u w:val="none"/>
              </w:rPr>
            </w:pPr>
            <w:r>
              <w:rPr>
                <w:rFonts w:hint="default" w:ascii="Times New Roman" w:hAnsi="Times New Roman" w:eastAsia="宋体" w:cs="Times New Roman"/>
                <w:i w:val="0"/>
                <w:iCs w:val="0"/>
                <w:color w:val="262626"/>
                <w:kern w:val="0"/>
                <w:sz w:val="21"/>
                <w:szCs w:val="21"/>
                <w:highlight w:val="none"/>
                <w:u w:val="none"/>
                <w:lang w:val="en-US" w:eastAsia="zh-CN" w:bidi="ar"/>
              </w:rPr>
              <w:t>二类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9FC31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是</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CA2358">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E9264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382ED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UV光氧+活性炭</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54D04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其他区</w:t>
            </w:r>
          </w:p>
        </w:tc>
      </w:tr>
      <w:tr w14:paraId="2484E66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3" w:hRule="atLeast"/>
        </w:trPr>
        <w:tc>
          <w:tcPr>
            <w:tcW w:w="3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ACFC45">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2"/>
                <w:szCs w:val="22"/>
                <w:highlight w:val="none"/>
                <w:u w:val="none"/>
                <w:lang w:val="en-US" w:eastAsia="zh-CN" w:bidi="ar"/>
              </w:rPr>
              <w:t>127</w:t>
            </w:r>
          </w:p>
        </w:tc>
        <w:tc>
          <w:tcPr>
            <w:tcW w:w="6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52060D">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西昌10</w:t>
            </w:r>
          </w:p>
        </w:tc>
        <w:tc>
          <w:tcPr>
            <w:tcW w:w="43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0F4E30">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262626"/>
                <w:sz w:val="21"/>
                <w:szCs w:val="21"/>
                <w:highlight w:val="none"/>
                <w:u w:val="none"/>
              </w:rPr>
            </w:pPr>
            <w:r>
              <w:rPr>
                <w:rFonts w:hint="default" w:ascii="Times New Roman" w:hAnsi="Times New Roman" w:eastAsia="宋体" w:cs="Times New Roman"/>
                <w:i w:val="0"/>
                <w:iCs w:val="0"/>
                <w:color w:val="262626"/>
                <w:kern w:val="0"/>
                <w:sz w:val="21"/>
                <w:szCs w:val="21"/>
                <w:highlight w:val="none"/>
                <w:u w:val="none"/>
                <w:lang w:val="en-US" w:eastAsia="zh-CN" w:bidi="ar"/>
              </w:rPr>
              <w:t>一类</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45B68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EC304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小汽车</w:t>
            </w:r>
          </w:p>
        </w:tc>
        <w:tc>
          <w:tcPr>
            <w:tcW w:w="4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DB91F1">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否</w:t>
            </w:r>
          </w:p>
        </w:tc>
        <w:tc>
          <w:tcPr>
            <w:tcW w:w="132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884C1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UV氧化</w:t>
            </w:r>
          </w:p>
        </w:tc>
        <w:tc>
          <w:tcPr>
            <w:tcW w:w="7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5ADF0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其他区</w:t>
            </w:r>
          </w:p>
        </w:tc>
      </w:tr>
    </w:tbl>
    <w:p w14:paraId="297C5C02">
      <w:pPr>
        <w:keepNext w:val="0"/>
        <w:keepLines w:val="0"/>
        <w:pageBreakBefore w:val="0"/>
        <w:widowControl/>
        <w:kinsoku/>
        <w:wordWrap/>
        <w:overflowPunct/>
        <w:topLinePunct w:val="0"/>
        <w:autoSpaceDE/>
        <w:autoSpaceDN/>
        <w:bidi w:val="0"/>
        <w:adjustRightInd/>
        <w:snapToGrid/>
        <w:spacing w:line="240" w:lineRule="auto"/>
        <w:ind w:left="0" w:leftChars="0" w:firstLine="0" w:firstLineChars="0"/>
        <w:textAlignment w:val="auto"/>
        <w:rPr>
          <w:rFonts w:hint="default" w:ascii="Times New Roman" w:hAnsi="Times New Roman" w:eastAsia="宋体" w:cs="Times New Roman"/>
          <w:sz w:val="21"/>
          <w:szCs w:val="21"/>
          <w:highlight w:val="none"/>
          <w:lang w:val="en-US" w:eastAsia="zh-CN"/>
        </w:rPr>
      </w:pPr>
      <w:bookmarkStart w:id="68" w:name="_Toc24785"/>
      <w:r>
        <w:rPr>
          <w:rFonts w:hint="default" w:ascii="Times New Roman" w:hAnsi="Times New Roman" w:cs="Times New Roman"/>
          <w:sz w:val="21"/>
          <w:szCs w:val="21"/>
          <w:highlight w:val="none"/>
          <w:lang w:val="en-US" w:eastAsia="zh-CN"/>
        </w:rPr>
        <w:t>注：控制区（包括成都市、自贡市、攀枝花市、泸州市、德阳市、绵阳市、广元市、遂宁市、内江市、乐山市、南充市、眉山市、宜宾市、广安市、达州市、雅安市、巴中市、资阳市）；其他区（包括阿坝藏族羌族自治州、甘孜藏族自治州、凉山彝族自治州）。</w:t>
      </w:r>
    </w:p>
    <w:p w14:paraId="5182E7F7">
      <w:pPr>
        <w:pStyle w:val="4"/>
        <w:keepNext w:val="0"/>
        <w:keepLines w:val="0"/>
        <w:pageBreakBefore w:val="0"/>
        <w:widowControl/>
        <w:kinsoku/>
        <w:wordWrap/>
        <w:autoSpaceDE/>
        <w:autoSpaceDN/>
        <w:bidi w:val="0"/>
        <w:rPr>
          <w:rFonts w:hint="default" w:ascii="Times New Roman" w:hAnsi="Times New Roman" w:cs="Times New Roman"/>
          <w:highlight w:val="none"/>
        </w:rPr>
      </w:pPr>
      <w:bookmarkStart w:id="69" w:name="_Toc20357"/>
      <w:r>
        <w:rPr>
          <w:rFonts w:hint="default" w:ascii="Times New Roman" w:hAnsi="Times New Roman" w:cs="Times New Roman"/>
          <w:highlight w:val="none"/>
        </w:rPr>
        <w:t>原辅料使用现状及存在问题</w:t>
      </w:r>
      <w:bookmarkEnd w:id="68"/>
      <w:bookmarkEnd w:id="69"/>
    </w:p>
    <w:p w14:paraId="569A4A4D">
      <w:pPr>
        <w:keepNext w:val="0"/>
        <w:keepLines w:val="0"/>
        <w:pageBreakBefore w:val="0"/>
        <w:widowControl/>
        <w:numPr>
          <w:ilvl w:val="0"/>
          <w:numId w:val="4"/>
        </w:numPr>
        <w:kinsoku/>
        <w:wordWrap/>
        <w:autoSpaceDE/>
        <w:autoSpaceDN/>
        <w:bidi w:val="0"/>
        <w:rPr>
          <w:rFonts w:hint="default" w:ascii="Times New Roman" w:hAnsi="Times New Roman" w:cs="Times New Roman"/>
          <w:b/>
          <w:bCs/>
          <w:highlight w:val="none"/>
        </w:rPr>
      </w:pPr>
      <w:r>
        <w:rPr>
          <w:rFonts w:hint="default" w:ascii="Times New Roman" w:hAnsi="Times New Roman" w:cs="Times New Roman"/>
          <w:b/>
          <w:bCs/>
          <w:highlight w:val="none"/>
        </w:rPr>
        <w:t>台账记录管理</w:t>
      </w:r>
    </w:p>
    <w:p w14:paraId="41E886BD">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从原辅料的使用管理来看，总体十分混乱。60%以上的</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企业没有建立原辅材料台账，对原料的使用量信息仅限于出入库单据，还有部分</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企业原辅料由第三方配漆供应商供应，没有具体的用漆量记录。已有台账记录的台账信息也往往没有统计全部的原辅料用量，还有部分记录的信息存在明显错误。</w:t>
      </w:r>
    </w:p>
    <w:p w14:paraId="73358816">
      <w:pPr>
        <w:keepNext w:val="0"/>
        <w:keepLines w:val="0"/>
        <w:pageBreakBefore w:val="0"/>
        <w:widowControl/>
        <w:kinsoku/>
        <w:wordWrap/>
        <w:autoSpaceDE/>
        <w:autoSpaceDN/>
        <w:bidi w:val="0"/>
        <w:rPr>
          <w:rFonts w:hint="default" w:ascii="Times New Roman" w:hAnsi="Times New Roman" w:cs="Times New Roman"/>
          <w:b/>
          <w:bCs/>
          <w:highlight w:val="none"/>
        </w:rPr>
      </w:pPr>
      <w:r>
        <w:rPr>
          <w:rFonts w:hint="default" w:ascii="Times New Roman" w:hAnsi="Times New Roman" w:cs="Times New Roman"/>
          <w:b/>
          <w:bCs/>
          <w:highlight w:val="none"/>
        </w:rPr>
        <w:t>（2）原辅料使用现状</w:t>
      </w:r>
    </w:p>
    <w:p w14:paraId="6D4B2279">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lang w:val="en-US" w:eastAsia="zh-CN"/>
        </w:rPr>
        <w:t>12</w:t>
      </w:r>
      <w:r>
        <w:rPr>
          <w:rFonts w:hint="default" w:ascii="Times New Roman" w:hAnsi="Times New Roman" w:cs="Times New Roman"/>
          <w:highlight w:val="none"/>
        </w:rPr>
        <w:t>7家</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企业中，</w:t>
      </w:r>
      <w:r>
        <w:rPr>
          <w:rFonts w:hint="default" w:ascii="Times New Roman" w:hAnsi="Times New Roman" w:cs="Times New Roman"/>
          <w:highlight w:val="none"/>
          <w:lang w:val="en-US" w:eastAsia="zh-CN"/>
        </w:rPr>
        <w:t>仅83</w:t>
      </w:r>
      <w:r>
        <w:rPr>
          <w:rFonts w:hint="default" w:ascii="Times New Roman" w:hAnsi="Times New Roman" w:cs="Times New Roman"/>
          <w:highlight w:val="none"/>
        </w:rPr>
        <w:t>家企业提供了原辅料使用信息，使用量信息总体偏小，存在</w:t>
      </w:r>
      <w:r>
        <w:rPr>
          <w:rFonts w:hint="default" w:ascii="Times New Roman" w:hAnsi="Times New Roman" w:cs="Times New Roman"/>
          <w:highlight w:val="none"/>
          <w:lang w:val="en-US" w:eastAsia="zh-CN"/>
        </w:rPr>
        <w:t>大</w:t>
      </w:r>
      <w:r>
        <w:rPr>
          <w:rFonts w:hint="default" w:ascii="Times New Roman" w:hAnsi="Times New Roman" w:cs="Times New Roman"/>
          <w:highlight w:val="none"/>
        </w:rPr>
        <w:t>部分原辅料信息无法提供的情况。</w:t>
      </w:r>
      <w:r>
        <w:rPr>
          <w:rFonts w:hint="default" w:ascii="Times New Roman" w:hAnsi="Times New Roman" w:cs="Times New Roman"/>
          <w:highlight w:val="none"/>
          <w:lang w:val="en-US" w:eastAsia="zh-CN"/>
        </w:rPr>
        <w:t>83</w:t>
      </w:r>
      <w:r>
        <w:rPr>
          <w:rFonts w:hint="default" w:ascii="Times New Roman" w:hAnsi="Times New Roman" w:cs="Times New Roman"/>
          <w:highlight w:val="none"/>
        </w:rPr>
        <w:t>家企业中，大部分提供了底漆、色漆、清漆、稀释剂（含清洗剂）的用量，部分企业提供了固化剂、钣金灰的用量，还有小部分企业提供了除油剂、发动机清洗剂等的用量。根据调研，统计了</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企业的主要原辅料平均用量，如下图所示。</w:t>
      </w:r>
    </w:p>
    <w:p w14:paraId="64BEDE29">
      <w:pPr>
        <w:keepNext w:val="0"/>
        <w:keepLines w:val="0"/>
        <w:pageBreakBefore w:val="0"/>
        <w:widowControl/>
        <w:kinsoku/>
        <w:wordWrap/>
        <w:overflowPunct/>
        <w:topLinePunct w:val="0"/>
        <w:autoSpaceDE/>
        <w:autoSpaceDN/>
        <w:bidi w:val="0"/>
        <w:adjustRightInd/>
        <w:snapToGrid/>
        <w:ind w:left="0" w:leftChars="0" w:firstLine="0" w:firstLineChars="0"/>
        <w:jc w:val="center"/>
        <w:textAlignment w:val="auto"/>
        <w:rPr>
          <w:rFonts w:hint="default" w:ascii="Times New Roman" w:hAnsi="Times New Roman" w:cs="Times New Roman"/>
          <w:highlight w:val="none"/>
          <w:lang w:val="en-US" w:eastAsia="zh-CN"/>
        </w:rPr>
      </w:pPr>
      <w:r>
        <w:rPr>
          <w:rFonts w:hint="default" w:ascii="Times New Roman" w:hAnsi="Times New Roman" w:cs="Times New Roman"/>
          <w:highlight w:val="none"/>
          <w:lang w:val="en-US" w:eastAsia="zh-CN"/>
        </w:rPr>
        <w:t>表5.2-2</w:t>
      </w:r>
      <w:r>
        <w:rPr>
          <w:rFonts w:hint="eastAsia" w:cs="Times New Roman"/>
          <w:highlight w:val="none"/>
          <w:lang w:val="en-US" w:eastAsia="zh-CN"/>
        </w:rPr>
        <w:t xml:space="preserve"> </w:t>
      </w:r>
      <w:r>
        <w:rPr>
          <w:rFonts w:hint="default" w:ascii="Times New Roman" w:hAnsi="Times New Roman" w:cs="Times New Roman"/>
          <w:highlight w:val="none"/>
          <w:lang w:val="en-US" w:eastAsia="zh-CN"/>
        </w:rPr>
        <w:t>每家汽车维修主要原辅料平均用量</w:t>
      </w:r>
    </w:p>
    <w:p w14:paraId="6E21A8E3">
      <w:pPr>
        <w:keepNext w:val="0"/>
        <w:keepLines w:val="0"/>
        <w:pageBreakBefore w:val="0"/>
        <w:widowControl/>
        <w:kinsoku/>
        <w:wordWrap/>
        <w:overflowPunct/>
        <w:topLinePunct w:val="0"/>
        <w:autoSpaceDE/>
        <w:autoSpaceDN/>
        <w:bidi w:val="0"/>
        <w:adjustRightInd/>
        <w:snapToGrid/>
        <w:ind w:left="0" w:leftChars="0" w:firstLine="0" w:firstLineChars="0"/>
        <w:jc w:val="right"/>
        <w:textAlignment w:val="auto"/>
        <w:rPr>
          <w:rFonts w:hint="default" w:ascii="Times New Roman" w:hAnsi="Times New Roman" w:cs="Times New Roman"/>
          <w:highlight w:val="none"/>
          <w:lang w:val="en-US" w:eastAsia="zh-CN"/>
        </w:rPr>
      </w:pPr>
      <w:r>
        <w:rPr>
          <w:rFonts w:hint="default" w:ascii="Times New Roman" w:hAnsi="Times New Roman" w:cs="Times New Roman"/>
          <w:highlight w:val="none"/>
          <w:lang w:val="en-US" w:eastAsia="zh-CN"/>
        </w:rPr>
        <w:t>单位：</w:t>
      </w:r>
      <w:r>
        <w:rPr>
          <w:rFonts w:hint="eastAsia" w:cs="Times New Roman"/>
          <w:highlight w:val="none"/>
          <w:lang w:val="en-US" w:eastAsia="zh-CN"/>
        </w:rPr>
        <w:t>kg</w:t>
      </w:r>
      <w:r>
        <w:rPr>
          <w:rFonts w:hint="default" w:ascii="Times New Roman" w:hAnsi="Times New Roman" w:cs="Times New Roman"/>
          <w:highlight w:val="none"/>
          <w:lang w:val="en-US" w:eastAsia="zh-CN"/>
        </w:rPr>
        <w:t>/</w:t>
      </w:r>
      <w:r>
        <w:rPr>
          <w:rFonts w:hint="eastAsia" w:cs="Times New Roman"/>
          <w:highlight w:val="none"/>
          <w:lang w:val="en-US" w:eastAsia="zh-CN"/>
        </w:rPr>
        <w:t>a</w:t>
      </w:r>
    </w:p>
    <w:tbl>
      <w:tblPr>
        <w:tblStyle w:val="21"/>
        <w:tblW w:w="811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73"/>
        <w:gridCol w:w="956"/>
        <w:gridCol w:w="962"/>
        <w:gridCol w:w="911"/>
        <w:gridCol w:w="1164"/>
        <w:gridCol w:w="1144"/>
        <w:gridCol w:w="1005"/>
        <w:gridCol w:w="1002"/>
      </w:tblGrid>
      <w:tr w14:paraId="3B87B3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8" w:hRule="atLeast"/>
          <w:tblHeader/>
          <w:jc w:val="center"/>
        </w:trPr>
        <w:tc>
          <w:tcPr>
            <w:tcW w:w="973" w:type="dxa"/>
            <w:shd w:val="clear" w:color="auto" w:fill="auto"/>
            <w:noWrap/>
            <w:vAlign w:val="center"/>
          </w:tcPr>
          <w:p w14:paraId="1BD7A279">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cs="Times New Roman"/>
                <w:b/>
                <w:bCs/>
                <w:color w:val="000000"/>
                <w:sz w:val="21"/>
                <w:szCs w:val="21"/>
                <w:highlight w:val="none"/>
              </w:rPr>
            </w:pPr>
            <w:r>
              <w:rPr>
                <w:rFonts w:hint="default" w:ascii="Times New Roman" w:hAnsi="Times New Roman" w:cs="Times New Roman"/>
                <w:b/>
                <w:bCs/>
                <w:color w:val="000000"/>
                <w:kern w:val="0"/>
                <w:sz w:val="21"/>
                <w:szCs w:val="21"/>
                <w:highlight w:val="none"/>
                <w:lang w:bidi="ar"/>
              </w:rPr>
              <w:t>类别</w:t>
            </w:r>
          </w:p>
        </w:tc>
        <w:tc>
          <w:tcPr>
            <w:tcW w:w="956" w:type="dxa"/>
            <w:shd w:val="clear" w:color="auto" w:fill="auto"/>
            <w:noWrap/>
            <w:vAlign w:val="center"/>
          </w:tcPr>
          <w:p w14:paraId="034C273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cs="Times New Roman"/>
                <w:b/>
                <w:bCs/>
                <w:color w:val="000000"/>
                <w:sz w:val="21"/>
                <w:szCs w:val="21"/>
                <w:highlight w:val="none"/>
              </w:rPr>
            </w:pPr>
            <w:r>
              <w:rPr>
                <w:rFonts w:hint="default" w:ascii="Times New Roman" w:hAnsi="Times New Roman" w:cs="Times New Roman"/>
                <w:b/>
                <w:bCs/>
                <w:color w:val="000000"/>
                <w:kern w:val="0"/>
                <w:sz w:val="21"/>
                <w:szCs w:val="21"/>
                <w:highlight w:val="none"/>
                <w:lang w:bidi="ar"/>
              </w:rPr>
              <w:t>除油剂</w:t>
            </w:r>
          </w:p>
        </w:tc>
        <w:tc>
          <w:tcPr>
            <w:tcW w:w="962" w:type="dxa"/>
            <w:shd w:val="clear" w:color="auto" w:fill="auto"/>
            <w:noWrap/>
            <w:vAlign w:val="center"/>
          </w:tcPr>
          <w:p w14:paraId="6CB9A1B3">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cs="Times New Roman"/>
                <w:b/>
                <w:bCs/>
                <w:color w:val="000000"/>
                <w:sz w:val="21"/>
                <w:szCs w:val="21"/>
                <w:highlight w:val="none"/>
              </w:rPr>
            </w:pPr>
            <w:r>
              <w:rPr>
                <w:rFonts w:hint="default" w:ascii="Times New Roman" w:hAnsi="Times New Roman" w:cs="Times New Roman"/>
                <w:b/>
                <w:bCs/>
                <w:color w:val="000000"/>
                <w:kern w:val="0"/>
                <w:sz w:val="21"/>
                <w:szCs w:val="21"/>
                <w:highlight w:val="none"/>
                <w:lang w:bidi="ar"/>
              </w:rPr>
              <w:t>底漆/中涂</w:t>
            </w:r>
          </w:p>
        </w:tc>
        <w:tc>
          <w:tcPr>
            <w:tcW w:w="911" w:type="dxa"/>
            <w:shd w:val="clear" w:color="auto" w:fill="auto"/>
            <w:noWrap/>
            <w:vAlign w:val="center"/>
          </w:tcPr>
          <w:p w14:paraId="627F238A">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cs="Times New Roman"/>
                <w:b/>
                <w:bCs/>
                <w:color w:val="000000"/>
                <w:sz w:val="21"/>
                <w:szCs w:val="21"/>
                <w:highlight w:val="none"/>
              </w:rPr>
            </w:pPr>
            <w:r>
              <w:rPr>
                <w:rFonts w:hint="default" w:ascii="Times New Roman" w:hAnsi="Times New Roman" w:cs="Times New Roman"/>
                <w:b/>
                <w:bCs/>
                <w:color w:val="000000"/>
                <w:kern w:val="0"/>
                <w:sz w:val="21"/>
                <w:szCs w:val="21"/>
                <w:highlight w:val="none"/>
                <w:lang w:bidi="ar"/>
              </w:rPr>
              <w:t>固化剂类</w:t>
            </w:r>
          </w:p>
        </w:tc>
        <w:tc>
          <w:tcPr>
            <w:tcW w:w="1164" w:type="dxa"/>
            <w:shd w:val="clear" w:color="auto" w:fill="auto"/>
            <w:noWrap/>
            <w:vAlign w:val="center"/>
          </w:tcPr>
          <w:p w14:paraId="60099B08">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cs="Times New Roman"/>
                <w:b/>
                <w:bCs/>
                <w:color w:val="000000"/>
                <w:sz w:val="21"/>
                <w:szCs w:val="21"/>
                <w:highlight w:val="none"/>
              </w:rPr>
            </w:pPr>
            <w:r>
              <w:rPr>
                <w:rFonts w:hint="default" w:ascii="Times New Roman" w:hAnsi="Times New Roman" w:cs="Times New Roman"/>
                <w:b/>
                <w:bCs/>
                <w:color w:val="000000"/>
                <w:kern w:val="0"/>
                <w:sz w:val="21"/>
                <w:szCs w:val="21"/>
                <w:highlight w:val="none"/>
                <w:lang w:bidi="ar"/>
              </w:rPr>
              <w:t>腻子钣金灰原子灰</w:t>
            </w:r>
          </w:p>
        </w:tc>
        <w:tc>
          <w:tcPr>
            <w:tcW w:w="1144" w:type="dxa"/>
            <w:shd w:val="clear" w:color="auto" w:fill="auto"/>
            <w:noWrap/>
            <w:vAlign w:val="center"/>
          </w:tcPr>
          <w:p w14:paraId="1C657D01">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cs="Times New Roman"/>
                <w:b/>
                <w:bCs/>
                <w:color w:val="000000"/>
                <w:sz w:val="21"/>
                <w:szCs w:val="21"/>
                <w:highlight w:val="none"/>
              </w:rPr>
            </w:pPr>
            <w:r>
              <w:rPr>
                <w:rFonts w:hint="default" w:ascii="Times New Roman" w:hAnsi="Times New Roman" w:cs="Times New Roman"/>
                <w:b/>
                <w:bCs/>
                <w:color w:val="000000"/>
                <w:kern w:val="0"/>
                <w:sz w:val="21"/>
                <w:szCs w:val="21"/>
                <w:highlight w:val="none"/>
                <w:lang w:bidi="ar"/>
              </w:rPr>
              <w:t>清漆</w:t>
            </w:r>
          </w:p>
        </w:tc>
        <w:tc>
          <w:tcPr>
            <w:tcW w:w="1005" w:type="dxa"/>
            <w:shd w:val="clear" w:color="auto" w:fill="auto"/>
            <w:noWrap/>
            <w:vAlign w:val="center"/>
          </w:tcPr>
          <w:p w14:paraId="498E2959">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cs="Times New Roman"/>
                <w:b/>
                <w:bCs/>
                <w:color w:val="000000"/>
                <w:sz w:val="21"/>
                <w:szCs w:val="21"/>
                <w:highlight w:val="none"/>
              </w:rPr>
            </w:pPr>
            <w:r>
              <w:rPr>
                <w:rFonts w:hint="default" w:ascii="Times New Roman" w:hAnsi="Times New Roman" w:cs="Times New Roman"/>
                <w:b/>
                <w:bCs/>
                <w:color w:val="000000"/>
                <w:kern w:val="0"/>
                <w:sz w:val="21"/>
                <w:szCs w:val="21"/>
                <w:highlight w:val="none"/>
                <w:lang w:bidi="ar"/>
              </w:rPr>
              <w:t>色漆</w:t>
            </w:r>
          </w:p>
        </w:tc>
        <w:tc>
          <w:tcPr>
            <w:tcW w:w="1002" w:type="dxa"/>
            <w:shd w:val="clear" w:color="auto" w:fill="auto"/>
            <w:noWrap/>
            <w:vAlign w:val="center"/>
          </w:tcPr>
          <w:p w14:paraId="49040E6A">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cs="Times New Roman"/>
                <w:b/>
                <w:bCs/>
                <w:color w:val="000000"/>
                <w:sz w:val="21"/>
                <w:szCs w:val="21"/>
                <w:highlight w:val="none"/>
              </w:rPr>
            </w:pPr>
            <w:r>
              <w:rPr>
                <w:rFonts w:hint="default" w:ascii="Times New Roman" w:hAnsi="Times New Roman" w:cs="Times New Roman"/>
                <w:b/>
                <w:bCs/>
                <w:color w:val="000000"/>
                <w:kern w:val="0"/>
                <w:sz w:val="21"/>
                <w:szCs w:val="21"/>
                <w:highlight w:val="none"/>
                <w:lang w:bidi="ar"/>
              </w:rPr>
              <w:t>稀释剂/清洗剂</w:t>
            </w:r>
          </w:p>
        </w:tc>
      </w:tr>
      <w:tr w14:paraId="0A6B7C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jc w:val="center"/>
        </w:trPr>
        <w:tc>
          <w:tcPr>
            <w:tcW w:w="973" w:type="dxa"/>
            <w:shd w:val="clear" w:color="auto" w:fill="auto"/>
            <w:noWrap/>
            <w:vAlign w:val="center"/>
          </w:tcPr>
          <w:p w14:paraId="080EDE8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cs="Times New Roman"/>
                <w:color w:val="000000"/>
                <w:sz w:val="21"/>
                <w:szCs w:val="21"/>
                <w:highlight w:val="none"/>
              </w:rPr>
            </w:pPr>
            <w:r>
              <w:rPr>
                <w:rFonts w:hint="default" w:ascii="Times New Roman" w:hAnsi="Times New Roman" w:cs="Times New Roman"/>
                <w:color w:val="000000"/>
                <w:kern w:val="0"/>
                <w:sz w:val="21"/>
                <w:szCs w:val="21"/>
                <w:highlight w:val="none"/>
                <w:lang w:bidi="ar"/>
              </w:rPr>
              <w:t>一类</w:t>
            </w:r>
          </w:p>
        </w:tc>
        <w:tc>
          <w:tcPr>
            <w:tcW w:w="956" w:type="dxa"/>
            <w:shd w:val="clear" w:color="auto" w:fill="auto"/>
            <w:noWrap/>
            <w:vAlign w:val="center"/>
          </w:tcPr>
          <w:p w14:paraId="154CA88E">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cs="Times New Roman"/>
                <w:color w:val="000000"/>
                <w:sz w:val="21"/>
                <w:szCs w:val="21"/>
                <w:highlight w:val="none"/>
              </w:rPr>
            </w:pPr>
            <w:r>
              <w:rPr>
                <w:rFonts w:hint="default" w:ascii="Times New Roman" w:hAnsi="Times New Roman" w:cs="Times New Roman"/>
                <w:color w:val="000000"/>
                <w:kern w:val="0"/>
                <w:sz w:val="21"/>
                <w:szCs w:val="21"/>
                <w:highlight w:val="none"/>
                <w:lang w:bidi="ar"/>
              </w:rPr>
              <w:t>149.00</w:t>
            </w:r>
          </w:p>
        </w:tc>
        <w:tc>
          <w:tcPr>
            <w:tcW w:w="962" w:type="dxa"/>
            <w:shd w:val="clear" w:color="auto" w:fill="auto"/>
            <w:noWrap/>
            <w:vAlign w:val="center"/>
          </w:tcPr>
          <w:p w14:paraId="5A7C7DA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cs="Times New Roman"/>
                <w:color w:val="000000"/>
                <w:sz w:val="21"/>
                <w:szCs w:val="21"/>
                <w:highlight w:val="none"/>
              </w:rPr>
            </w:pPr>
            <w:r>
              <w:rPr>
                <w:rFonts w:hint="default" w:ascii="Times New Roman" w:hAnsi="Times New Roman" w:cs="Times New Roman"/>
                <w:color w:val="000000"/>
                <w:kern w:val="0"/>
                <w:sz w:val="21"/>
                <w:szCs w:val="21"/>
                <w:highlight w:val="none"/>
                <w:lang w:bidi="ar"/>
              </w:rPr>
              <w:t>292.90</w:t>
            </w:r>
          </w:p>
        </w:tc>
        <w:tc>
          <w:tcPr>
            <w:tcW w:w="911" w:type="dxa"/>
            <w:shd w:val="clear" w:color="auto" w:fill="auto"/>
            <w:noWrap/>
            <w:vAlign w:val="center"/>
          </w:tcPr>
          <w:p w14:paraId="299DB1A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cs="Times New Roman"/>
                <w:color w:val="000000"/>
                <w:sz w:val="21"/>
                <w:szCs w:val="21"/>
                <w:highlight w:val="none"/>
              </w:rPr>
            </w:pPr>
            <w:r>
              <w:rPr>
                <w:rFonts w:hint="default" w:ascii="Times New Roman" w:hAnsi="Times New Roman" w:cs="Times New Roman"/>
                <w:color w:val="000000"/>
                <w:kern w:val="0"/>
                <w:sz w:val="21"/>
                <w:szCs w:val="21"/>
                <w:highlight w:val="none"/>
                <w:lang w:bidi="ar"/>
              </w:rPr>
              <w:t>514.69</w:t>
            </w:r>
          </w:p>
        </w:tc>
        <w:tc>
          <w:tcPr>
            <w:tcW w:w="1164" w:type="dxa"/>
            <w:shd w:val="clear" w:color="auto" w:fill="auto"/>
            <w:noWrap/>
            <w:vAlign w:val="center"/>
          </w:tcPr>
          <w:p w14:paraId="490E2E02">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cs="Times New Roman"/>
                <w:color w:val="000000"/>
                <w:sz w:val="21"/>
                <w:szCs w:val="21"/>
                <w:highlight w:val="none"/>
              </w:rPr>
            </w:pPr>
            <w:r>
              <w:rPr>
                <w:rFonts w:hint="default" w:ascii="Times New Roman" w:hAnsi="Times New Roman" w:cs="Times New Roman"/>
                <w:color w:val="000000"/>
                <w:kern w:val="0"/>
                <w:sz w:val="21"/>
                <w:szCs w:val="21"/>
                <w:highlight w:val="none"/>
                <w:lang w:bidi="ar"/>
              </w:rPr>
              <w:t>478.39</w:t>
            </w:r>
          </w:p>
        </w:tc>
        <w:tc>
          <w:tcPr>
            <w:tcW w:w="1144" w:type="dxa"/>
            <w:shd w:val="clear" w:color="auto" w:fill="auto"/>
            <w:noWrap/>
            <w:vAlign w:val="center"/>
          </w:tcPr>
          <w:p w14:paraId="70A66FDF">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cs="Times New Roman"/>
                <w:color w:val="000000"/>
                <w:sz w:val="21"/>
                <w:szCs w:val="21"/>
                <w:highlight w:val="none"/>
              </w:rPr>
            </w:pPr>
            <w:r>
              <w:rPr>
                <w:rFonts w:hint="default" w:ascii="Times New Roman" w:hAnsi="Times New Roman" w:cs="Times New Roman"/>
                <w:color w:val="000000"/>
                <w:kern w:val="0"/>
                <w:sz w:val="21"/>
                <w:szCs w:val="21"/>
                <w:highlight w:val="none"/>
                <w:lang w:bidi="ar"/>
              </w:rPr>
              <w:t>665.23</w:t>
            </w:r>
          </w:p>
        </w:tc>
        <w:tc>
          <w:tcPr>
            <w:tcW w:w="1005" w:type="dxa"/>
            <w:shd w:val="clear" w:color="auto" w:fill="auto"/>
            <w:noWrap/>
            <w:vAlign w:val="center"/>
          </w:tcPr>
          <w:p w14:paraId="3C84DD0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cs="Times New Roman"/>
                <w:color w:val="000000"/>
                <w:sz w:val="21"/>
                <w:szCs w:val="21"/>
                <w:highlight w:val="none"/>
              </w:rPr>
            </w:pPr>
            <w:r>
              <w:rPr>
                <w:rFonts w:hint="default" w:ascii="Times New Roman" w:hAnsi="Times New Roman" w:cs="Times New Roman"/>
                <w:color w:val="000000"/>
                <w:kern w:val="0"/>
                <w:sz w:val="21"/>
                <w:szCs w:val="21"/>
                <w:highlight w:val="none"/>
                <w:lang w:bidi="ar"/>
              </w:rPr>
              <w:t>594.27</w:t>
            </w:r>
          </w:p>
        </w:tc>
        <w:tc>
          <w:tcPr>
            <w:tcW w:w="1002" w:type="dxa"/>
            <w:shd w:val="clear" w:color="auto" w:fill="auto"/>
            <w:noWrap/>
            <w:vAlign w:val="center"/>
          </w:tcPr>
          <w:p w14:paraId="2ACA0EBD">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cs="Times New Roman"/>
                <w:color w:val="000000"/>
                <w:sz w:val="21"/>
                <w:szCs w:val="21"/>
                <w:highlight w:val="none"/>
              </w:rPr>
            </w:pPr>
            <w:r>
              <w:rPr>
                <w:rFonts w:hint="default" w:ascii="Times New Roman" w:hAnsi="Times New Roman" w:cs="Times New Roman"/>
                <w:color w:val="000000"/>
                <w:kern w:val="0"/>
                <w:sz w:val="21"/>
                <w:szCs w:val="21"/>
                <w:highlight w:val="none"/>
                <w:lang w:bidi="ar"/>
              </w:rPr>
              <w:t>872.73</w:t>
            </w:r>
          </w:p>
        </w:tc>
      </w:tr>
      <w:tr w14:paraId="6532CD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atLeast"/>
          <w:jc w:val="center"/>
        </w:trPr>
        <w:tc>
          <w:tcPr>
            <w:tcW w:w="973" w:type="dxa"/>
            <w:shd w:val="clear" w:color="auto" w:fill="auto"/>
            <w:noWrap/>
            <w:vAlign w:val="center"/>
          </w:tcPr>
          <w:p w14:paraId="38BC66DA">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cs="Times New Roman"/>
                <w:color w:val="000000"/>
                <w:sz w:val="21"/>
                <w:szCs w:val="21"/>
                <w:highlight w:val="none"/>
              </w:rPr>
            </w:pPr>
            <w:r>
              <w:rPr>
                <w:rFonts w:hint="default" w:ascii="Times New Roman" w:hAnsi="Times New Roman" w:cs="Times New Roman"/>
                <w:color w:val="000000"/>
                <w:kern w:val="0"/>
                <w:sz w:val="21"/>
                <w:szCs w:val="21"/>
                <w:highlight w:val="none"/>
                <w:lang w:bidi="ar"/>
              </w:rPr>
              <w:t>二类</w:t>
            </w:r>
          </w:p>
        </w:tc>
        <w:tc>
          <w:tcPr>
            <w:tcW w:w="956" w:type="dxa"/>
            <w:shd w:val="clear" w:color="auto" w:fill="auto"/>
            <w:noWrap/>
            <w:vAlign w:val="center"/>
          </w:tcPr>
          <w:p w14:paraId="55DC6A9D">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cs="Times New Roman"/>
                <w:color w:val="000000"/>
                <w:sz w:val="21"/>
                <w:szCs w:val="21"/>
                <w:highlight w:val="none"/>
              </w:rPr>
            </w:pPr>
            <w:r>
              <w:rPr>
                <w:rFonts w:hint="default" w:ascii="Times New Roman" w:hAnsi="Times New Roman" w:cs="Times New Roman"/>
                <w:color w:val="000000"/>
                <w:kern w:val="0"/>
                <w:sz w:val="21"/>
                <w:szCs w:val="21"/>
                <w:highlight w:val="none"/>
                <w:lang w:bidi="ar"/>
              </w:rPr>
              <w:t>7.00</w:t>
            </w:r>
          </w:p>
        </w:tc>
        <w:tc>
          <w:tcPr>
            <w:tcW w:w="962" w:type="dxa"/>
            <w:shd w:val="clear" w:color="auto" w:fill="auto"/>
            <w:noWrap/>
            <w:vAlign w:val="center"/>
          </w:tcPr>
          <w:p w14:paraId="2A0D1844">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cs="Times New Roman"/>
                <w:color w:val="000000"/>
                <w:sz w:val="21"/>
                <w:szCs w:val="21"/>
                <w:highlight w:val="none"/>
              </w:rPr>
            </w:pPr>
            <w:r>
              <w:rPr>
                <w:rFonts w:hint="default" w:ascii="Times New Roman" w:hAnsi="Times New Roman" w:cs="Times New Roman"/>
                <w:color w:val="000000"/>
                <w:kern w:val="0"/>
                <w:sz w:val="21"/>
                <w:szCs w:val="21"/>
                <w:highlight w:val="none"/>
                <w:lang w:bidi="ar"/>
              </w:rPr>
              <w:t>52.06</w:t>
            </w:r>
          </w:p>
        </w:tc>
        <w:tc>
          <w:tcPr>
            <w:tcW w:w="911" w:type="dxa"/>
            <w:shd w:val="clear" w:color="auto" w:fill="auto"/>
            <w:noWrap/>
            <w:vAlign w:val="center"/>
          </w:tcPr>
          <w:p w14:paraId="560DC8BD">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cs="Times New Roman"/>
                <w:color w:val="000000"/>
                <w:sz w:val="21"/>
                <w:szCs w:val="21"/>
                <w:highlight w:val="none"/>
              </w:rPr>
            </w:pPr>
            <w:r>
              <w:rPr>
                <w:rFonts w:hint="default" w:ascii="Times New Roman" w:hAnsi="Times New Roman" w:cs="Times New Roman"/>
                <w:color w:val="000000"/>
                <w:kern w:val="0"/>
                <w:sz w:val="21"/>
                <w:szCs w:val="21"/>
                <w:highlight w:val="none"/>
                <w:lang w:bidi="ar"/>
              </w:rPr>
              <w:t>60.00</w:t>
            </w:r>
          </w:p>
        </w:tc>
        <w:tc>
          <w:tcPr>
            <w:tcW w:w="1164" w:type="dxa"/>
            <w:shd w:val="clear" w:color="auto" w:fill="auto"/>
            <w:noWrap/>
            <w:vAlign w:val="center"/>
          </w:tcPr>
          <w:p w14:paraId="788B2043">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cs="Times New Roman"/>
                <w:color w:val="000000"/>
                <w:sz w:val="21"/>
                <w:szCs w:val="21"/>
                <w:highlight w:val="none"/>
              </w:rPr>
            </w:pPr>
            <w:r>
              <w:rPr>
                <w:rFonts w:hint="default" w:ascii="Times New Roman" w:hAnsi="Times New Roman" w:cs="Times New Roman"/>
                <w:color w:val="000000"/>
                <w:kern w:val="0"/>
                <w:sz w:val="21"/>
                <w:szCs w:val="21"/>
                <w:highlight w:val="none"/>
                <w:lang w:bidi="ar"/>
              </w:rPr>
              <w:t>175.29</w:t>
            </w:r>
          </w:p>
        </w:tc>
        <w:tc>
          <w:tcPr>
            <w:tcW w:w="1144" w:type="dxa"/>
            <w:shd w:val="clear" w:color="auto" w:fill="auto"/>
            <w:noWrap/>
            <w:vAlign w:val="center"/>
          </w:tcPr>
          <w:p w14:paraId="62314004">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cs="Times New Roman"/>
                <w:color w:val="000000"/>
                <w:sz w:val="21"/>
                <w:szCs w:val="21"/>
                <w:highlight w:val="none"/>
              </w:rPr>
            </w:pPr>
            <w:r>
              <w:rPr>
                <w:rFonts w:hint="default" w:ascii="Times New Roman" w:hAnsi="Times New Roman" w:cs="Times New Roman"/>
                <w:color w:val="000000"/>
                <w:kern w:val="0"/>
                <w:sz w:val="21"/>
                <w:szCs w:val="21"/>
                <w:highlight w:val="none"/>
                <w:lang w:bidi="ar"/>
              </w:rPr>
              <w:t>164.86</w:t>
            </w:r>
          </w:p>
        </w:tc>
        <w:tc>
          <w:tcPr>
            <w:tcW w:w="1005" w:type="dxa"/>
            <w:shd w:val="clear" w:color="auto" w:fill="auto"/>
            <w:noWrap/>
            <w:vAlign w:val="center"/>
          </w:tcPr>
          <w:p w14:paraId="735BDF9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cs="Times New Roman"/>
                <w:color w:val="000000"/>
                <w:sz w:val="21"/>
                <w:szCs w:val="21"/>
                <w:highlight w:val="none"/>
              </w:rPr>
            </w:pPr>
            <w:r>
              <w:rPr>
                <w:rFonts w:hint="default" w:ascii="Times New Roman" w:hAnsi="Times New Roman" w:cs="Times New Roman"/>
                <w:color w:val="000000"/>
                <w:kern w:val="0"/>
                <w:sz w:val="21"/>
                <w:szCs w:val="21"/>
                <w:highlight w:val="none"/>
                <w:lang w:bidi="ar"/>
              </w:rPr>
              <w:t>160.44</w:t>
            </w:r>
          </w:p>
        </w:tc>
        <w:tc>
          <w:tcPr>
            <w:tcW w:w="1002" w:type="dxa"/>
            <w:shd w:val="clear" w:color="auto" w:fill="auto"/>
            <w:noWrap/>
            <w:vAlign w:val="center"/>
          </w:tcPr>
          <w:p w14:paraId="2DE4CA0E">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cs="Times New Roman"/>
                <w:color w:val="000000"/>
                <w:sz w:val="21"/>
                <w:szCs w:val="21"/>
                <w:highlight w:val="none"/>
              </w:rPr>
            </w:pPr>
            <w:r>
              <w:rPr>
                <w:rFonts w:hint="default" w:ascii="Times New Roman" w:hAnsi="Times New Roman" w:cs="Times New Roman"/>
                <w:color w:val="000000"/>
                <w:kern w:val="0"/>
                <w:sz w:val="21"/>
                <w:szCs w:val="21"/>
                <w:highlight w:val="none"/>
                <w:lang w:bidi="ar"/>
              </w:rPr>
              <w:t>250.87</w:t>
            </w:r>
          </w:p>
        </w:tc>
      </w:tr>
      <w:tr w14:paraId="650358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jc w:val="center"/>
        </w:trPr>
        <w:tc>
          <w:tcPr>
            <w:tcW w:w="973" w:type="dxa"/>
            <w:shd w:val="clear" w:color="auto" w:fill="auto"/>
            <w:noWrap/>
            <w:vAlign w:val="center"/>
          </w:tcPr>
          <w:p w14:paraId="7D1F86E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cs="Times New Roman"/>
                <w:color w:val="000000"/>
                <w:sz w:val="21"/>
                <w:szCs w:val="21"/>
                <w:highlight w:val="none"/>
              </w:rPr>
            </w:pPr>
            <w:r>
              <w:rPr>
                <w:rFonts w:hint="default" w:ascii="Times New Roman" w:hAnsi="Times New Roman" w:cs="Times New Roman"/>
                <w:color w:val="000000"/>
                <w:kern w:val="0"/>
                <w:sz w:val="21"/>
                <w:szCs w:val="21"/>
                <w:highlight w:val="none"/>
                <w:lang w:bidi="ar"/>
              </w:rPr>
              <w:t>三类</w:t>
            </w:r>
          </w:p>
        </w:tc>
        <w:tc>
          <w:tcPr>
            <w:tcW w:w="956" w:type="dxa"/>
            <w:shd w:val="clear" w:color="auto" w:fill="auto"/>
            <w:noWrap/>
            <w:vAlign w:val="center"/>
          </w:tcPr>
          <w:p w14:paraId="65AF54A0">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cs="Times New Roman"/>
                <w:color w:val="000000"/>
                <w:sz w:val="21"/>
                <w:szCs w:val="21"/>
                <w:highlight w:val="none"/>
              </w:rPr>
            </w:pPr>
            <w:r>
              <w:rPr>
                <w:rFonts w:hint="default" w:ascii="Times New Roman" w:hAnsi="Times New Roman" w:cs="Times New Roman"/>
                <w:color w:val="000000"/>
                <w:kern w:val="0"/>
                <w:sz w:val="21"/>
                <w:szCs w:val="21"/>
                <w:highlight w:val="none"/>
                <w:lang w:bidi="ar"/>
              </w:rPr>
              <w:t>30.00</w:t>
            </w:r>
          </w:p>
        </w:tc>
        <w:tc>
          <w:tcPr>
            <w:tcW w:w="962" w:type="dxa"/>
            <w:shd w:val="clear" w:color="auto" w:fill="auto"/>
            <w:noWrap/>
            <w:vAlign w:val="center"/>
          </w:tcPr>
          <w:p w14:paraId="5BB370AA">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cs="Times New Roman"/>
                <w:color w:val="000000"/>
                <w:sz w:val="21"/>
                <w:szCs w:val="21"/>
                <w:highlight w:val="none"/>
              </w:rPr>
            </w:pPr>
            <w:r>
              <w:rPr>
                <w:rFonts w:hint="default" w:ascii="Times New Roman" w:hAnsi="Times New Roman" w:cs="Times New Roman"/>
                <w:color w:val="000000"/>
                <w:kern w:val="0"/>
                <w:sz w:val="21"/>
                <w:szCs w:val="21"/>
                <w:highlight w:val="none"/>
                <w:lang w:bidi="ar"/>
              </w:rPr>
              <w:t>73.38</w:t>
            </w:r>
          </w:p>
        </w:tc>
        <w:tc>
          <w:tcPr>
            <w:tcW w:w="911" w:type="dxa"/>
            <w:shd w:val="clear" w:color="auto" w:fill="auto"/>
            <w:noWrap/>
            <w:vAlign w:val="center"/>
          </w:tcPr>
          <w:p w14:paraId="7D164A5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cs="Times New Roman"/>
                <w:color w:val="000000"/>
                <w:sz w:val="21"/>
                <w:szCs w:val="21"/>
                <w:highlight w:val="none"/>
              </w:rPr>
            </w:pPr>
            <w:r>
              <w:rPr>
                <w:rFonts w:hint="default" w:ascii="Times New Roman" w:hAnsi="Times New Roman" w:cs="Times New Roman"/>
                <w:color w:val="000000"/>
                <w:kern w:val="0"/>
                <w:sz w:val="21"/>
                <w:szCs w:val="21"/>
                <w:highlight w:val="none"/>
                <w:lang w:bidi="ar"/>
              </w:rPr>
              <w:t>33.67</w:t>
            </w:r>
          </w:p>
        </w:tc>
        <w:tc>
          <w:tcPr>
            <w:tcW w:w="1164" w:type="dxa"/>
            <w:shd w:val="clear" w:color="auto" w:fill="auto"/>
            <w:noWrap/>
            <w:vAlign w:val="center"/>
          </w:tcPr>
          <w:p w14:paraId="5BC799B8">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cs="Times New Roman"/>
                <w:color w:val="000000"/>
                <w:sz w:val="21"/>
                <w:szCs w:val="21"/>
                <w:highlight w:val="none"/>
              </w:rPr>
            </w:pPr>
            <w:r>
              <w:rPr>
                <w:rFonts w:hint="default" w:ascii="Times New Roman" w:hAnsi="Times New Roman" w:cs="Times New Roman"/>
                <w:color w:val="000000"/>
                <w:kern w:val="0"/>
                <w:sz w:val="21"/>
                <w:szCs w:val="21"/>
                <w:highlight w:val="none"/>
                <w:lang w:bidi="ar"/>
              </w:rPr>
              <w:t>135.50</w:t>
            </w:r>
          </w:p>
        </w:tc>
        <w:tc>
          <w:tcPr>
            <w:tcW w:w="1144" w:type="dxa"/>
            <w:shd w:val="clear" w:color="auto" w:fill="auto"/>
            <w:noWrap/>
            <w:vAlign w:val="center"/>
          </w:tcPr>
          <w:p w14:paraId="05BDBDD8">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cs="Times New Roman"/>
                <w:color w:val="000000"/>
                <w:sz w:val="21"/>
                <w:szCs w:val="21"/>
                <w:highlight w:val="none"/>
              </w:rPr>
            </w:pPr>
            <w:r>
              <w:rPr>
                <w:rFonts w:hint="default" w:ascii="Times New Roman" w:hAnsi="Times New Roman" w:cs="Times New Roman"/>
                <w:color w:val="000000"/>
                <w:kern w:val="0"/>
                <w:sz w:val="21"/>
                <w:szCs w:val="21"/>
                <w:highlight w:val="none"/>
                <w:lang w:bidi="ar"/>
              </w:rPr>
              <w:t>172.67</w:t>
            </w:r>
          </w:p>
        </w:tc>
        <w:tc>
          <w:tcPr>
            <w:tcW w:w="1005" w:type="dxa"/>
            <w:shd w:val="clear" w:color="auto" w:fill="auto"/>
            <w:noWrap/>
            <w:vAlign w:val="center"/>
          </w:tcPr>
          <w:p w14:paraId="0F5CE2FA">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cs="Times New Roman"/>
                <w:color w:val="000000"/>
                <w:sz w:val="21"/>
                <w:szCs w:val="21"/>
                <w:highlight w:val="none"/>
              </w:rPr>
            </w:pPr>
            <w:r>
              <w:rPr>
                <w:rFonts w:hint="default" w:ascii="Times New Roman" w:hAnsi="Times New Roman" w:cs="Times New Roman"/>
                <w:color w:val="000000"/>
                <w:kern w:val="0"/>
                <w:sz w:val="21"/>
                <w:szCs w:val="21"/>
                <w:highlight w:val="none"/>
                <w:lang w:bidi="ar"/>
              </w:rPr>
              <w:t>197.25</w:t>
            </w:r>
          </w:p>
        </w:tc>
        <w:tc>
          <w:tcPr>
            <w:tcW w:w="1002" w:type="dxa"/>
            <w:shd w:val="clear" w:color="auto" w:fill="auto"/>
            <w:noWrap/>
            <w:vAlign w:val="center"/>
          </w:tcPr>
          <w:p w14:paraId="067A4478">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cs="Times New Roman"/>
                <w:color w:val="000000"/>
                <w:sz w:val="21"/>
                <w:szCs w:val="21"/>
                <w:highlight w:val="none"/>
              </w:rPr>
            </w:pPr>
            <w:r>
              <w:rPr>
                <w:rFonts w:hint="default" w:ascii="Times New Roman" w:hAnsi="Times New Roman" w:cs="Times New Roman"/>
                <w:color w:val="000000"/>
                <w:kern w:val="0"/>
                <w:sz w:val="21"/>
                <w:szCs w:val="21"/>
                <w:highlight w:val="none"/>
                <w:lang w:bidi="ar"/>
              </w:rPr>
              <w:t>346.67</w:t>
            </w:r>
          </w:p>
        </w:tc>
      </w:tr>
      <w:tr w14:paraId="384D73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atLeast"/>
          <w:jc w:val="center"/>
        </w:trPr>
        <w:tc>
          <w:tcPr>
            <w:tcW w:w="973" w:type="dxa"/>
            <w:shd w:val="clear" w:color="auto" w:fill="auto"/>
            <w:noWrap/>
            <w:vAlign w:val="center"/>
          </w:tcPr>
          <w:p w14:paraId="215B8175">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cs="Times New Roman"/>
                <w:color w:val="000000"/>
                <w:sz w:val="21"/>
                <w:szCs w:val="21"/>
                <w:highlight w:val="none"/>
              </w:rPr>
            </w:pPr>
            <w:r>
              <w:rPr>
                <w:rFonts w:hint="default" w:ascii="Times New Roman" w:hAnsi="Times New Roman" w:cs="Times New Roman"/>
                <w:color w:val="000000"/>
                <w:kern w:val="0"/>
                <w:sz w:val="21"/>
                <w:szCs w:val="21"/>
                <w:highlight w:val="none"/>
                <w:lang w:bidi="ar"/>
              </w:rPr>
              <w:t>平均</w:t>
            </w:r>
          </w:p>
        </w:tc>
        <w:tc>
          <w:tcPr>
            <w:tcW w:w="956" w:type="dxa"/>
            <w:shd w:val="clear" w:color="auto" w:fill="auto"/>
            <w:noWrap/>
            <w:vAlign w:val="center"/>
          </w:tcPr>
          <w:p w14:paraId="28997D2B">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cs="Times New Roman"/>
                <w:color w:val="000000"/>
                <w:sz w:val="21"/>
                <w:szCs w:val="21"/>
                <w:highlight w:val="none"/>
              </w:rPr>
            </w:pPr>
            <w:r>
              <w:rPr>
                <w:rFonts w:hint="default" w:ascii="Times New Roman" w:hAnsi="Times New Roman" w:cs="Times New Roman"/>
                <w:color w:val="000000"/>
                <w:kern w:val="0"/>
                <w:sz w:val="21"/>
                <w:szCs w:val="21"/>
                <w:highlight w:val="none"/>
                <w:lang w:bidi="ar"/>
              </w:rPr>
              <w:t>81.83</w:t>
            </w:r>
          </w:p>
        </w:tc>
        <w:tc>
          <w:tcPr>
            <w:tcW w:w="962" w:type="dxa"/>
            <w:shd w:val="clear" w:color="auto" w:fill="auto"/>
            <w:noWrap/>
            <w:vAlign w:val="center"/>
          </w:tcPr>
          <w:p w14:paraId="204D6556">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cs="Times New Roman"/>
                <w:color w:val="000000"/>
                <w:sz w:val="21"/>
                <w:szCs w:val="21"/>
                <w:highlight w:val="none"/>
              </w:rPr>
            </w:pPr>
            <w:r>
              <w:rPr>
                <w:rFonts w:hint="default" w:ascii="Times New Roman" w:hAnsi="Times New Roman" w:cs="Times New Roman"/>
                <w:color w:val="000000"/>
                <w:kern w:val="0"/>
                <w:sz w:val="21"/>
                <w:szCs w:val="21"/>
                <w:highlight w:val="none"/>
                <w:lang w:bidi="ar"/>
              </w:rPr>
              <w:t>118.86</w:t>
            </w:r>
          </w:p>
        </w:tc>
        <w:tc>
          <w:tcPr>
            <w:tcW w:w="911" w:type="dxa"/>
            <w:shd w:val="clear" w:color="auto" w:fill="auto"/>
            <w:noWrap/>
            <w:vAlign w:val="center"/>
          </w:tcPr>
          <w:p w14:paraId="7AA5DD41">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cs="Times New Roman"/>
                <w:color w:val="000000"/>
                <w:sz w:val="21"/>
                <w:szCs w:val="21"/>
                <w:highlight w:val="none"/>
              </w:rPr>
            </w:pPr>
            <w:r>
              <w:rPr>
                <w:rFonts w:hint="default" w:ascii="Times New Roman" w:hAnsi="Times New Roman" w:cs="Times New Roman"/>
                <w:color w:val="000000"/>
                <w:kern w:val="0"/>
                <w:sz w:val="21"/>
                <w:szCs w:val="21"/>
                <w:highlight w:val="none"/>
                <w:lang w:bidi="ar"/>
              </w:rPr>
              <w:t>229.45</w:t>
            </w:r>
          </w:p>
        </w:tc>
        <w:tc>
          <w:tcPr>
            <w:tcW w:w="1164" w:type="dxa"/>
            <w:shd w:val="clear" w:color="auto" w:fill="auto"/>
            <w:noWrap/>
            <w:vAlign w:val="center"/>
          </w:tcPr>
          <w:p w14:paraId="0D104E42">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cs="Times New Roman"/>
                <w:color w:val="000000"/>
                <w:sz w:val="21"/>
                <w:szCs w:val="21"/>
                <w:highlight w:val="none"/>
              </w:rPr>
            </w:pPr>
            <w:r>
              <w:rPr>
                <w:rFonts w:hint="default" w:ascii="Times New Roman" w:hAnsi="Times New Roman" w:cs="Times New Roman"/>
                <w:color w:val="000000"/>
                <w:kern w:val="0"/>
                <w:sz w:val="21"/>
                <w:szCs w:val="21"/>
                <w:highlight w:val="none"/>
                <w:lang w:bidi="ar"/>
              </w:rPr>
              <w:t>282.32</w:t>
            </w:r>
          </w:p>
        </w:tc>
        <w:tc>
          <w:tcPr>
            <w:tcW w:w="1144" w:type="dxa"/>
            <w:shd w:val="clear" w:color="auto" w:fill="auto"/>
            <w:noWrap/>
            <w:vAlign w:val="center"/>
          </w:tcPr>
          <w:p w14:paraId="091F44AC">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cs="Times New Roman"/>
                <w:color w:val="000000"/>
                <w:sz w:val="21"/>
                <w:szCs w:val="21"/>
                <w:highlight w:val="none"/>
              </w:rPr>
            </w:pPr>
            <w:r>
              <w:rPr>
                <w:rFonts w:hint="default" w:ascii="Times New Roman" w:hAnsi="Times New Roman" w:cs="Times New Roman"/>
                <w:color w:val="000000"/>
                <w:kern w:val="0"/>
                <w:sz w:val="21"/>
                <w:szCs w:val="21"/>
                <w:highlight w:val="none"/>
                <w:lang w:bidi="ar"/>
              </w:rPr>
              <w:t>329.24</w:t>
            </w:r>
          </w:p>
        </w:tc>
        <w:tc>
          <w:tcPr>
            <w:tcW w:w="1005" w:type="dxa"/>
            <w:shd w:val="clear" w:color="auto" w:fill="auto"/>
            <w:noWrap/>
            <w:vAlign w:val="center"/>
          </w:tcPr>
          <w:p w14:paraId="4EA11AC6">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cs="Times New Roman"/>
                <w:color w:val="000000"/>
                <w:sz w:val="21"/>
                <w:szCs w:val="21"/>
                <w:highlight w:val="none"/>
              </w:rPr>
            </w:pPr>
            <w:r>
              <w:rPr>
                <w:rFonts w:hint="default" w:ascii="Times New Roman" w:hAnsi="Times New Roman" w:cs="Times New Roman"/>
                <w:color w:val="000000"/>
                <w:kern w:val="0"/>
                <w:sz w:val="21"/>
                <w:szCs w:val="21"/>
                <w:highlight w:val="none"/>
                <w:lang w:bidi="ar"/>
              </w:rPr>
              <w:t>297.38</w:t>
            </w:r>
          </w:p>
        </w:tc>
        <w:tc>
          <w:tcPr>
            <w:tcW w:w="1002" w:type="dxa"/>
            <w:shd w:val="clear" w:color="auto" w:fill="auto"/>
            <w:noWrap/>
            <w:vAlign w:val="center"/>
          </w:tcPr>
          <w:p w14:paraId="1BF961E4">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bottom"/>
              <w:rPr>
                <w:rFonts w:hint="default" w:ascii="Times New Roman" w:hAnsi="Times New Roman" w:cs="Times New Roman"/>
                <w:color w:val="000000"/>
                <w:sz w:val="21"/>
                <w:szCs w:val="21"/>
                <w:highlight w:val="none"/>
              </w:rPr>
            </w:pPr>
            <w:r>
              <w:rPr>
                <w:rFonts w:hint="default" w:ascii="Times New Roman" w:hAnsi="Times New Roman" w:cs="Times New Roman"/>
                <w:color w:val="000000"/>
                <w:kern w:val="0"/>
                <w:sz w:val="21"/>
                <w:szCs w:val="21"/>
                <w:highlight w:val="none"/>
                <w:lang w:bidi="ar"/>
              </w:rPr>
              <w:t>482.59</w:t>
            </w:r>
          </w:p>
        </w:tc>
      </w:tr>
    </w:tbl>
    <w:p w14:paraId="6F1F96D2">
      <w:pPr>
        <w:keepNext w:val="0"/>
        <w:keepLines w:val="0"/>
        <w:pageBreakBefore w:val="0"/>
        <w:widowControl/>
        <w:kinsoku/>
        <w:wordWrap/>
        <w:autoSpaceDE/>
        <w:autoSpaceDN/>
        <w:bidi w:val="0"/>
        <w:ind w:left="0" w:leftChars="0" w:firstLine="0" w:firstLineChars="0"/>
        <w:jc w:val="center"/>
        <w:rPr>
          <w:rFonts w:hint="default" w:ascii="Times New Roman" w:hAnsi="Times New Roman" w:cs="Times New Roman"/>
          <w:highlight w:val="none"/>
        </w:rPr>
      </w:pPr>
      <w:r>
        <w:rPr>
          <w:rFonts w:hint="default" w:ascii="Times New Roman" w:hAnsi="Times New Roman" w:cs="Times New Roman"/>
          <w:highlight w:val="none"/>
        </w:rPr>
        <w:drawing>
          <wp:inline distT="0" distB="0" distL="114300" distR="114300">
            <wp:extent cx="5027930" cy="2872740"/>
            <wp:effectExtent l="4445" t="4445" r="15875" b="18415"/>
            <wp:docPr id="8" name="图表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1748CD45">
      <w:pPr>
        <w:keepNext w:val="0"/>
        <w:keepLines w:val="0"/>
        <w:pageBreakBefore w:val="0"/>
        <w:widowControl/>
        <w:kinsoku/>
        <w:wordWrap/>
        <w:autoSpaceDE/>
        <w:autoSpaceDN/>
        <w:bidi w:val="0"/>
        <w:ind w:left="0" w:leftChars="0" w:firstLine="0" w:firstLineChars="0"/>
        <w:jc w:val="center"/>
        <w:rPr>
          <w:rFonts w:hint="default" w:ascii="Times New Roman" w:hAnsi="Times New Roman" w:cs="Times New Roman"/>
          <w:highlight w:val="none"/>
          <w:lang w:val="en-US" w:eastAsia="zh-CN"/>
        </w:rPr>
      </w:pPr>
      <w:r>
        <w:rPr>
          <w:rFonts w:hint="default" w:ascii="Times New Roman" w:hAnsi="Times New Roman" w:cs="Times New Roman"/>
          <w:highlight w:val="none"/>
          <w:lang w:val="en-US" w:eastAsia="zh-CN"/>
        </w:rPr>
        <w:t>图5.2-</w:t>
      </w:r>
      <w:r>
        <w:rPr>
          <w:rFonts w:hint="eastAsia" w:ascii="Times New Roman" w:hAnsi="Times New Roman" w:cs="Times New Roman"/>
          <w:highlight w:val="none"/>
          <w:lang w:val="en-US" w:eastAsia="zh-CN"/>
        </w:rPr>
        <w:t>1</w:t>
      </w:r>
      <w:r>
        <w:rPr>
          <w:rFonts w:hint="default" w:ascii="Times New Roman" w:hAnsi="Times New Roman" w:cs="Times New Roman"/>
          <w:highlight w:val="none"/>
          <w:lang w:val="en-US" w:eastAsia="zh-CN"/>
        </w:rPr>
        <w:t xml:space="preserve"> 主要原辅料用量 </w:t>
      </w:r>
    </w:p>
    <w:p w14:paraId="6B959839">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各原辅料的产品检测报告和MSDS报告整体较为缺失，</w:t>
      </w:r>
      <w:r>
        <w:rPr>
          <w:rFonts w:hint="default" w:ascii="Times New Roman" w:hAnsi="Times New Roman" w:cs="Times New Roman"/>
          <w:highlight w:val="none"/>
          <w:lang w:val="en-US" w:eastAsia="zh-CN"/>
        </w:rPr>
        <w:t>127</w:t>
      </w:r>
      <w:r>
        <w:rPr>
          <w:rFonts w:hint="default" w:ascii="Times New Roman" w:hAnsi="Times New Roman" w:cs="Times New Roman"/>
          <w:highlight w:val="none"/>
        </w:rPr>
        <w:t>家企业中，有</w:t>
      </w:r>
      <w:r>
        <w:rPr>
          <w:rFonts w:hint="default" w:ascii="Times New Roman" w:hAnsi="Times New Roman" w:cs="Times New Roman"/>
          <w:highlight w:val="none"/>
          <w:lang w:val="en-US" w:eastAsia="zh-CN"/>
        </w:rPr>
        <w:t>115</w:t>
      </w:r>
      <w:r>
        <w:rPr>
          <w:rFonts w:hint="default" w:ascii="Times New Roman" w:hAnsi="Times New Roman" w:cs="Times New Roman"/>
          <w:highlight w:val="none"/>
        </w:rPr>
        <w:t>家企业提供了相应的检测报告，部分</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企业不清楚有相关检测报告，往往临时与提供厂家联系获取。相关的检测报告与实际使用的原辅料存在不对应的情况，企业实际使用的原辅料类型远多于厂家提供的检测报告中的原辅料数量，且检测报告中的检测条件与实际企业的使用配比也存在差异。还有部分</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企业原辅料由第三方配漆供应商供应，故</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厂不清楚具体的用漆类型、厂家、品牌等，相应的检测报告也无从谈起。</w:t>
      </w:r>
    </w:p>
    <w:p w14:paraId="7D0282F1">
      <w:pPr>
        <w:pStyle w:val="4"/>
        <w:keepNext w:val="0"/>
        <w:keepLines w:val="0"/>
        <w:pageBreakBefore w:val="0"/>
        <w:widowControl/>
        <w:kinsoku/>
        <w:wordWrap/>
        <w:autoSpaceDE/>
        <w:autoSpaceDN/>
        <w:bidi w:val="0"/>
        <w:rPr>
          <w:rFonts w:hint="default" w:ascii="Times New Roman" w:hAnsi="Times New Roman" w:cs="Times New Roman"/>
          <w:highlight w:val="none"/>
        </w:rPr>
      </w:pPr>
      <w:bookmarkStart w:id="70" w:name="_Toc23542"/>
      <w:bookmarkStart w:id="71" w:name="_Toc29243"/>
      <w:r>
        <w:rPr>
          <w:rFonts w:hint="default" w:ascii="Times New Roman" w:hAnsi="Times New Roman" w:cs="Times New Roman"/>
          <w:highlight w:val="none"/>
        </w:rPr>
        <w:t>各排放环节污染现状及存在问题</w:t>
      </w:r>
      <w:bookmarkEnd w:id="70"/>
      <w:bookmarkEnd w:id="71"/>
    </w:p>
    <w:p w14:paraId="49F3CAE9">
      <w:pPr>
        <w:keepNext w:val="0"/>
        <w:keepLines w:val="0"/>
        <w:pageBreakBefore w:val="0"/>
        <w:widowControl/>
        <w:kinsoku/>
        <w:wordWrap/>
        <w:autoSpaceDE/>
        <w:autoSpaceDN/>
        <w:bidi w:val="0"/>
        <w:rPr>
          <w:rFonts w:hint="default" w:ascii="Times New Roman" w:hAnsi="Times New Roman" w:cs="Times New Roman"/>
          <w:b/>
          <w:bCs/>
          <w:highlight w:val="none"/>
        </w:rPr>
      </w:pPr>
      <w:r>
        <w:rPr>
          <w:rFonts w:hint="default" w:ascii="Times New Roman" w:hAnsi="Times New Roman" w:cs="Times New Roman"/>
          <w:b/>
          <w:bCs/>
          <w:highlight w:val="none"/>
        </w:rPr>
        <w:t>（1）废弃原辅料及容器的存储管理</w:t>
      </w:r>
    </w:p>
    <w:p w14:paraId="0F4B05F8">
      <w:pPr>
        <w:keepNext w:val="0"/>
        <w:keepLines w:val="0"/>
        <w:pageBreakBefore w:val="0"/>
        <w:widowControl/>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s="Times New Roman"/>
          <w:color w:val="000000"/>
          <w:kern w:val="0"/>
          <w:sz w:val="24"/>
          <w:highlight w:val="none"/>
          <w:lang w:bidi="ar"/>
        </w:rPr>
      </w:pPr>
      <w:r>
        <w:rPr>
          <w:rFonts w:hint="default" w:ascii="Times New Roman" w:hAnsi="Times New Roman" w:cs="Times New Roman"/>
          <w:color w:val="000000"/>
          <w:kern w:val="0"/>
          <w:sz w:val="24"/>
          <w:highlight w:val="none"/>
          <w:lang w:eastAsia="zh-CN" w:bidi="ar"/>
        </w:rPr>
        <w:t>汽车维修</w:t>
      </w:r>
      <w:r>
        <w:rPr>
          <w:rFonts w:hint="default" w:ascii="Times New Roman" w:hAnsi="Times New Roman" w:cs="Times New Roman"/>
          <w:color w:val="000000"/>
          <w:kern w:val="0"/>
          <w:sz w:val="24"/>
          <w:highlight w:val="none"/>
          <w:lang w:bidi="ar"/>
        </w:rPr>
        <w:t>企业废溶剂、废清洗剂、沾有涂料或溶剂的废弃物基本按照危废处理要求，有相应的转运处理记录，但有部分</w:t>
      </w:r>
      <w:r>
        <w:rPr>
          <w:rFonts w:hint="default" w:ascii="Times New Roman" w:hAnsi="Times New Roman" w:cs="Times New Roman"/>
          <w:color w:val="000000"/>
          <w:kern w:val="0"/>
          <w:sz w:val="24"/>
          <w:highlight w:val="none"/>
          <w:lang w:eastAsia="zh-CN" w:bidi="ar"/>
        </w:rPr>
        <w:t>汽车维修</w:t>
      </w:r>
      <w:r>
        <w:rPr>
          <w:rFonts w:hint="default" w:ascii="Times New Roman" w:hAnsi="Times New Roman" w:cs="Times New Roman"/>
          <w:color w:val="000000"/>
          <w:kern w:val="0"/>
          <w:sz w:val="24"/>
          <w:highlight w:val="none"/>
          <w:lang w:bidi="ar"/>
        </w:rPr>
        <w:t>企业并没有及时将废弃容器放置在危废暂存间，或者没有进行加盖遮盖处理，还有小部分</w:t>
      </w:r>
      <w:r>
        <w:rPr>
          <w:rFonts w:hint="default" w:ascii="Times New Roman" w:hAnsi="Times New Roman" w:cs="Times New Roman"/>
          <w:color w:val="000000"/>
          <w:kern w:val="0"/>
          <w:sz w:val="24"/>
          <w:highlight w:val="none"/>
          <w:lang w:eastAsia="zh-CN" w:bidi="ar"/>
        </w:rPr>
        <w:t>汽车维修</w:t>
      </w:r>
      <w:r>
        <w:rPr>
          <w:rFonts w:hint="default" w:ascii="Times New Roman" w:hAnsi="Times New Roman" w:cs="Times New Roman"/>
          <w:color w:val="000000"/>
          <w:kern w:val="0"/>
          <w:sz w:val="24"/>
          <w:highlight w:val="none"/>
          <w:lang w:bidi="ar"/>
        </w:rPr>
        <w:t>企业的危废暂存间不符合三防要求，各别危废间是临时搭建的。</w:t>
      </w:r>
    </w:p>
    <w:p w14:paraId="11706CB8">
      <w:pPr>
        <w:keepNext w:val="0"/>
        <w:keepLines w:val="0"/>
        <w:pageBreakBefore w:val="0"/>
        <w:widowControl/>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s="Times New Roman"/>
          <w:sz w:val="24"/>
          <w:szCs w:val="21"/>
          <w:highlight w:val="none"/>
        </w:rPr>
      </w:pPr>
      <w:r>
        <w:rPr>
          <w:rFonts w:hint="default" w:ascii="Times New Roman" w:hAnsi="Times New Roman" w:cs="Times New Roman"/>
          <w:color w:val="000000"/>
          <w:kern w:val="0"/>
          <w:sz w:val="24"/>
          <w:highlight w:val="none"/>
          <w:lang w:bidi="ar"/>
        </w:rPr>
        <w:t>整体来看，部分危废间密闭性相对较差，甚至有部分</w:t>
      </w:r>
      <w:r>
        <w:rPr>
          <w:rFonts w:hint="default" w:ascii="Times New Roman" w:hAnsi="Times New Roman" w:cs="Times New Roman"/>
          <w:color w:val="000000"/>
          <w:kern w:val="0"/>
          <w:sz w:val="24"/>
          <w:highlight w:val="none"/>
          <w:lang w:eastAsia="zh-CN" w:bidi="ar"/>
        </w:rPr>
        <w:t>汽车维修</w:t>
      </w:r>
      <w:r>
        <w:rPr>
          <w:rFonts w:hint="default" w:ascii="Times New Roman" w:hAnsi="Times New Roman" w:cs="Times New Roman"/>
          <w:color w:val="000000"/>
          <w:kern w:val="0"/>
          <w:sz w:val="24"/>
          <w:highlight w:val="none"/>
          <w:lang w:bidi="ar"/>
        </w:rPr>
        <w:t>企业在危废间安装了排风扇。</w:t>
      </w:r>
    </w:p>
    <w:p w14:paraId="52D06E06">
      <w:pPr>
        <w:keepNext w:val="0"/>
        <w:keepLines w:val="0"/>
        <w:pageBreakBefore w:val="0"/>
        <w:widowControl/>
        <w:kinsoku/>
        <w:wordWrap/>
        <w:overflowPunct/>
        <w:topLinePunct w:val="0"/>
        <w:autoSpaceDE/>
        <w:autoSpaceDN/>
        <w:bidi w:val="0"/>
        <w:adjustRightInd/>
        <w:snapToGrid/>
        <w:ind w:firstLine="0" w:firstLineChars="0"/>
        <w:textAlignment w:val="auto"/>
        <w:rPr>
          <w:rFonts w:hint="default" w:ascii="Times New Roman" w:hAnsi="Times New Roman" w:cs="Times New Roman"/>
          <w:sz w:val="24"/>
          <w:szCs w:val="21"/>
          <w:highlight w:val="none"/>
        </w:rPr>
      </w:pPr>
      <w:r>
        <w:rPr>
          <w:rFonts w:hint="default" w:ascii="Times New Roman" w:hAnsi="Times New Roman" w:cs="Times New Roman"/>
          <w:sz w:val="24"/>
          <w:szCs w:val="21"/>
          <w:highlight w:val="none"/>
        </w:rPr>
        <w:drawing>
          <wp:inline distT="0" distB="0" distL="114300" distR="114300">
            <wp:extent cx="2035810" cy="2576830"/>
            <wp:effectExtent l="0" t="0" r="13970" b="6350"/>
            <wp:docPr id="24" name="图片 24" descr="IMG_20211020_162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IMG_20211020_162710"/>
                    <pic:cNvPicPr>
                      <a:picLocks noChangeAspect="1"/>
                    </pic:cNvPicPr>
                  </pic:nvPicPr>
                  <pic:blipFill>
                    <a:blip r:embed="rId24"/>
                    <a:srcRect r="21012"/>
                    <a:stretch>
                      <a:fillRect/>
                    </a:stretch>
                  </pic:blipFill>
                  <pic:spPr>
                    <a:xfrm rot="5400000">
                      <a:off x="0" y="0"/>
                      <a:ext cx="2035810" cy="2593721"/>
                    </a:xfrm>
                    <a:prstGeom prst="rect">
                      <a:avLst/>
                    </a:prstGeom>
                  </pic:spPr>
                </pic:pic>
              </a:graphicData>
            </a:graphic>
          </wp:inline>
        </w:drawing>
      </w:r>
      <w:r>
        <w:rPr>
          <w:rFonts w:hint="default" w:ascii="Times New Roman" w:hAnsi="Times New Roman" w:cs="Times New Roman"/>
          <w:sz w:val="24"/>
          <w:szCs w:val="21"/>
          <w:highlight w:val="none"/>
        </w:rPr>
        <w:t xml:space="preserve"> </w:t>
      </w:r>
      <w:r>
        <w:rPr>
          <w:rFonts w:hint="default" w:ascii="Times New Roman" w:hAnsi="Times New Roman" w:cs="Times New Roman"/>
          <w:sz w:val="24"/>
          <w:szCs w:val="21"/>
          <w:highlight w:val="none"/>
        </w:rPr>
        <w:drawing>
          <wp:inline distT="0" distB="0" distL="114300" distR="114300">
            <wp:extent cx="2571750" cy="2048510"/>
            <wp:effectExtent l="0" t="0" r="3810" b="8890"/>
            <wp:docPr id="36" name="图片 36" descr="IMG_20211018_1437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IMG_20211018_143703"/>
                    <pic:cNvPicPr>
                      <a:picLocks noChangeAspect="1"/>
                    </pic:cNvPicPr>
                  </pic:nvPicPr>
                  <pic:blipFill>
                    <a:blip r:embed="rId25"/>
                    <a:srcRect r="24500"/>
                    <a:stretch>
                      <a:fillRect/>
                    </a:stretch>
                  </pic:blipFill>
                  <pic:spPr>
                    <a:xfrm>
                      <a:off x="0" y="0"/>
                      <a:ext cx="2597994" cy="2048510"/>
                    </a:xfrm>
                    <a:prstGeom prst="rect">
                      <a:avLst/>
                    </a:prstGeom>
                  </pic:spPr>
                </pic:pic>
              </a:graphicData>
            </a:graphic>
          </wp:inline>
        </w:drawing>
      </w:r>
    </w:p>
    <w:p w14:paraId="74657050">
      <w:pPr>
        <w:keepNext w:val="0"/>
        <w:keepLines w:val="0"/>
        <w:pageBreakBefore w:val="0"/>
        <w:widowControl/>
        <w:kinsoku/>
        <w:wordWrap/>
        <w:autoSpaceDE/>
        <w:autoSpaceDN/>
        <w:bidi w:val="0"/>
        <w:ind w:left="0" w:leftChars="0" w:firstLine="0" w:firstLineChars="0"/>
        <w:jc w:val="center"/>
        <w:rPr>
          <w:rFonts w:hint="default" w:ascii="Times New Roman" w:hAnsi="Times New Roman" w:cs="Times New Roman"/>
          <w:highlight w:val="none"/>
          <w:lang w:val="en-US" w:eastAsia="zh-CN"/>
        </w:rPr>
      </w:pPr>
      <w:r>
        <w:rPr>
          <w:rFonts w:hint="default" w:ascii="Times New Roman" w:hAnsi="Times New Roman" w:cs="Times New Roman"/>
          <w:highlight w:val="none"/>
          <w:lang w:val="en-US" w:eastAsia="zh-CN"/>
        </w:rPr>
        <w:t xml:space="preserve">（a）临时搭建的危废暂存           （b）没有加盖，密封性差  </w:t>
      </w:r>
    </w:p>
    <w:p w14:paraId="3293D8A0">
      <w:pPr>
        <w:keepNext w:val="0"/>
        <w:keepLines w:val="0"/>
        <w:pageBreakBefore w:val="0"/>
        <w:widowControl/>
        <w:kinsoku/>
        <w:wordWrap/>
        <w:overflowPunct/>
        <w:topLinePunct w:val="0"/>
        <w:autoSpaceDE/>
        <w:autoSpaceDN/>
        <w:bidi w:val="0"/>
        <w:adjustRightInd/>
        <w:snapToGrid/>
        <w:ind w:firstLine="0" w:firstLineChars="0"/>
        <w:textAlignment w:val="auto"/>
        <w:rPr>
          <w:rFonts w:hint="default" w:ascii="Times New Roman" w:hAnsi="Times New Roman" w:cs="Times New Roman"/>
          <w:sz w:val="24"/>
          <w:szCs w:val="21"/>
          <w:highlight w:val="none"/>
        </w:rPr>
      </w:pPr>
      <w:r>
        <w:rPr>
          <w:rFonts w:hint="default" w:ascii="Times New Roman" w:hAnsi="Times New Roman" w:cs="Times New Roman"/>
          <w:sz w:val="24"/>
          <w:szCs w:val="21"/>
          <w:highlight w:val="none"/>
        </w:rPr>
        <w:drawing>
          <wp:inline distT="0" distB="0" distL="114300" distR="114300">
            <wp:extent cx="2573020" cy="1854200"/>
            <wp:effectExtent l="0" t="0" r="2540" b="5080"/>
            <wp:docPr id="17" name="图片 17" descr="IMG_6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IMG_6579"/>
                    <pic:cNvPicPr>
                      <a:picLocks noChangeAspect="1"/>
                    </pic:cNvPicPr>
                  </pic:nvPicPr>
                  <pic:blipFill>
                    <a:blip r:embed="rId26"/>
                    <a:stretch>
                      <a:fillRect/>
                    </a:stretch>
                  </pic:blipFill>
                  <pic:spPr>
                    <a:xfrm>
                      <a:off x="0" y="0"/>
                      <a:ext cx="2578074" cy="1854200"/>
                    </a:xfrm>
                    <a:prstGeom prst="rect">
                      <a:avLst/>
                    </a:prstGeom>
                  </pic:spPr>
                </pic:pic>
              </a:graphicData>
            </a:graphic>
          </wp:inline>
        </w:drawing>
      </w:r>
      <w:r>
        <w:rPr>
          <w:rFonts w:hint="default" w:ascii="Times New Roman" w:hAnsi="Times New Roman" w:cs="Times New Roman"/>
          <w:sz w:val="24"/>
          <w:szCs w:val="21"/>
          <w:highlight w:val="none"/>
        </w:rPr>
        <w:t xml:space="preserve"> </w:t>
      </w:r>
      <w:r>
        <w:rPr>
          <w:rFonts w:hint="default" w:ascii="Times New Roman" w:hAnsi="Times New Roman" w:cs="Times New Roman"/>
          <w:sz w:val="24"/>
          <w:szCs w:val="21"/>
          <w:highlight w:val="none"/>
        </w:rPr>
        <w:drawing>
          <wp:inline distT="0" distB="0" distL="114300" distR="114300">
            <wp:extent cx="2581910" cy="1864995"/>
            <wp:effectExtent l="0" t="0" r="8890" b="9525"/>
            <wp:docPr id="34" name="图片 34" descr="IMG_20211020_180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IMG_20211020_180618"/>
                    <pic:cNvPicPr>
                      <a:picLocks noChangeAspect="1"/>
                    </pic:cNvPicPr>
                  </pic:nvPicPr>
                  <pic:blipFill>
                    <a:blip r:embed="rId27"/>
                    <a:stretch>
                      <a:fillRect/>
                    </a:stretch>
                  </pic:blipFill>
                  <pic:spPr>
                    <a:xfrm>
                      <a:off x="0" y="0"/>
                      <a:ext cx="2608113" cy="1864995"/>
                    </a:xfrm>
                    <a:prstGeom prst="rect">
                      <a:avLst/>
                    </a:prstGeom>
                  </pic:spPr>
                </pic:pic>
              </a:graphicData>
            </a:graphic>
          </wp:inline>
        </w:drawing>
      </w:r>
    </w:p>
    <w:p w14:paraId="552FE422">
      <w:pPr>
        <w:keepNext w:val="0"/>
        <w:keepLines w:val="0"/>
        <w:pageBreakBefore w:val="0"/>
        <w:widowControl/>
        <w:kinsoku/>
        <w:wordWrap/>
        <w:autoSpaceDE/>
        <w:autoSpaceDN/>
        <w:bidi w:val="0"/>
        <w:ind w:left="0" w:leftChars="0" w:firstLine="0" w:firstLineChars="0"/>
        <w:jc w:val="both"/>
        <w:rPr>
          <w:rFonts w:hint="default" w:ascii="Times New Roman" w:hAnsi="Times New Roman" w:cs="Times New Roman"/>
          <w:highlight w:val="none"/>
          <w:lang w:val="en-US" w:eastAsia="zh-CN"/>
        </w:rPr>
      </w:pPr>
      <w:r>
        <w:rPr>
          <w:rFonts w:hint="default" w:ascii="Times New Roman" w:hAnsi="Times New Roman" w:cs="Times New Roman"/>
          <w:highlight w:val="none"/>
          <w:lang w:val="en-US" w:eastAsia="zh-CN"/>
        </w:rPr>
        <w:t>（c）废弃油漆桶没有及时安置与危废间        （d）设置排风扇</w:t>
      </w:r>
    </w:p>
    <w:p w14:paraId="7E30A696">
      <w:pPr>
        <w:keepNext w:val="0"/>
        <w:keepLines w:val="0"/>
        <w:pageBreakBefore w:val="0"/>
        <w:widowControl/>
        <w:kinsoku/>
        <w:wordWrap/>
        <w:autoSpaceDE/>
        <w:autoSpaceDN/>
        <w:bidi w:val="0"/>
        <w:ind w:left="0" w:leftChars="0" w:firstLine="0" w:firstLineChars="0"/>
        <w:jc w:val="center"/>
        <w:rPr>
          <w:rFonts w:hint="default" w:ascii="Times New Roman" w:hAnsi="Times New Roman" w:cs="Times New Roman"/>
          <w:highlight w:val="none"/>
          <w:lang w:val="en-US" w:eastAsia="zh-CN"/>
        </w:rPr>
      </w:pPr>
      <w:r>
        <w:rPr>
          <w:rFonts w:hint="default" w:ascii="Times New Roman" w:hAnsi="Times New Roman" w:cs="Times New Roman"/>
          <w:highlight w:val="none"/>
          <w:lang w:val="en-US" w:eastAsia="zh-CN"/>
        </w:rPr>
        <w:t>图5.2-</w:t>
      </w:r>
      <w:r>
        <w:rPr>
          <w:rFonts w:hint="eastAsia" w:ascii="Times New Roman" w:hAnsi="Times New Roman" w:cs="Times New Roman"/>
          <w:highlight w:val="none"/>
          <w:lang w:val="en-US" w:eastAsia="zh-CN"/>
        </w:rPr>
        <w:t>2</w:t>
      </w:r>
      <w:r>
        <w:rPr>
          <w:rFonts w:hint="default" w:ascii="Times New Roman" w:hAnsi="Times New Roman" w:cs="Times New Roman"/>
          <w:highlight w:val="none"/>
          <w:lang w:val="en-US" w:eastAsia="zh-CN"/>
        </w:rPr>
        <w:t xml:space="preserve"> 不同类型危废间</w:t>
      </w:r>
    </w:p>
    <w:p w14:paraId="1083BFF3">
      <w:pPr>
        <w:keepNext w:val="0"/>
        <w:keepLines w:val="0"/>
        <w:pageBreakBefore w:val="0"/>
        <w:widowControl/>
        <w:kinsoku/>
        <w:wordWrap/>
        <w:autoSpaceDE/>
        <w:autoSpaceDN/>
        <w:bidi w:val="0"/>
        <w:rPr>
          <w:rFonts w:hint="default" w:ascii="Times New Roman" w:hAnsi="Times New Roman" w:cs="Times New Roman"/>
          <w:b/>
          <w:bCs/>
          <w:highlight w:val="none"/>
        </w:rPr>
      </w:pPr>
      <w:r>
        <w:rPr>
          <w:rFonts w:hint="default" w:ascii="Times New Roman" w:hAnsi="Times New Roman" w:cs="Times New Roman"/>
          <w:b/>
          <w:bCs/>
          <w:highlight w:val="none"/>
        </w:rPr>
        <w:t>（2）调漆和清洗间</w:t>
      </w:r>
    </w:p>
    <w:p w14:paraId="62C57A41">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调研企业中，有</w:t>
      </w:r>
      <w:r>
        <w:rPr>
          <w:rFonts w:hint="default" w:ascii="Times New Roman" w:hAnsi="Times New Roman" w:cs="Times New Roman"/>
          <w:highlight w:val="none"/>
          <w:lang w:val="en-US" w:eastAsia="zh-CN"/>
        </w:rPr>
        <w:t>117</w:t>
      </w:r>
      <w:r>
        <w:rPr>
          <w:rFonts w:hint="default" w:ascii="Times New Roman" w:hAnsi="Times New Roman" w:cs="Times New Roman"/>
          <w:highlight w:val="none"/>
        </w:rPr>
        <w:t>家企业有调漆作业，其中有</w:t>
      </w:r>
      <w:r>
        <w:rPr>
          <w:rFonts w:hint="default" w:ascii="Times New Roman" w:hAnsi="Times New Roman" w:cs="Times New Roman"/>
          <w:highlight w:val="none"/>
          <w:lang w:val="en-US" w:eastAsia="zh-CN"/>
        </w:rPr>
        <w:t>9</w:t>
      </w:r>
      <w:r>
        <w:rPr>
          <w:rFonts w:hint="default" w:ascii="Times New Roman" w:hAnsi="Times New Roman" w:cs="Times New Roman"/>
          <w:highlight w:val="none"/>
        </w:rPr>
        <w:t>0%的</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企业设置了单独的调漆间或调漆工位，并对废气进行了收集处理，其余企业未设置单独的调漆间或没有进行收集，还有部分企业调漆作业是在室外完成的。调漆工位进行收集处理的企业中，部分企业是将废气合并到喷烤漆处理系统，部分企业是单独设立活性炭吸附装置。</w:t>
      </w:r>
    </w:p>
    <w:p w14:paraId="2381485D">
      <w:pPr>
        <w:keepNext w:val="0"/>
        <w:keepLines w:val="0"/>
        <w:pageBreakBefore w:val="0"/>
        <w:widowControl/>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sz w:val="24"/>
          <w:szCs w:val="21"/>
          <w:highlight w:val="none"/>
        </w:rPr>
      </w:pPr>
      <w:r>
        <w:rPr>
          <w:rFonts w:hint="default" w:ascii="Times New Roman" w:hAnsi="Times New Roman" w:cs="Times New Roman"/>
          <w:sz w:val="24"/>
          <w:szCs w:val="21"/>
          <w:highlight w:val="none"/>
        </w:rPr>
        <w:drawing>
          <wp:inline distT="0" distB="0" distL="114300" distR="114300">
            <wp:extent cx="2232660" cy="1670050"/>
            <wp:effectExtent l="0" t="0" r="0" b="6350"/>
            <wp:docPr id="41" name="图片 41" descr="IMG_8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IMG_8913"/>
                    <pic:cNvPicPr>
                      <a:picLocks noChangeAspect="1"/>
                    </pic:cNvPicPr>
                  </pic:nvPicPr>
                  <pic:blipFill>
                    <a:blip r:embed="rId28"/>
                    <a:stretch>
                      <a:fillRect/>
                    </a:stretch>
                  </pic:blipFill>
                  <pic:spPr>
                    <a:xfrm>
                      <a:off x="0" y="0"/>
                      <a:ext cx="2233354" cy="1670437"/>
                    </a:xfrm>
                    <a:prstGeom prst="rect">
                      <a:avLst/>
                    </a:prstGeom>
                  </pic:spPr>
                </pic:pic>
              </a:graphicData>
            </a:graphic>
          </wp:inline>
        </w:drawing>
      </w:r>
      <w:r>
        <w:rPr>
          <w:rFonts w:hint="default" w:ascii="Times New Roman" w:hAnsi="Times New Roman" w:cs="Times New Roman"/>
          <w:sz w:val="24"/>
          <w:szCs w:val="21"/>
          <w:highlight w:val="none"/>
        </w:rPr>
        <w:t xml:space="preserve"> </w:t>
      </w:r>
      <w:r>
        <w:rPr>
          <w:rFonts w:hint="default" w:ascii="Times New Roman" w:hAnsi="Times New Roman" w:cs="Times New Roman"/>
          <w:sz w:val="24"/>
          <w:szCs w:val="21"/>
          <w:highlight w:val="none"/>
        </w:rPr>
        <w:drawing>
          <wp:inline distT="0" distB="0" distL="114300" distR="114300">
            <wp:extent cx="2139315" cy="1645285"/>
            <wp:effectExtent l="0" t="0" r="13335" b="12065"/>
            <wp:docPr id="38" name="图片 38" descr="IMG_20211019_085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IMG_20211019_085940"/>
                    <pic:cNvPicPr>
                      <a:picLocks noChangeAspect="1"/>
                    </pic:cNvPicPr>
                  </pic:nvPicPr>
                  <pic:blipFill>
                    <a:blip r:embed="rId29"/>
                    <a:stretch>
                      <a:fillRect/>
                    </a:stretch>
                  </pic:blipFill>
                  <pic:spPr>
                    <a:xfrm>
                      <a:off x="0" y="0"/>
                      <a:ext cx="2139315" cy="1645285"/>
                    </a:xfrm>
                    <a:prstGeom prst="rect">
                      <a:avLst/>
                    </a:prstGeom>
                  </pic:spPr>
                </pic:pic>
              </a:graphicData>
            </a:graphic>
          </wp:inline>
        </w:drawing>
      </w:r>
    </w:p>
    <w:p w14:paraId="1A7CCA83">
      <w:pPr>
        <w:keepNext w:val="0"/>
        <w:keepLines w:val="0"/>
        <w:pageBreakBefore w:val="0"/>
        <w:widowControl/>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sz w:val="24"/>
          <w:szCs w:val="21"/>
          <w:highlight w:val="none"/>
        </w:rPr>
      </w:pPr>
      <w:r>
        <w:rPr>
          <w:rFonts w:hint="default" w:ascii="Times New Roman" w:hAnsi="Times New Roman" w:cs="Times New Roman"/>
          <w:sz w:val="24"/>
          <w:szCs w:val="21"/>
          <w:highlight w:val="none"/>
        </w:rPr>
        <w:drawing>
          <wp:inline distT="0" distB="0" distL="114300" distR="114300">
            <wp:extent cx="2190115" cy="1942465"/>
            <wp:effectExtent l="0" t="0" r="635" b="635"/>
            <wp:docPr id="42" name="图片 42" descr="IMG_20211020_172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descr="IMG_20211020_172342"/>
                    <pic:cNvPicPr>
                      <a:picLocks noChangeAspect="1"/>
                    </pic:cNvPicPr>
                  </pic:nvPicPr>
                  <pic:blipFill>
                    <a:blip r:embed="rId30"/>
                    <a:stretch>
                      <a:fillRect/>
                    </a:stretch>
                  </pic:blipFill>
                  <pic:spPr>
                    <a:xfrm>
                      <a:off x="0" y="0"/>
                      <a:ext cx="2193783" cy="1945670"/>
                    </a:xfrm>
                    <a:prstGeom prst="rect">
                      <a:avLst/>
                    </a:prstGeom>
                  </pic:spPr>
                </pic:pic>
              </a:graphicData>
            </a:graphic>
          </wp:inline>
        </w:drawing>
      </w:r>
      <w:r>
        <w:rPr>
          <w:rFonts w:hint="default" w:ascii="Times New Roman" w:hAnsi="Times New Roman" w:cs="Times New Roman"/>
          <w:sz w:val="24"/>
          <w:szCs w:val="21"/>
          <w:highlight w:val="none"/>
        </w:rPr>
        <w:t xml:space="preserve"> </w:t>
      </w:r>
      <w:r>
        <w:rPr>
          <w:rFonts w:hint="default" w:ascii="Times New Roman" w:hAnsi="Times New Roman" w:cs="Times New Roman"/>
          <w:sz w:val="24"/>
          <w:szCs w:val="21"/>
          <w:highlight w:val="none"/>
        </w:rPr>
        <w:drawing>
          <wp:inline distT="0" distB="0" distL="114300" distR="114300">
            <wp:extent cx="2149475" cy="1936115"/>
            <wp:effectExtent l="0" t="0" r="3175" b="6985"/>
            <wp:docPr id="43" name="图片 43" descr="IMG_20211022_103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descr="IMG_20211022_103545"/>
                    <pic:cNvPicPr>
                      <a:picLocks noChangeAspect="1"/>
                    </pic:cNvPicPr>
                  </pic:nvPicPr>
                  <pic:blipFill>
                    <a:blip r:embed="rId31"/>
                    <a:stretch>
                      <a:fillRect/>
                    </a:stretch>
                  </pic:blipFill>
                  <pic:spPr>
                    <a:xfrm>
                      <a:off x="0" y="0"/>
                      <a:ext cx="2154059" cy="1940304"/>
                    </a:xfrm>
                    <a:prstGeom prst="rect">
                      <a:avLst/>
                    </a:prstGeom>
                  </pic:spPr>
                </pic:pic>
              </a:graphicData>
            </a:graphic>
          </wp:inline>
        </w:drawing>
      </w:r>
    </w:p>
    <w:p w14:paraId="2B17B212">
      <w:pPr>
        <w:keepNext w:val="0"/>
        <w:keepLines w:val="0"/>
        <w:pageBreakBefore w:val="0"/>
        <w:widowControl/>
        <w:kinsoku/>
        <w:wordWrap/>
        <w:autoSpaceDE/>
        <w:autoSpaceDN/>
        <w:bidi w:val="0"/>
        <w:ind w:left="0" w:leftChars="0" w:firstLine="0" w:firstLineChars="0"/>
        <w:jc w:val="center"/>
        <w:rPr>
          <w:rFonts w:hint="default" w:ascii="Times New Roman" w:hAnsi="Times New Roman" w:cs="Times New Roman"/>
          <w:highlight w:val="none"/>
          <w:lang w:val="en-US" w:eastAsia="zh-CN"/>
        </w:rPr>
      </w:pPr>
      <w:r>
        <w:rPr>
          <w:rFonts w:hint="default" w:ascii="Times New Roman" w:hAnsi="Times New Roman" w:cs="Times New Roman"/>
          <w:highlight w:val="none"/>
          <w:lang w:val="en-US" w:eastAsia="zh-CN"/>
        </w:rPr>
        <w:t>5.2-</w:t>
      </w:r>
      <w:r>
        <w:rPr>
          <w:rFonts w:hint="eastAsia" w:ascii="Times New Roman" w:hAnsi="Times New Roman" w:cs="Times New Roman"/>
          <w:highlight w:val="none"/>
          <w:lang w:val="en-US" w:eastAsia="zh-CN"/>
        </w:rPr>
        <w:t>3</w:t>
      </w:r>
      <w:r>
        <w:rPr>
          <w:rFonts w:hint="default" w:ascii="Times New Roman" w:hAnsi="Times New Roman" w:cs="Times New Roman"/>
          <w:highlight w:val="none"/>
          <w:lang w:val="en-US" w:eastAsia="zh-CN"/>
        </w:rPr>
        <w:t>不同类型的调漆间</w:t>
      </w:r>
    </w:p>
    <w:p w14:paraId="37548CFF">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调研的企业中，40%的企业设置了喷枪清洗工位，或者直接在调漆间进行清洗；其余60%的企业没有单独设置喷枪清洗间（没有调漆间），这些企业部分在喷烤漆房内清洗喷枪，或直接露天清洗。喷枪清洗多采用香蕉水，企业直接将喷枪浸泡在盛有香蕉水的桶内进行清洗，也发现有一些</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企业采用专用的喷枪清洗机，1台的价格在1万元左右。</w:t>
      </w:r>
    </w:p>
    <w:p w14:paraId="60A8B0D2">
      <w:pPr>
        <w:keepNext w:val="0"/>
        <w:keepLines w:val="0"/>
        <w:pageBreakBefore w:val="0"/>
        <w:widowControl/>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sz w:val="24"/>
          <w:szCs w:val="21"/>
          <w:highlight w:val="none"/>
        </w:rPr>
      </w:pPr>
      <w:r>
        <w:rPr>
          <w:rFonts w:hint="default" w:ascii="Times New Roman" w:hAnsi="Times New Roman" w:cs="Times New Roman"/>
          <w:sz w:val="24"/>
          <w:szCs w:val="21"/>
          <w:highlight w:val="none"/>
        </w:rPr>
        <w:drawing>
          <wp:inline distT="0" distB="0" distL="114300" distR="114300">
            <wp:extent cx="2092325" cy="2058035"/>
            <wp:effectExtent l="0" t="0" r="3175" b="0"/>
            <wp:docPr id="7" name="图片 7" descr="20211022160504000-5-1752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20211022160504000-5-1752643"/>
                    <pic:cNvPicPr>
                      <a:picLocks noChangeAspect="1"/>
                    </pic:cNvPicPr>
                  </pic:nvPicPr>
                  <pic:blipFill>
                    <a:blip r:embed="rId32"/>
                    <a:stretch>
                      <a:fillRect/>
                    </a:stretch>
                  </pic:blipFill>
                  <pic:spPr>
                    <a:xfrm>
                      <a:off x="0" y="0"/>
                      <a:ext cx="2096254" cy="2061362"/>
                    </a:xfrm>
                    <a:prstGeom prst="rect">
                      <a:avLst/>
                    </a:prstGeom>
                  </pic:spPr>
                </pic:pic>
              </a:graphicData>
            </a:graphic>
          </wp:inline>
        </w:drawing>
      </w:r>
      <w:r>
        <w:rPr>
          <w:rFonts w:hint="default" w:ascii="Times New Roman" w:hAnsi="Times New Roman" w:cs="Times New Roman"/>
          <w:sz w:val="24"/>
          <w:szCs w:val="21"/>
          <w:highlight w:val="none"/>
        </w:rPr>
        <w:t xml:space="preserve"> </w:t>
      </w:r>
      <w:r>
        <w:rPr>
          <w:rFonts w:hint="default" w:ascii="Times New Roman" w:hAnsi="Times New Roman" w:cs="Times New Roman"/>
          <w:sz w:val="24"/>
          <w:szCs w:val="21"/>
          <w:highlight w:val="none"/>
        </w:rPr>
        <w:drawing>
          <wp:inline distT="0" distB="0" distL="114300" distR="114300">
            <wp:extent cx="2051685" cy="1990090"/>
            <wp:effectExtent l="0" t="7302" r="0" b="0"/>
            <wp:docPr id="30" name="图片 30" descr="IMG_20211022_135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IMG_20211022_135251"/>
                    <pic:cNvPicPr>
                      <a:picLocks noChangeAspect="1"/>
                    </pic:cNvPicPr>
                  </pic:nvPicPr>
                  <pic:blipFill>
                    <a:blip r:embed="rId33"/>
                    <a:stretch>
                      <a:fillRect/>
                    </a:stretch>
                  </pic:blipFill>
                  <pic:spPr>
                    <a:xfrm rot="5400000">
                      <a:off x="0" y="0"/>
                      <a:ext cx="2053118" cy="1991997"/>
                    </a:xfrm>
                    <a:prstGeom prst="rect">
                      <a:avLst/>
                    </a:prstGeom>
                  </pic:spPr>
                </pic:pic>
              </a:graphicData>
            </a:graphic>
          </wp:inline>
        </w:drawing>
      </w:r>
    </w:p>
    <w:p w14:paraId="7281B7F7">
      <w:pPr>
        <w:keepNext w:val="0"/>
        <w:keepLines w:val="0"/>
        <w:pageBreakBefore w:val="0"/>
        <w:widowControl/>
        <w:kinsoku/>
        <w:wordWrap/>
        <w:autoSpaceDE/>
        <w:autoSpaceDN/>
        <w:bidi w:val="0"/>
        <w:jc w:val="center"/>
        <w:rPr>
          <w:rFonts w:hint="default" w:ascii="Times New Roman" w:hAnsi="Times New Roman" w:cs="Times New Roman"/>
          <w:sz w:val="24"/>
          <w:szCs w:val="21"/>
          <w:highlight w:val="none"/>
        </w:rPr>
      </w:pPr>
      <w:r>
        <w:rPr>
          <w:rFonts w:hint="default" w:ascii="Times New Roman" w:hAnsi="Times New Roman" w:cs="Times New Roman"/>
          <w:sz w:val="24"/>
          <w:szCs w:val="21"/>
          <w:highlight w:val="none"/>
        </w:rPr>
        <w:t>图5</w:t>
      </w:r>
      <w:r>
        <w:rPr>
          <w:rFonts w:hint="default" w:ascii="Times New Roman" w:hAnsi="Times New Roman" w:cs="Times New Roman"/>
          <w:sz w:val="24"/>
          <w:szCs w:val="21"/>
          <w:highlight w:val="none"/>
          <w:lang w:val="en-US" w:eastAsia="zh-CN"/>
        </w:rPr>
        <w:t>.2</w:t>
      </w:r>
      <w:r>
        <w:rPr>
          <w:rFonts w:hint="default" w:ascii="Times New Roman" w:hAnsi="Times New Roman" w:cs="Times New Roman"/>
          <w:sz w:val="24"/>
          <w:szCs w:val="21"/>
          <w:highlight w:val="none"/>
        </w:rPr>
        <w:t>-</w:t>
      </w:r>
      <w:r>
        <w:rPr>
          <w:rFonts w:hint="eastAsia" w:cs="Times New Roman"/>
          <w:sz w:val="24"/>
          <w:szCs w:val="21"/>
          <w:highlight w:val="none"/>
          <w:lang w:val="en-US" w:eastAsia="zh-CN"/>
        </w:rPr>
        <w:t>4</w:t>
      </w:r>
      <w:r>
        <w:rPr>
          <w:rFonts w:hint="default" w:ascii="Times New Roman" w:hAnsi="Times New Roman" w:cs="Times New Roman"/>
          <w:sz w:val="24"/>
          <w:szCs w:val="21"/>
          <w:highlight w:val="none"/>
        </w:rPr>
        <w:t xml:space="preserve"> 喷枪清洗机</w:t>
      </w:r>
    </w:p>
    <w:p w14:paraId="54515DE2">
      <w:pPr>
        <w:keepNext w:val="0"/>
        <w:keepLines w:val="0"/>
        <w:pageBreakBefore w:val="0"/>
        <w:widowControl/>
        <w:kinsoku/>
        <w:wordWrap/>
        <w:autoSpaceDE/>
        <w:autoSpaceDN/>
        <w:bidi w:val="0"/>
        <w:rPr>
          <w:rFonts w:hint="default" w:ascii="Times New Roman" w:hAnsi="Times New Roman" w:eastAsia="宋体" w:cs="Times New Roman"/>
          <w:b/>
          <w:bCs/>
          <w:highlight w:val="none"/>
          <w:lang w:eastAsia="zh-CN"/>
        </w:rPr>
      </w:pPr>
      <w:r>
        <w:rPr>
          <w:rFonts w:hint="default" w:ascii="Times New Roman" w:hAnsi="Times New Roman" w:cs="Times New Roman"/>
          <w:b/>
          <w:bCs/>
          <w:highlight w:val="none"/>
        </w:rPr>
        <w:t>（3）喷烤</w:t>
      </w:r>
      <w:r>
        <w:rPr>
          <w:rFonts w:hint="default" w:ascii="Times New Roman" w:hAnsi="Times New Roman" w:cs="Times New Roman"/>
          <w:b/>
          <w:bCs/>
          <w:highlight w:val="none"/>
          <w:lang w:eastAsia="zh-CN"/>
        </w:rPr>
        <w:t>废气处理</w:t>
      </w:r>
    </w:p>
    <w:p w14:paraId="3EF2CBD3">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调研的127家汽车维修企业喷烤漆房废气全部安装了末端处理装置，其中去除漆雾的方式均为干式，即采用过滤棉等方式去除。本次调研发现汽车维修企业主要使用三种技术末端治理技术，技术类型和投资为：（1）催化燃烧设施，经费投入为25~40万之间；（2）活性炭吸附+光催化投资费用在10~15万之间；（3）活性炭吸附装置投资费用相对较低，在</w:t>
      </w:r>
      <w:r>
        <w:rPr>
          <w:rFonts w:hint="eastAsia" w:cs="Times New Roman"/>
          <w:highlight w:val="none"/>
          <w:lang w:val="en-US" w:eastAsia="zh-CN"/>
        </w:rPr>
        <w:t>2</w:t>
      </w:r>
      <w:r>
        <w:rPr>
          <w:rFonts w:hint="default" w:ascii="Times New Roman" w:hAnsi="Times New Roman" w:cs="Times New Roman"/>
          <w:highlight w:val="none"/>
        </w:rPr>
        <w:t>~1</w:t>
      </w:r>
      <w:r>
        <w:rPr>
          <w:rFonts w:hint="eastAsia" w:cs="Times New Roman"/>
          <w:highlight w:val="none"/>
          <w:lang w:val="en-US" w:eastAsia="zh-CN"/>
        </w:rPr>
        <w:t>0</w:t>
      </w:r>
      <w:r>
        <w:rPr>
          <w:rFonts w:hint="default" w:ascii="Times New Roman" w:hAnsi="Times New Roman" w:cs="Times New Roman"/>
          <w:highlight w:val="none"/>
        </w:rPr>
        <w:t>万元</w:t>
      </w:r>
      <w:r>
        <w:rPr>
          <w:rFonts w:hint="eastAsia" w:cs="Times New Roman"/>
          <w:highlight w:val="none"/>
          <w:lang w:val="en-US" w:eastAsia="zh-CN"/>
        </w:rPr>
        <w:t>之间</w:t>
      </w:r>
      <w:r>
        <w:rPr>
          <w:rFonts w:hint="default" w:ascii="Times New Roman" w:hAnsi="Times New Roman" w:cs="Times New Roman"/>
          <w:highlight w:val="none"/>
        </w:rPr>
        <w:t>。</w:t>
      </w:r>
    </w:p>
    <w:p w14:paraId="60EF12FE">
      <w:pPr>
        <w:keepNext w:val="0"/>
        <w:keepLines w:val="0"/>
        <w:pageBreakBefore w:val="0"/>
        <w:widowControl/>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rPr>
        <w:t>从设施的实际使用和运维来看，大部分汽车维修企业治理设施的安装使用较为规范，能够按照厂家的进行定期的维护，并且至少一年监测一次；但总体来看，部分企业的处理装置治理效果有待进一步加强，调研发现的</w:t>
      </w:r>
      <w:r>
        <w:rPr>
          <w:rFonts w:hint="eastAsia" w:cs="Times New Roman"/>
          <w:highlight w:val="none"/>
          <w:lang w:val="en-US" w:eastAsia="zh-CN"/>
        </w:rPr>
        <w:t>普遍</w:t>
      </w:r>
      <w:r>
        <w:rPr>
          <w:rFonts w:hint="default" w:ascii="Times New Roman" w:hAnsi="Times New Roman" w:cs="Times New Roman"/>
          <w:highlight w:val="none"/>
        </w:rPr>
        <w:t>问题包括：（1）末端治理装置、风机等铭牌模糊，厂家不明，治理装置本身效果无法保证；（2）治理装置缺少检修维护；（3）活性炭、吸附棉更换不及时、灯管老化破损未及时更换；（4）活性炭填充量少，只有一层，治理装置的大部分空间为空；（5）部分企业在网上采购活性炭、吸附棉等，无法判断碘值等信息。</w:t>
      </w:r>
    </w:p>
    <w:p w14:paraId="4BF6AD77">
      <w:pPr>
        <w:keepNext w:val="0"/>
        <w:keepLines w:val="0"/>
        <w:pageBreakBefore w:val="0"/>
        <w:widowControl/>
        <w:kinsoku/>
        <w:wordWrap/>
        <w:autoSpaceDE/>
        <w:autoSpaceDN/>
        <w:bidi w:val="0"/>
        <w:rPr>
          <w:rFonts w:hint="default" w:ascii="Times New Roman" w:hAnsi="Times New Roman" w:cs="Times New Roman"/>
          <w:b/>
          <w:bCs/>
          <w:highlight w:val="none"/>
        </w:rPr>
      </w:pPr>
      <w:r>
        <w:rPr>
          <w:rFonts w:hint="default" w:ascii="Times New Roman" w:hAnsi="Times New Roman" w:cs="Times New Roman"/>
          <w:b/>
          <w:bCs/>
          <w:highlight w:val="none"/>
          <w:lang w:eastAsia="zh-CN"/>
        </w:rPr>
        <w:t>（</w:t>
      </w:r>
      <w:r>
        <w:rPr>
          <w:rFonts w:hint="default" w:ascii="Times New Roman" w:hAnsi="Times New Roman" w:cs="Times New Roman"/>
          <w:b/>
          <w:bCs/>
          <w:highlight w:val="none"/>
          <w:lang w:val="en-US" w:eastAsia="zh-CN"/>
        </w:rPr>
        <w:t>4</w:t>
      </w:r>
      <w:r>
        <w:rPr>
          <w:rFonts w:hint="default" w:ascii="Times New Roman" w:hAnsi="Times New Roman" w:cs="Times New Roman"/>
          <w:b/>
          <w:bCs/>
          <w:highlight w:val="none"/>
          <w:lang w:eastAsia="zh-CN"/>
        </w:rPr>
        <w:t>）</w:t>
      </w:r>
      <w:r>
        <w:rPr>
          <w:rFonts w:hint="default" w:ascii="Times New Roman" w:hAnsi="Times New Roman" w:cs="Times New Roman"/>
          <w:b/>
          <w:bCs/>
          <w:highlight w:val="none"/>
        </w:rPr>
        <w:t>打磨工序废气处理</w:t>
      </w:r>
    </w:p>
    <w:p w14:paraId="5F4C1E4E">
      <w:pPr>
        <w:keepNext w:val="0"/>
        <w:keepLines w:val="0"/>
        <w:pageBreakBefore w:val="0"/>
        <w:widowControl/>
        <w:kinsoku/>
        <w:wordWrap/>
        <w:autoSpaceDE/>
        <w:autoSpaceDN/>
        <w:bidi w:val="0"/>
        <w:rPr>
          <w:rFonts w:hint="default" w:ascii="Times New Roman" w:hAnsi="Times New Roman" w:cs="Times New Roman"/>
          <w:szCs w:val="21"/>
          <w:highlight w:val="none"/>
        </w:rPr>
      </w:pPr>
      <w:r>
        <w:rPr>
          <w:rFonts w:hint="default" w:ascii="Times New Roman" w:hAnsi="Times New Roman" w:cs="Times New Roman"/>
          <w:highlight w:val="none"/>
        </w:rPr>
        <w:t>调研的企业打磨工序废气处理主要分为2类：半密闭空间打磨机收尘，密闭空间打磨并进行集中收尘，还有少部分露天打磨。部分</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企业将收集处理的打磨颗粒物按照危废处理，也有部分企业将其直接倾倒。</w:t>
      </w:r>
    </w:p>
    <w:p w14:paraId="4147124E">
      <w:pPr>
        <w:keepNext w:val="0"/>
        <w:keepLines w:val="0"/>
        <w:pageBreakBefore w:val="0"/>
        <w:widowControl/>
        <w:kinsoku/>
        <w:wordWrap/>
        <w:autoSpaceDE/>
        <w:autoSpaceDN/>
        <w:bidi w:val="0"/>
        <w:ind w:left="0" w:leftChars="0" w:firstLine="0" w:firstLineChars="0"/>
        <w:rPr>
          <w:rFonts w:hint="default" w:ascii="Times New Roman" w:hAnsi="Times New Roman" w:cs="Times New Roman"/>
          <w:sz w:val="24"/>
          <w:szCs w:val="21"/>
          <w:highlight w:val="none"/>
        </w:rPr>
      </w:pPr>
      <w:r>
        <w:rPr>
          <w:rFonts w:hint="default" w:ascii="Times New Roman" w:hAnsi="Times New Roman" w:cs="Times New Roman"/>
          <w:sz w:val="24"/>
          <w:szCs w:val="21"/>
          <w:highlight w:val="none"/>
        </w:rPr>
        <w:drawing>
          <wp:inline distT="0" distB="0" distL="114300" distR="114300">
            <wp:extent cx="2479040" cy="1731010"/>
            <wp:effectExtent l="0" t="0" r="5080" b="6350"/>
            <wp:docPr id="23" name="图片 23" descr="IMG_20211020_171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IMG_20211020_171700"/>
                    <pic:cNvPicPr>
                      <a:picLocks noChangeAspect="1"/>
                    </pic:cNvPicPr>
                  </pic:nvPicPr>
                  <pic:blipFill>
                    <a:blip r:embed="rId34"/>
                    <a:srcRect r="21475"/>
                    <a:stretch>
                      <a:fillRect/>
                    </a:stretch>
                  </pic:blipFill>
                  <pic:spPr>
                    <a:xfrm>
                      <a:off x="0" y="0"/>
                      <a:ext cx="2479040" cy="1731010"/>
                    </a:xfrm>
                    <a:prstGeom prst="rect">
                      <a:avLst/>
                    </a:prstGeom>
                  </pic:spPr>
                </pic:pic>
              </a:graphicData>
            </a:graphic>
          </wp:inline>
        </w:drawing>
      </w:r>
      <w:r>
        <w:rPr>
          <w:rFonts w:hint="default" w:ascii="Times New Roman" w:hAnsi="Times New Roman" w:cs="Times New Roman"/>
          <w:sz w:val="24"/>
          <w:szCs w:val="21"/>
          <w:highlight w:val="none"/>
        </w:rPr>
        <w:t xml:space="preserve"> </w:t>
      </w:r>
      <w:r>
        <w:rPr>
          <w:rFonts w:hint="default" w:ascii="Times New Roman" w:hAnsi="Times New Roman" w:cs="Times New Roman"/>
          <w:sz w:val="24"/>
          <w:szCs w:val="21"/>
          <w:highlight w:val="none"/>
        </w:rPr>
        <w:drawing>
          <wp:inline distT="0" distB="0" distL="114300" distR="114300">
            <wp:extent cx="2661920" cy="1738630"/>
            <wp:effectExtent l="0" t="0" r="5080" b="13970"/>
            <wp:docPr id="40" name="图片 40" descr="IMG_9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IMG_9249"/>
                    <pic:cNvPicPr>
                      <a:picLocks noChangeAspect="1"/>
                    </pic:cNvPicPr>
                  </pic:nvPicPr>
                  <pic:blipFill>
                    <a:blip r:embed="rId35"/>
                    <a:stretch>
                      <a:fillRect/>
                    </a:stretch>
                  </pic:blipFill>
                  <pic:spPr>
                    <a:xfrm>
                      <a:off x="0" y="0"/>
                      <a:ext cx="2661920" cy="1738630"/>
                    </a:xfrm>
                    <a:prstGeom prst="rect">
                      <a:avLst/>
                    </a:prstGeom>
                  </pic:spPr>
                </pic:pic>
              </a:graphicData>
            </a:graphic>
          </wp:inline>
        </w:drawing>
      </w:r>
    </w:p>
    <w:p w14:paraId="2CFCB5DE">
      <w:pPr>
        <w:keepNext w:val="0"/>
        <w:keepLines w:val="0"/>
        <w:pageBreakBefore w:val="0"/>
        <w:widowControl/>
        <w:kinsoku/>
        <w:wordWrap/>
        <w:autoSpaceDE/>
        <w:autoSpaceDN/>
        <w:bidi w:val="0"/>
        <w:ind w:left="0" w:leftChars="0" w:firstLine="0" w:firstLineChars="0"/>
        <w:rPr>
          <w:rFonts w:hint="default" w:ascii="Times New Roman" w:hAnsi="Times New Roman" w:cs="Times New Roman"/>
          <w:sz w:val="24"/>
          <w:szCs w:val="21"/>
          <w:highlight w:val="none"/>
        </w:rPr>
      </w:pPr>
      <w:r>
        <w:rPr>
          <w:rFonts w:hint="default" w:ascii="Times New Roman" w:hAnsi="Times New Roman" w:cs="Times New Roman"/>
          <w:sz w:val="24"/>
          <w:szCs w:val="21"/>
          <w:highlight w:val="none"/>
        </w:rPr>
        <w:drawing>
          <wp:inline distT="0" distB="0" distL="114300" distR="114300">
            <wp:extent cx="2485390" cy="1930400"/>
            <wp:effectExtent l="0" t="0" r="13970" b="5080"/>
            <wp:docPr id="33" name="图片 33" descr="IMG_20211021_095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IMG_20211021_095614"/>
                    <pic:cNvPicPr>
                      <a:picLocks noChangeAspect="1"/>
                    </pic:cNvPicPr>
                  </pic:nvPicPr>
                  <pic:blipFill>
                    <a:blip r:embed="rId36"/>
                    <a:srcRect t="2835" b="37295"/>
                    <a:stretch>
                      <a:fillRect/>
                    </a:stretch>
                  </pic:blipFill>
                  <pic:spPr>
                    <a:xfrm>
                      <a:off x="0" y="0"/>
                      <a:ext cx="2485390" cy="1930400"/>
                    </a:xfrm>
                    <a:prstGeom prst="rect">
                      <a:avLst/>
                    </a:prstGeom>
                  </pic:spPr>
                </pic:pic>
              </a:graphicData>
            </a:graphic>
          </wp:inline>
        </w:drawing>
      </w:r>
      <w:r>
        <w:rPr>
          <w:rFonts w:hint="default" w:ascii="Times New Roman" w:hAnsi="Times New Roman" w:cs="Times New Roman"/>
          <w:sz w:val="24"/>
          <w:szCs w:val="21"/>
          <w:highlight w:val="none"/>
        </w:rPr>
        <w:t xml:space="preserve"> </w:t>
      </w:r>
      <w:r>
        <w:rPr>
          <w:rFonts w:hint="default" w:ascii="Times New Roman" w:hAnsi="Times New Roman" w:cs="Times New Roman"/>
          <w:sz w:val="24"/>
          <w:szCs w:val="21"/>
          <w:highlight w:val="none"/>
        </w:rPr>
        <w:drawing>
          <wp:inline distT="0" distB="0" distL="114300" distR="114300">
            <wp:extent cx="2684780" cy="1930400"/>
            <wp:effectExtent l="0" t="0" r="12700" b="5080"/>
            <wp:docPr id="44" name="图片 44" descr="IMG_8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descr="IMG_8966"/>
                    <pic:cNvPicPr>
                      <a:picLocks noChangeAspect="1"/>
                    </pic:cNvPicPr>
                  </pic:nvPicPr>
                  <pic:blipFill>
                    <a:blip r:embed="rId37"/>
                    <a:stretch>
                      <a:fillRect/>
                    </a:stretch>
                  </pic:blipFill>
                  <pic:spPr>
                    <a:xfrm>
                      <a:off x="0" y="0"/>
                      <a:ext cx="2688886" cy="1930400"/>
                    </a:xfrm>
                    <a:prstGeom prst="rect">
                      <a:avLst/>
                    </a:prstGeom>
                  </pic:spPr>
                </pic:pic>
              </a:graphicData>
            </a:graphic>
          </wp:inline>
        </w:drawing>
      </w:r>
    </w:p>
    <w:p w14:paraId="3351F76C">
      <w:pPr>
        <w:keepNext w:val="0"/>
        <w:keepLines w:val="0"/>
        <w:pageBreakBefore w:val="0"/>
        <w:widowControl/>
        <w:kinsoku/>
        <w:wordWrap/>
        <w:autoSpaceDE/>
        <w:autoSpaceDN/>
        <w:bidi w:val="0"/>
        <w:jc w:val="center"/>
        <w:rPr>
          <w:rFonts w:hint="default" w:ascii="Times New Roman" w:hAnsi="Times New Roman" w:cs="Times New Roman"/>
          <w:highlight w:val="none"/>
        </w:rPr>
      </w:pPr>
      <w:r>
        <w:rPr>
          <w:rFonts w:hint="default" w:ascii="Times New Roman" w:hAnsi="Times New Roman" w:cs="Times New Roman"/>
          <w:highlight w:val="none"/>
        </w:rPr>
        <w:t>图5</w:t>
      </w:r>
      <w:r>
        <w:rPr>
          <w:rFonts w:hint="default" w:ascii="Times New Roman" w:hAnsi="Times New Roman" w:cs="Times New Roman"/>
          <w:highlight w:val="none"/>
          <w:lang w:val="en-US" w:eastAsia="zh-CN"/>
        </w:rPr>
        <w:t>.2</w:t>
      </w:r>
      <w:r>
        <w:rPr>
          <w:rFonts w:hint="default" w:ascii="Times New Roman" w:hAnsi="Times New Roman" w:cs="Times New Roman"/>
          <w:highlight w:val="none"/>
        </w:rPr>
        <w:t>-</w:t>
      </w:r>
      <w:r>
        <w:rPr>
          <w:rFonts w:hint="eastAsia" w:cs="Times New Roman"/>
          <w:highlight w:val="none"/>
          <w:lang w:val="en-US" w:eastAsia="zh-CN"/>
        </w:rPr>
        <w:t>5</w:t>
      </w:r>
      <w:r>
        <w:rPr>
          <w:rFonts w:hint="default" w:ascii="Times New Roman" w:hAnsi="Times New Roman" w:cs="Times New Roman"/>
          <w:highlight w:val="none"/>
        </w:rPr>
        <w:t xml:space="preserve"> 打磨工序</w:t>
      </w:r>
    </w:p>
    <w:p w14:paraId="77EEC30C">
      <w:pPr>
        <w:keepNext w:val="0"/>
        <w:keepLines w:val="0"/>
        <w:pageBreakBefore w:val="0"/>
        <w:widowControl/>
        <w:kinsoku/>
        <w:wordWrap/>
        <w:autoSpaceDE/>
        <w:autoSpaceDN/>
        <w:bidi w:val="0"/>
        <w:rPr>
          <w:rFonts w:hint="default" w:ascii="Times New Roman" w:hAnsi="Times New Roman" w:cs="Times New Roman"/>
          <w:b/>
          <w:bCs/>
          <w:highlight w:val="none"/>
        </w:rPr>
      </w:pPr>
      <w:r>
        <w:rPr>
          <w:rFonts w:hint="default" w:ascii="Times New Roman" w:hAnsi="Times New Roman" w:cs="Times New Roman"/>
          <w:b/>
          <w:bCs/>
          <w:highlight w:val="none"/>
          <w:lang w:eastAsia="zh-CN"/>
        </w:rPr>
        <w:t>（</w:t>
      </w:r>
      <w:r>
        <w:rPr>
          <w:rFonts w:hint="default" w:ascii="Times New Roman" w:hAnsi="Times New Roman" w:cs="Times New Roman"/>
          <w:b/>
          <w:bCs/>
          <w:highlight w:val="none"/>
          <w:lang w:val="en-US" w:eastAsia="zh-CN"/>
        </w:rPr>
        <w:t>5</w:t>
      </w:r>
      <w:r>
        <w:rPr>
          <w:rFonts w:hint="default" w:ascii="Times New Roman" w:hAnsi="Times New Roman" w:cs="Times New Roman"/>
          <w:b/>
          <w:bCs/>
          <w:highlight w:val="none"/>
          <w:lang w:eastAsia="zh-CN"/>
        </w:rPr>
        <w:t>）</w:t>
      </w:r>
      <w:r>
        <w:rPr>
          <w:rFonts w:hint="default" w:ascii="Times New Roman" w:hAnsi="Times New Roman" w:cs="Times New Roman"/>
          <w:b/>
          <w:bCs/>
          <w:highlight w:val="none"/>
        </w:rPr>
        <w:t>喷枪类型</w:t>
      </w:r>
    </w:p>
    <w:p w14:paraId="1DA47DF6">
      <w:pPr>
        <w:keepNext w:val="0"/>
        <w:keepLines w:val="0"/>
        <w:pageBreakBefore w:val="0"/>
        <w:widowControl/>
        <w:kinsoku/>
        <w:wordWrap/>
        <w:autoSpaceDE/>
        <w:autoSpaceDN/>
        <w:bidi w:val="0"/>
        <w:rPr>
          <w:rFonts w:hint="default" w:ascii="Times New Roman" w:hAnsi="Times New Roman" w:cs="Times New Roman"/>
          <w:szCs w:val="21"/>
          <w:highlight w:val="none"/>
        </w:rPr>
      </w:pPr>
      <w:r>
        <w:rPr>
          <w:rFonts w:hint="default" w:ascii="Times New Roman" w:hAnsi="Times New Roman" w:cs="Times New Roman"/>
          <w:highlight w:val="none"/>
        </w:rPr>
        <w:t>调研的涉喷涂的企业中，仅有</w:t>
      </w:r>
      <w:r>
        <w:rPr>
          <w:rFonts w:hint="default" w:ascii="Times New Roman" w:hAnsi="Times New Roman" w:cs="Times New Roman"/>
          <w:highlight w:val="none"/>
          <w:lang w:val="en-US" w:eastAsia="zh-CN"/>
        </w:rPr>
        <w:t>5%的</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采用了HVLP喷枪（低压高流量喷枪），其余均采用常规空气型喷枪。</w:t>
      </w:r>
    </w:p>
    <w:p w14:paraId="4CB07AAA">
      <w:pPr>
        <w:pStyle w:val="4"/>
        <w:keepNext w:val="0"/>
        <w:keepLines w:val="0"/>
        <w:pageBreakBefore w:val="0"/>
        <w:widowControl/>
        <w:kinsoku/>
        <w:wordWrap/>
        <w:autoSpaceDE/>
        <w:autoSpaceDN/>
        <w:bidi w:val="0"/>
        <w:rPr>
          <w:rFonts w:hint="default" w:ascii="Times New Roman" w:hAnsi="Times New Roman" w:cs="Times New Roman"/>
          <w:highlight w:val="none"/>
        </w:rPr>
      </w:pPr>
      <w:bookmarkStart w:id="72" w:name="_Toc31567"/>
      <w:bookmarkStart w:id="73" w:name="_Toc13858"/>
      <w:r>
        <w:rPr>
          <w:rFonts w:hint="default" w:ascii="Times New Roman" w:hAnsi="Times New Roman" w:cs="Times New Roman"/>
          <w:highlight w:val="none"/>
        </w:rPr>
        <w:t>排放口现状及存在问题</w:t>
      </w:r>
      <w:bookmarkEnd w:id="72"/>
      <w:bookmarkEnd w:id="73"/>
    </w:p>
    <w:p w14:paraId="67E16224">
      <w:pPr>
        <w:keepNext w:val="0"/>
        <w:keepLines w:val="0"/>
        <w:pageBreakBefore w:val="0"/>
        <w:widowControl/>
        <w:kinsoku/>
        <w:wordWrap/>
        <w:autoSpaceDE/>
        <w:autoSpaceDN/>
        <w:bidi w:val="0"/>
        <w:spacing w:line="360" w:lineRule="auto"/>
        <w:ind w:firstLine="480" w:firstLineChars="200"/>
        <w:rPr>
          <w:rFonts w:hint="default" w:ascii="Times New Roman" w:hAnsi="Times New Roman" w:eastAsia="宋体" w:cs="Times New Roman"/>
          <w:sz w:val="24"/>
          <w:highlight w:val="none"/>
          <w:lang w:val="en-US" w:eastAsia="zh-CN"/>
        </w:rPr>
      </w:pPr>
      <w:r>
        <w:rPr>
          <w:rFonts w:hint="default" w:ascii="Times New Roman" w:hAnsi="Times New Roman" w:cs="Times New Roman"/>
          <w:sz w:val="24"/>
          <w:highlight w:val="none"/>
        </w:rPr>
        <w:t>根据企业提供的监测报告</w:t>
      </w:r>
      <w:r>
        <w:rPr>
          <w:rFonts w:hint="default" w:ascii="Times New Roman" w:hAnsi="Times New Roman" w:cs="Times New Roman"/>
          <w:sz w:val="24"/>
          <w:highlight w:val="none"/>
          <w:lang w:val="en-US" w:eastAsia="zh-CN"/>
        </w:rPr>
        <w:t>及现场检测情况</w:t>
      </w:r>
      <w:r>
        <w:rPr>
          <w:rFonts w:hint="default" w:ascii="Times New Roman" w:hAnsi="Times New Roman" w:cs="Times New Roman"/>
          <w:sz w:val="24"/>
          <w:highlight w:val="none"/>
        </w:rPr>
        <w:t>，</w:t>
      </w:r>
      <w:r>
        <w:rPr>
          <w:rFonts w:hint="default" w:ascii="Times New Roman" w:hAnsi="Times New Roman" w:cs="Times New Roman"/>
          <w:sz w:val="24"/>
          <w:highlight w:val="none"/>
          <w:lang w:val="en-US" w:eastAsia="zh-CN"/>
        </w:rPr>
        <w:t>108家企业收集到风机风量数据，其中3</w:t>
      </w:r>
      <w:r>
        <w:rPr>
          <w:rFonts w:hint="default" w:ascii="Times New Roman" w:hAnsi="Times New Roman" w:cs="Times New Roman"/>
          <w:sz w:val="24"/>
          <w:highlight w:val="none"/>
        </w:rPr>
        <w:t>8%</w:t>
      </w:r>
      <w:r>
        <w:rPr>
          <w:rFonts w:hint="default" w:ascii="Times New Roman" w:hAnsi="Times New Roman" w:cs="Times New Roman"/>
          <w:sz w:val="24"/>
          <w:highlight w:val="none"/>
          <w:lang w:eastAsia="zh-CN"/>
        </w:rPr>
        <w:t>（</w:t>
      </w:r>
      <w:r>
        <w:rPr>
          <w:rFonts w:hint="default" w:ascii="Times New Roman" w:hAnsi="Times New Roman" w:cs="Times New Roman"/>
          <w:sz w:val="24"/>
          <w:highlight w:val="none"/>
          <w:lang w:val="en-US" w:eastAsia="zh-CN"/>
        </w:rPr>
        <w:t>44家</w:t>
      </w:r>
      <w:r>
        <w:rPr>
          <w:rFonts w:hint="default" w:ascii="Times New Roman" w:hAnsi="Times New Roman" w:cs="Times New Roman"/>
          <w:sz w:val="24"/>
          <w:highlight w:val="none"/>
          <w:lang w:eastAsia="zh-CN"/>
        </w:rPr>
        <w:t>）</w:t>
      </w:r>
      <w:r>
        <w:rPr>
          <w:rFonts w:hint="default" w:ascii="Times New Roman" w:hAnsi="Times New Roman" w:cs="Times New Roman"/>
          <w:sz w:val="24"/>
          <w:highlight w:val="none"/>
        </w:rPr>
        <w:t>的企业风量不足1万m</w:t>
      </w:r>
      <w:r>
        <w:rPr>
          <w:rFonts w:hint="default" w:ascii="Times New Roman" w:hAnsi="Times New Roman" w:cs="Times New Roman"/>
          <w:sz w:val="24"/>
          <w:highlight w:val="none"/>
          <w:vertAlign w:val="superscript"/>
        </w:rPr>
        <w:t>3</w:t>
      </w:r>
      <w:r>
        <w:rPr>
          <w:rFonts w:hint="default" w:ascii="Times New Roman" w:hAnsi="Times New Roman" w:cs="Times New Roman"/>
          <w:sz w:val="24"/>
          <w:highlight w:val="none"/>
        </w:rPr>
        <w:t>（</w:t>
      </w:r>
      <w:r>
        <w:rPr>
          <w:rFonts w:hint="default" w:ascii="Times New Roman" w:hAnsi="Times New Roman" w:cs="Times New Roman"/>
          <w:sz w:val="24"/>
          <w:highlight w:val="none"/>
          <w:lang w:val="en-US" w:eastAsia="zh-CN"/>
        </w:rPr>
        <w:t>其中8</w:t>
      </w:r>
      <w:r>
        <w:rPr>
          <w:rFonts w:hint="default" w:ascii="Times New Roman" w:hAnsi="Times New Roman" w:cs="Times New Roman"/>
          <w:sz w:val="24"/>
          <w:highlight w:val="none"/>
        </w:rPr>
        <w:t>%</w:t>
      </w:r>
      <w:r>
        <w:rPr>
          <w:rFonts w:hint="default" w:ascii="Times New Roman" w:hAnsi="Times New Roman" w:cs="Times New Roman"/>
          <w:sz w:val="24"/>
          <w:highlight w:val="none"/>
          <w:lang w:eastAsia="zh-CN"/>
        </w:rPr>
        <w:t>（</w:t>
      </w:r>
      <w:r>
        <w:rPr>
          <w:rFonts w:hint="default" w:ascii="Times New Roman" w:hAnsi="Times New Roman" w:cs="Times New Roman"/>
          <w:sz w:val="24"/>
          <w:highlight w:val="none"/>
          <w:lang w:val="en-US" w:eastAsia="zh-CN"/>
        </w:rPr>
        <w:t>9家</w:t>
      </w:r>
      <w:r>
        <w:rPr>
          <w:rFonts w:hint="default" w:ascii="Times New Roman" w:hAnsi="Times New Roman" w:cs="Times New Roman"/>
          <w:sz w:val="24"/>
          <w:highlight w:val="none"/>
          <w:lang w:eastAsia="zh-CN"/>
        </w:rPr>
        <w:t>）</w:t>
      </w:r>
      <w:r>
        <w:rPr>
          <w:rFonts w:hint="default" w:ascii="Times New Roman" w:hAnsi="Times New Roman" w:cs="Times New Roman"/>
          <w:sz w:val="24"/>
          <w:highlight w:val="none"/>
        </w:rPr>
        <w:t>低于5000m</w:t>
      </w:r>
      <w:r>
        <w:rPr>
          <w:rFonts w:hint="default" w:ascii="Times New Roman" w:hAnsi="Times New Roman" w:cs="Times New Roman"/>
          <w:sz w:val="24"/>
          <w:highlight w:val="none"/>
          <w:vertAlign w:val="superscript"/>
        </w:rPr>
        <w:t>3</w:t>
      </w:r>
      <w:r>
        <w:rPr>
          <w:rFonts w:hint="default" w:ascii="Times New Roman" w:hAnsi="Times New Roman" w:cs="Times New Roman"/>
          <w:sz w:val="24"/>
          <w:highlight w:val="none"/>
        </w:rPr>
        <w:t>），</w:t>
      </w:r>
      <w:r>
        <w:rPr>
          <w:rFonts w:hint="default" w:ascii="Times New Roman" w:hAnsi="Times New Roman" w:cs="Times New Roman"/>
          <w:sz w:val="24"/>
          <w:highlight w:val="none"/>
          <w:lang w:val="en-US" w:eastAsia="zh-CN"/>
        </w:rPr>
        <w:t>37</w:t>
      </w:r>
      <w:r>
        <w:rPr>
          <w:rFonts w:hint="default" w:ascii="Times New Roman" w:hAnsi="Times New Roman" w:cs="Times New Roman"/>
          <w:sz w:val="24"/>
          <w:highlight w:val="none"/>
        </w:rPr>
        <w:t>%</w:t>
      </w:r>
      <w:r>
        <w:rPr>
          <w:rFonts w:hint="default" w:ascii="Times New Roman" w:hAnsi="Times New Roman" w:cs="Times New Roman"/>
          <w:sz w:val="24"/>
          <w:highlight w:val="none"/>
          <w:lang w:val="en-US" w:eastAsia="zh-CN"/>
        </w:rPr>
        <w:t>（43家）</w:t>
      </w:r>
      <w:r>
        <w:rPr>
          <w:rFonts w:hint="default" w:ascii="Times New Roman" w:hAnsi="Times New Roman" w:cs="Times New Roman"/>
          <w:sz w:val="24"/>
          <w:highlight w:val="none"/>
        </w:rPr>
        <w:t>的企业风量为1万~2万m</w:t>
      </w:r>
      <w:r>
        <w:rPr>
          <w:rFonts w:hint="default" w:ascii="Times New Roman" w:hAnsi="Times New Roman" w:cs="Times New Roman"/>
          <w:sz w:val="24"/>
          <w:highlight w:val="none"/>
          <w:vertAlign w:val="superscript"/>
        </w:rPr>
        <w:t>3</w:t>
      </w:r>
      <w:r>
        <w:rPr>
          <w:rFonts w:hint="default" w:ascii="Times New Roman" w:hAnsi="Times New Roman" w:cs="Times New Roman"/>
          <w:sz w:val="24"/>
          <w:highlight w:val="none"/>
        </w:rPr>
        <w:t>，仅有</w:t>
      </w:r>
      <w:r>
        <w:rPr>
          <w:rFonts w:hint="default" w:ascii="Times New Roman" w:hAnsi="Times New Roman" w:cs="Times New Roman"/>
          <w:sz w:val="24"/>
          <w:highlight w:val="none"/>
          <w:lang w:val="en-US" w:eastAsia="zh-CN"/>
        </w:rPr>
        <w:t>18</w:t>
      </w:r>
      <w:r>
        <w:rPr>
          <w:rFonts w:hint="default" w:ascii="Times New Roman" w:hAnsi="Times New Roman" w:cs="Times New Roman"/>
          <w:sz w:val="24"/>
          <w:highlight w:val="none"/>
        </w:rPr>
        <w:t>%</w:t>
      </w:r>
      <w:r>
        <w:rPr>
          <w:rFonts w:hint="default" w:ascii="Times New Roman" w:hAnsi="Times New Roman" w:cs="Times New Roman"/>
          <w:sz w:val="24"/>
          <w:highlight w:val="none"/>
          <w:lang w:val="en-US" w:eastAsia="zh-CN"/>
        </w:rPr>
        <w:t>（21家）</w:t>
      </w:r>
      <w:r>
        <w:rPr>
          <w:rFonts w:hint="default" w:ascii="Times New Roman" w:hAnsi="Times New Roman" w:cs="Times New Roman"/>
          <w:sz w:val="24"/>
          <w:highlight w:val="none"/>
        </w:rPr>
        <w:t>的企业风量在2万m</w:t>
      </w:r>
      <w:r>
        <w:rPr>
          <w:rFonts w:hint="default" w:ascii="Times New Roman" w:hAnsi="Times New Roman" w:cs="Times New Roman"/>
          <w:sz w:val="24"/>
          <w:highlight w:val="none"/>
          <w:vertAlign w:val="superscript"/>
        </w:rPr>
        <w:t>3</w:t>
      </w:r>
      <w:r>
        <w:rPr>
          <w:rFonts w:hint="default" w:ascii="Times New Roman" w:hAnsi="Times New Roman" w:cs="Times New Roman"/>
          <w:sz w:val="24"/>
          <w:highlight w:val="none"/>
        </w:rPr>
        <w:t>以上，喷漆废气处理后排放的风量总体偏小；从排气筒高度来看，</w:t>
      </w:r>
      <w:r>
        <w:rPr>
          <w:rFonts w:hint="default" w:ascii="Times New Roman" w:hAnsi="Times New Roman" w:cs="Times New Roman"/>
          <w:sz w:val="24"/>
          <w:highlight w:val="none"/>
          <w:lang w:val="en-US" w:eastAsia="zh-CN"/>
        </w:rPr>
        <w:t>123家企业收集到排气筒高度数据，30</w:t>
      </w:r>
      <w:r>
        <w:rPr>
          <w:rFonts w:hint="default" w:ascii="Times New Roman" w:hAnsi="Times New Roman" w:cs="Times New Roman"/>
          <w:sz w:val="24"/>
          <w:highlight w:val="none"/>
        </w:rPr>
        <w:t>%</w:t>
      </w:r>
      <w:r>
        <w:rPr>
          <w:rFonts w:hint="default" w:ascii="Times New Roman" w:hAnsi="Times New Roman" w:cs="Times New Roman"/>
          <w:sz w:val="24"/>
          <w:highlight w:val="none"/>
          <w:lang w:eastAsia="zh-CN"/>
        </w:rPr>
        <w:t>（</w:t>
      </w:r>
      <w:r>
        <w:rPr>
          <w:rFonts w:hint="default" w:ascii="Times New Roman" w:hAnsi="Times New Roman" w:cs="Times New Roman"/>
          <w:sz w:val="24"/>
          <w:highlight w:val="none"/>
          <w:lang w:val="en-US" w:eastAsia="zh-CN"/>
        </w:rPr>
        <w:t>81家</w:t>
      </w:r>
      <w:r>
        <w:rPr>
          <w:rFonts w:hint="default" w:ascii="Times New Roman" w:hAnsi="Times New Roman" w:cs="Times New Roman"/>
          <w:sz w:val="24"/>
          <w:highlight w:val="none"/>
          <w:lang w:eastAsia="zh-CN"/>
        </w:rPr>
        <w:t>）</w:t>
      </w:r>
      <w:r>
        <w:rPr>
          <w:rFonts w:hint="default" w:ascii="Times New Roman" w:hAnsi="Times New Roman" w:cs="Times New Roman"/>
          <w:sz w:val="24"/>
          <w:highlight w:val="none"/>
        </w:rPr>
        <w:t>以上的</w:t>
      </w:r>
      <w:r>
        <w:rPr>
          <w:rFonts w:hint="default" w:ascii="Times New Roman" w:hAnsi="Times New Roman" w:cs="Times New Roman"/>
          <w:sz w:val="24"/>
          <w:highlight w:val="none"/>
          <w:lang w:eastAsia="zh-CN"/>
        </w:rPr>
        <w:t>汽车维修</w:t>
      </w:r>
      <w:r>
        <w:rPr>
          <w:rFonts w:hint="default" w:ascii="Times New Roman" w:hAnsi="Times New Roman" w:cs="Times New Roman"/>
          <w:sz w:val="24"/>
          <w:highlight w:val="none"/>
        </w:rPr>
        <w:t>企业排气筒低于15m。</w:t>
      </w:r>
    </w:p>
    <w:p w14:paraId="11256599">
      <w:pPr>
        <w:pStyle w:val="2"/>
        <w:keepNext w:val="0"/>
        <w:keepLines w:val="0"/>
        <w:pageBreakBefore w:val="0"/>
        <w:widowControl/>
        <w:kinsoku/>
        <w:wordWrap/>
        <w:autoSpaceDE/>
        <w:autoSpaceDN/>
        <w:bidi w:val="0"/>
        <w:rPr>
          <w:rFonts w:hint="default" w:ascii="Times New Roman" w:hAnsi="Times New Roman" w:cs="Times New Roman"/>
          <w:highlight w:val="none"/>
        </w:rPr>
      </w:pPr>
      <w:bookmarkStart w:id="74" w:name="_Toc10512"/>
      <w:bookmarkStart w:id="75" w:name="_Toc20041"/>
      <w:bookmarkStart w:id="76" w:name="_Toc62645430"/>
      <w:r>
        <w:rPr>
          <w:rFonts w:hint="default" w:ascii="Times New Roman" w:hAnsi="Times New Roman" w:cs="Times New Roman"/>
          <w:highlight w:val="none"/>
        </w:rPr>
        <w:t>标准制定的原则和依据</w:t>
      </w:r>
      <w:bookmarkEnd w:id="74"/>
      <w:bookmarkEnd w:id="75"/>
      <w:bookmarkEnd w:id="76"/>
    </w:p>
    <w:p w14:paraId="166A0403">
      <w:pPr>
        <w:pStyle w:val="3"/>
        <w:keepNext w:val="0"/>
        <w:keepLines w:val="0"/>
        <w:pageBreakBefore w:val="0"/>
        <w:widowControl/>
        <w:kinsoku/>
        <w:wordWrap/>
        <w:autoSpaceDE/>
        <w:autoSpaceDN/>
        <w:bidi w:val="0"/>
        <w:rPr>
          <w:rFonts w:hint="default" w:ascii="Times New Roman" w:hAnsi="Times New Roman" w:cs="Times New Roman"/>
          <w:highlight w:val="none"/>
        </w:rPr>
      </w:pPr>
      <w:bookmarkStart w:id="77" w:name="_Toc22572"/>
      <w:bookmarkStart w:id="78" w:name="_Toc62645431"/>
      <w:bookmarkStart w:id="79" w:name="_Toc3105"/>
      <w:r>
        <w:rPr>
          <w:rFonts w:hint="default" w:ascii="Times New Roman" w:hAnsi="Times New Roman" w:cs="Times New Roman"/>
          <w:highlight w:val="none"/>
        </w:rPr>
        <w:t>标准制定的原则</w:t>
      </w:r>
      <w:bookmarkEnd w:id="77"/>
      <w:bookmarkEnd w:id="78"/>
      <w:bookmarkEnd w:id="79"/>
    </w:p>
    <w:p w14:paraId="2CC111C6">
      <w:pPr>
        <w:keepNext w:val="0"/>
        <w:keepLines w:val="0"/>
        <w:pageBreakBefore w:val="0"/>
        <w:widowControl/>
        <w:kinsoku/>
        <w:wordWrap/>
        <w:autoSpaceDE/>
        <w:autoSpaceDN/>
        <w:bidi w:val="0"/>
        <w:spacing w:line="360" w:lineRule="auto"/>
        <w:ind w:firstLine="480" w:firstLineChars="200"/>
        <w:rPr>
          <w:rFonts w:hint="default" w:ascii="Times New Roman" w:hAnsi="Times New Roman" w:cs="Times New Roman"/>
          <w:color w:val="000000"/>
          <w:sz w:val="24"/>
          <w:szCs w:val="22"/>
          <w:highlight w:val="none"/>
        </w:rPr>
      </w:pPr>
      <w:bookmarkStart w:id="80" w:name="_Toc15486977"/>
      <w:r>
        <w:rPr>
          <w:rFonts w:hint="default" w:ascii="Times New Roman" w:hAnsi="Times New Roman" w:cs="Times New Roman"/>
          <w:color w:val="000000"/>
          <w:sz w:val="24"/>
          <w:szCs w:val="22"/>
          <w:highlight w:val="none"/>
        </w:rPr>
        <w:t>（1）衔接性原则</w:t>
      </w:r>
    </w:p>
    <w:p w14:paraId="05AD336A">
      <w:pPr>
        <w:keepNext w:val="0"/>
        <w:keepLines w:val="0"/>
        <w:pageBreakBefore w:val="0"/>
        <w:widowControl/>
        <w:kinsoku/>
        <w:wordWrap/>
        <w:autoSpaceDE/>
        <w:autoSpaceDN/>
        <w:bidi w:val="0"/>
        <w:spacing w:line="360" w:lineRule="auto"/>
        <w:ind w:firstLine="480" w:firstLineChars="200"/>
        <w:rPr>
          <w:rFonts w:hint="default" w:ascii="Times New Roman" w:hAnsi="Times New Roman" w:cs="Times New Roman"/>
          <w:color w:val="000000"/>
          <w:sz w:val="24"/>
          <w:szCs w:val="22"/>
          <w:highlight w:val="none"/>
        </w:rPr>
      </w:pPr>
      <w:r>
        <w:rPr>
          <w:rFonts w:hint="default" w:ascii="Times New Roman" w:hAnsi="Times New Roman" w:cs="Times New Roman"/>
          <w:color w:val="000000"/>
          <w:sz w:val="24"/>
          <w:szCs w:val="22"/>
          <w:highlight w:val="none"/>
        </w:rPr>
        <w:t>以标准《挥发性有机物无组织排放控制标准》</w:t>
      </w:r>
      <w:r>
        <w:rPr>
          <w:rFonts w:hint="eastAsia" w:cs="Times New Roman"/>
          <w:color w:val="000000"/>
          <w:sz w:val="24"/>
          <w:szCs w:val="22"/>
          <w:highlight w:val="none"/>
          <w:lang w:eastAsia="zh-CN"/>
        </w:rPr>
        <w:t>（</w:t>
      </w:r>
      <w:r>
        <w:rPr>
          <w:rFonts w:hint="default" w:ascii="Times New Roman" w:hAnsi="Times New Roman" w:cs="Times New Roman"/>
          <w:color w:val="000000"/>
          <w:sz w:val="24"/>
          <w:szCs w:val="22"/>
          <w:highlight w:val="none"/>
        </w:rPr>
        <w:t>GB 37822-2019</w:t>
      </w:r>
      <w:r>
        <w:rPr>
          <w:rFonts w:hint="eastAsia" w:cs="Times New Roman"/>
          <w:color w:val="000000"/>
          <w:sz w:val="24"/>
          <w:szCs w:val="22"/>
          <w:highlight w:val="none"/>
          <w:lang w:eastAsia="zh-CN"/>
        </w:rPr>
        <w:t>）</w:t>
      </w:r>
      <w:r>
        <w:rPr>
          <w:rFonts w:hint="default" w:ascii="Times New Roman" w:hAnsi="Times New Roman" w:cs="Times New Roman"/>
          <w:color w:val="000000"/>
          <w:sz w:val="24"/>
          <w:szCs w:val="22"/>
          <w:highlight w:val="none"/>
        </w:rPr>
        <w:t>《</w:t>
      </w:r>
      <w:bookmarkStart w:id="81" w:name="_Hlk120458013"/>
      <w:r>
        <w:rPr>
          <w:rFonts w:hint="default" w:ascii="Times New Roman" w:hAnsi="Times New Roman" w:cs="Times New Roman"/>
          <w:color w:val="000000"/>
          <w:sz w:val="24"/>
          <w:szCs w:val="22"/>
          <w:highlight w:val="none"/>
        </w:rPr>
        <w:t>车辆涂料中有害物质限量</w:t>
      </w:r>
      <w:bookmarkEnd w:id="81"/>
      <w:r>
        <w:rPr>
          <w:rFonts w:hint="default" w:ascii="Times New Roman" w:hAnsi="Times New Roman" w:cs="Times New Roman"/>
          <w:color w:val="000000"/>
          <w:sz w:val="24"/>
          <w:szCs w:val="22"/>
          <w:highlight w:val="none"/>
        </w:rPr>
        <w:t>》（GB 24409</w:t>
      </w:r>
      <w:r>
        <w:rPr>
          <w:rFonts w:hint="default" w:ascii="Times New Roman" w:hAnsi="Times New Roman" w:cs="Times New Roman"/>
          <w:color w:val="000000"/>
          <w:sz w:val="24"/>
          <w:szCs w:val="22"/>
          <w:highlight w:val="none"/>
          <w:lang w:val="en-US" w:eastAsia="zh-CN"/>
        </w:rPr>
        <w:t>-</w:t>
      </w:r>
      <w:r>
        <w:rPr>
          <w:rFonts w:hint="default" w:ascii="Times New Roman" w:hAnsi="Times New Roman" w:cs="Times New Roman"/>
          <w:color w:val="000000"/>
          <w:sz w:val="24"/>
          <w:szCs w:val="22"/>
          <w:highlight w:val="none"/>
        </w:rPr>
        <w:t>2020）</w:t>
      </w:r>
      <w:r>
        <w:rPr>
          <w:rFonts w:hint="default" w:ascii="Times New Roman" w:hAnsi="Times New Roman" w:cs="Times New Roman"/>
          <w:color w:val="000000"/>
          <w:sz w:val="24"/>
          <w:szCs w:val="22"/>
          <w:highlight w:val="none"/>
          <w:lang w:eastAsia="zh-CN"/>
        </w:rPr>
        <w:t>《低挥发性有机化合物含量涂料产品技术要求》（GB</w:t>
      </w:r>
      <w:r>
        <w:rPr>
          <w:rFonts w:hint="default" w:ascii="Times New Roman" w:hAnsi="Times New Roman" w:cs="Times New Roman"/>
          <w:color w:val="000000"/>
          <w:sz w:val="24"/>
          <w:szCs w:val="22"/>
          <w:highlight w:val="none"/>
          <w:lang w:val="en-US" w:eastAsia="zh-CN"/>
        </w:rPr>
        <w:t>/</w:t>
      </w:r>
      <w:r>
        <w:rPr>
          <w:rFonts w:hint="default" w:ascii="Times New Roman" w:hAnsi="Times New Roman" w:cs="Times New Roman"/>
          <w:color w:val="000000"/>
          <w:sz w:val="24"/>
          <w:szCs w:val="22"/>
          <w:highlight w:val="none"/>
          <w:lang w:eastAsia="zh-CN"/>
        </w:rPr>
        <w:t>T 38597-2020）</w:t>
      </w:r>
      <w:r>
        <w:rPr>
          <w:rFonts w:hint="default" w:ascii="Times New Roman" w:hAnsi="Times New Roman" w:cs="Times New Roman"/>
          <w:color w:val="000000"/>
          <w:sz w:val="24"/>
          <w:szCs w:val="22"/>
          <w:highlight w:val="none"/>
        </w:rPr>
        <w:t>《四川省固定污染源大气挥发性有机物排放标准》（DB 51/2377-20</w:t>
      </w:r>
      <w:r>
        <w:rPr>
          <w:rFonts w:hint="default" w:ascii="Times New Roman" w:hAnsi="Times New Roman" w:cs="Times New Roman"/>
          <w:color w:val="000000"/>
          <w:sz w:val="24"/>
          <w:szCs w:val="22"/>
          <w:highlight w:val="none"/>
          <w:lang w:val="en-US" w:eastAsia="zh-CN"/>
        </w:rPr>
        <w:t>17</w:t>
      </w:r>
      <w:r>
        <w:rPr>
          <w:rFonts w:hint="default" w:ascii="Times New Roman" w:hAnsi="Times New Roman" w:cs="Times New Roman"/>
          <w:color w:val="000000"/>
          <w:sz w:val="24"/>
          <w:szCs w:val="22"/>
          <w:highlight w:val="none"/>
        </w:rPr>
        <w:t>）和《大气污染综合排放标准》（GB16297-1996）</w:t>
      </w:r>
      <w:r>
        <w:rPr>
          <w:rFonts w:hint="default" w:ascii="Times New Roman" w:hAnsi="Times New Roman" w:cs="Times New Roman"/>
          <w:color w:val="000000"/>
          <w:sz w:val="24"/>
          <w:szCs w:val="22"/>
          <w:highlight w:val="none"/>
          <w:lang w:val="en-US" w:eastAsia="zh-CN"/>
        </w:rPr>
        <w:t>以及正在修订的</w:t>
      </w:r>
      <w:r>
        <w:rPr>
          <w:rFonts w:hint="default" w:ascii="Times New Roman" w:hAnsi="Times New Roman" w:cs="Times New Roman"/>
          <w:color w:val="000000"/>
          <w:sz w:val="24"/>
          <w:szCs w:val="22"/>
          <w:highlight w:val="none"/>
        </w:rPr>
        <w:t>《四川省固定污染源大气挥发性有机物排放标准》（DB 51/2377-20</w:t>
      </w:r>
      <w:r>
        <w:rPr>
          <w:rFonts w:hint="default" w:ascii="Times New Roman" w:hAnsi="Times New Roman" w:cs="Times New Roman"/>
          <w:color w:val="000000"/>
          <w:sz w:val="24"/>
          <w:szCs w:val="22"/>
          <w:highlight w:val="none"/>
          <w:lang w:val="en-US" w:eastAsia="zh-CN"/>
        </w:rPr>
        <w:t>2X</w:t>
      </w:r>
      <w:r>
        <w:rPr>
          <w:rFonts w:hint="default" w:ascii="Times New Roman" w:hAnsi="Times New Roman" w:cs="Times New Roman"/>
          <w:color w:val="000000"/>
          <w:sz w:val="24"/>
          <w:szCs w:val="22"/>
          <w:highlight w:val="none"/>
        </w:rPr>
        <w:t>）</w:t>
      </w:r>
      <w:r>
        <w:rPr>
          <w:rFonts w:hint="default" w:ascii="Times New Roman" w:hAnsi="Times New Roman" w:cs="Times New Roman"/>
          <w:color w:val="000000"/>
          <w:sz w:val="24"/>
          <w:szCs w:val="22"/>
          <w:highlight w:val="none"/>
          <w:lang w:val="en-US" w:eastAsia="zh-CN"/>
        </w:rPr>
        <w:t>修订稿</w:t>
      </w:r>
      <w:r>
        <w:rPr>
          <w:rFonts w:hint="default" w:ascii="Times New Roman" w:hAnsi="Times New Roman" w:cs="Times New Roman"/>
          <w:color w:val="000000"/>
          <w:sz w:val="24"/>
          <w:szCs w:val="22"/>
          <w:highlight w:val="none"/>
        </w:rPr>
        <w:t>为基础，结合国家和地方相关法律法规，制定污染物排放限值，与国家标准相当或严于国家标准。</w:t>
      </w:r>
    </w:p>
    <w:p w14:paraId="26117427">
      <w:pPr>
        <w:keepNext w:val="0"/>
        <w:keepLines w:val="0"/>
        <w:pageBreakBefore w:val="0"/>
        <w:widowControl/>
        <w:kinsoku/>
        <w:wordWrap/>
        <w:autoSpaceDE/>
        <w:autoSpaceDN/>
        <w:bidi w:val="0"/>
        <w:spacing w:line="360" w:lineRule="auto"/>
        <w:ind w:firstLine="480" w:firstLineChars="200"/>
        <w:rPr>
          <w:rFonts w:hint="default" w:ascii="Times New Roman" w:hAnsi="Times New Roman" w:cs="Times New Roman"/>
          <w:color w:val="000000"/>
          <w:sz w:val="24"/>
          <w:szCs w:val="22"/>
          <w:highlight w:val="none"/>
        </w:rPr>
      </w:pPr>
      <w:r>
        <w:rPr>
          <w:rFonts w:hint="default" w:ascii="Times New Roman" w:hAnsi="Times New Roman" w:cs="Times New Roman"/>
          <w:color w:val="000000"/>
          <w:sz w:val="24"/>
          <w:szCs w:val="22"/>
          <w:highlight w:val="none"/>
        </w:rPr>
        <w:t>（2）先进性原则</w:t>
      </w:r>
    </w:p>
    <w:p w14:paraId="61173617">
      <w:pPr>
        <w:keepNext w:val="0"/>
        <w:keepLines w:val="0"/>
        <w:pageBreakBefore w:val="0"/>
        <w:widowControl/>
        <w:kinsoku/>
        <w:wordWrap/>
        <w:autoSpaceDE/>
        <w:autoSpaceDN/>
        <w:bidi w:val="0"/>
        <w:spacing w:line="360" w:lineRule="auto"/>
        <w:ind w:firstLine="480" w:firstLineChars="200"/>
        <w:rPr>
          <w:rFonts w:hint="default" w:ascii="Times New Roman" w:hAnsi="Times New Roman" w:cs="Times New Roman"/>
          <w:color w:val="000000"/>
          <w:sz w:val="24"/>
          <w:szCs w:val="22"/>
          <w:highlight w:val="none"/>
        </w:rPr>
      </w:pPr>
      <w:r>
        <w:rPr>
          <w:rFonts w:hint="default" w:ascii="Times New Roman" w:hAnsi="Times New Roman" w:cs="Times New Roman"/>
          <w:color w:val="000000"/>
          <w:sz w:val="24"/>
          <w:szCs w:val="22"/>
          <w:highlight w:val="none"/>
        </w:rPr>
        <w:t>研究国内外发达地区汽车维修行业污染控制技术发展状况，结合国内工艺和技术发展现状，基于本地实际情况，以促进环保技术进步为原则，制定此标准。</w:t>
      </w:r>
    </w:p>
    <w:p w14:paraId="349BA318">
      <w:pPr>
        <w:keepNext w:val="0"/>
        <w:keepLines w:val="0"/>
        <w:pageBreakBefore w:val="0"/>
        <w:widowControl/>
        <w:kinsoku/>
        <w:wordWrap/>
        <w:autoSpaceDE/>
        <w:autoSpaceDN/>
        <w:bidi w:val="0"/>
        <w:spacing w:line="360" w:lineRule="auto"/>
        <w:ind w:firstLine="480" w:firstLineChars="200"/>
        <w:rPr>
          <w:rFonts w:hint="default" w:ascii="Times New Roman" w:hAnsi="Times New Roman" w:cs="Times New Roman"/>
          <w:color w:val="000000"/>
          <w:sz w:val="24"/>
          <w:szCs w:val="22"/>
          <w:highlight w:val="none"/>
        </w:rPr>
      </w:pPr>
      <w:r>
        <w:rPr>
          <w:rFonts w:hint="default" w:ascii="Times New Roman" w:hAnsi="Times New Roman" w:cs="Times New Roman"/>
          <w:color w:val="000000"/>
          <w:sz w:val="24"/>
          <w:szCs w:val="22"/>
          <w:highlight w:val="none"/>
        </w:rPr>
        <w:t>（3）可行性原则</w:t>
      </w:r>
    </w:p>
    <w:p w14:paraId="7EDAD232">
      <w:pPr>
        <w:keepNext w:val="0"/>
        <w:keepLines w:val="0"/>
        <w:pageBreakBefore w:val="0"/>
        <w:widowControl/>
        <w:kinsoku/>
        <w:wordWrap/>
        <w:autoSpaceDE/>
        <w:autoSpaceDN/>
        <w:bidi w:val="0"/>
        <w:spacing w:line="360" w:lineRule="auto"/>
        <w:ind w:firstLine="480" w:firstLineChars="200"/>
        <w:rPr>
          <w:rFonts w:hint="default" w:ascii="Times New Roman" w:hAnsi="Times New Roman" w:cs="Times New Roman"/>
          <w:color w:val="000000"/>
          <w:sz w:val="24"/>
          <w:szCs w:val="22"/>
          <w:highlight w:val="none"/>
        </w:rPr>
      </w:pPr>
      <w:r>
        <w:rPr>
          <w:rFonts w:hint="default" w:ascii="Times New Roman" w:hAnsi="Times New Roman" w:cs="Times New Roman"/>
          <w:color w:val="000000"/>
          <w:sz w:val="24"/>
          <w:szCs w:val="22"/>
          <w:highlight w:val="none"/>
        </w:rPr>
        <w:t>结合本地区污染水平和治理能力，充分衡量客观科学、技术可行、经济合理、操作可行四方面，制定排放标准，促进经济与环境协调发展。</w:t>
      </w:r>
    </w:p>
    <w:p w14:paraId="3D383B84">
      <w:pPr>
        <w:pStyle w:val="3"/>
        <w:keepNext w:val="0"/>
        <w:keepLines w:val="0"/>
        <w:pageBreakBefore w:val="0"/>
        <w:widowControl/>
        <w:kinsoku/>
        <w:wordWrap/>
        <w:autoSpaceDE/>
        <w:autoSpaceDN/>
        <w:bidi w:val="0"/>
        <w:rPr>
          <w:rFonts w:hint="default" w:ascii="Times New Roman" w:hAnsi="Times New Roman" w:cs="Times New Roman"/>
          <w:highlight w:val="none"/>
        </w:rPr>
      </w:pPr>
      <w:bookmarkStart w:id="82" w:name="_Toc62645432"/>
      <w:bookmarkStart w:id="83" w:name="_Toc11988"/>
      <w:bookmarkStart w:id="84" w:name="_Toc2492"/>
      <w:r>
        <w:rPr>
          <w:rFonts w:hint="default" w:ascii="Times New Roman" w:hAnsi="Times New Roman" w:cs="Times New Roman"/>
          <w:highlight w:val="none"/>
        </w:rPr>
        <w:t>标准制定的依据</w:t>
      </w:r>
      <w:bookmarkEnd w:id="80"/>
      <w:bookmarkEnd w:id="82"/>
      <w:bookmarkEnd w:id="83"/>
      <w:bookmarkEnd w:id="84"/>
      <w:r>
        <w:rPr>
          <w:rFonts w:hint="default" w:ascii="Times New Roman" w:hAnsi="Times New Roman" w:cs="Times New Roman"/>
          <w:highlight w:val="none"/>
        </w:rPr>
        <w:tab/>
      </w:r>
    </w:p>
    <w:p w14:paraId="424CD495">
      <w:pPr>
        <w:keepNext w:val="0"/>
        <w:keepLines w:val="0"/>
        <w:pageBreakBefore w:val="0"/>
        <w:widowControl/>
        <w:kinsoku/>
        <w:wordWrap/>
        <w:autoSpaceDE/>
        <w:autoSpaceDN/>
        <w:bidi w:val="0"/>
        <w:spacing w:line="360" w:lineRule="auto"/>
        <w:ind w:firstLine="480" w:firstLineChars="200"/>
        <w:rPr>
          <w:rFonts w:hint="default" w:ascii="Times New Roman" w:hAnsi="Times New Roman" w:cs="Times New Roman"/>
          <w:color w:val="000000"/>
          <w:sz w:val="24"/>
          <w:szCs w:val="22"/>
          <w:highlight w:val="none"/>
        </w:rPr>
      </w:pPr>
      <w:r>
        <w:rPr>
          <w:rFonts w:hint="default" w:ascii="Times New Roman" w:hAnsi="Times New Roman" w:cs="Times New Roman"/>
          <w:color w:val="000000"/>
          <w:sz w:val="24"/>
          <w:szCs w:val="22"/>
          <w:highlight w:val="none"/>
        </w:rPr>
        <w:t>标准制定符合现行法律、法规和标准体系的要求，主要依据为：</w:t>
      </w:r>
      <w:r>
        <w:rPr>
          <w:rFonts w:hint="default" w:ascii="Times New Roman" w:hAnsi="Times New Roman" w:cs="Times New Roman"/>
          <w:color w:val="000000"/>
          <w:sz w:val="24"/>
          <w:szCs w:val="22"/>
          <w:highlight w:val="none"/>
          <w:lang w:eastAsia="zh-CN"/>
        </w:rPr>
        <w:t>《</w:t>
      </w:r>
      <w:r>
        <w:rPr>
          <w:rFonts w:hint="default" w:ascii="Times New Roman" w:hAnsi="Times New Roman" w:cs="Times New Roman"/>
          <w:color w:val="000000"/>
          <w:kern w:val="0"/>
          <w:sz w:val="24"/>
          <w:szCs w:val="22"/>
          <w:highlight w:val="none"/>
        </w:rPr>
        <w:t>中华人民共和国环境保护法</w:t>
      </w:r>
      <w:r>
        <w:rPr>
          <w:rFonts w:hint="default" w:ascii="Times New Roman" w:hAnsi="Times New Roman" w:cs="Times New Roman"/>
          <w:color w:val="000000"/>
          <w:sz w:val="24"/>
          <w:szCs w:val="22"/>
          <w:highlight w:val="none"/>
          <w:lang w:eastAsia="zh-CN"/>
        </w:rPr>
        <w:t>》</w:t>
      </w:r>
      <w:r>
        <w:rPr>
          <w:rFonts w:hint="default" w:ascii="Times New Roman" w:hAnsi="Times New Roman" w:cs="Times New Roman"/>
          <w:color w:val="000000"/>
          <w:kern w:val="0"/>
          <w:sz w:val="24"/>
          <w:szCs w:val="22"/>
          <w:highlight w:val="none"/>
          <w:lang w:eastAsia="zh-CN"/>
        </w:rPr>
        <w:t>《</w:t>
      </w:r>
      <w:r>
        <w:rPr>
          <w:rFonts w:hint="default" w:ascii="Times New Roman" w:hAnsi="Times New Roman" w:cs="Times New Roman"/>
          <w:color w:val="000000"/>
          <w:kern w:val="0"/>
          <w:sz w:val="24"/>
          <w:szCs w:val="22"/>
          <w:highlight w:val="none"/>
        </w:rPr>
        <w:t>中华人民共和国大气污染防治法</w:t>
      </w:r>
      <w:r>
        <w:rPr>
          <w:rFonts w:hint="default" w:ascii="Times New Roman" w:hAnsi="Times New Roman" w:cs="Times New Roman"/>
          <w:color w:val="000000"/>
          <w:kern w:val="0"/>
          <w:sz w:val="24"/>
          <w:szCs w:val="22"/>
          <w:highlight w:val="none"/>
          <w:lang w:eastAsia="zh-CN"/>
        </w:rPr>
        <w:t>》《</w:t>
      </w:r>
      <w:r>
        <w:rPr>
          <w:rFonts w:hint="default" w:ascii="Times New Roman" w:hAnsi="Times New Roman" w:cs="Times New Roman"/>
          <w:color w:val="000000"/>
          <w:kern w:val="0"/>
          <w:sz w:val="24"/>
          <w:szCs w:val="22"/>
          <w:highlight w:val="none"/>
        </w:rPr>
        <w:t>挥发性有机物无组织排放控制标准</w:t>
      </w:r>
      <w:r>
        <w:rPr>
          <w:rFonts w:hint="default" w:ascii="Times New Roman" w:hAnsi="Times New Roman" w:cs="Times New Roman"/>
          <w:color w:val="000000"/>
          <w:kern w:val="0"/>
          <w:sz w:val="24"/>
          <w:szCs w:val="22"/>
          <w:highlight w:val="none"/>
          <w:lang w:eastAsia="zh-CN"/>
        </w:rPr>
        <w:t>》（</w:t>
      </w:r>
      <w:r>
        <w:rPr>
          <w:rFonts w:hint="default" w:ascii="Times New Roman" w:hAnsi="Times New Roman" w:cs="Times New Roman"/>
          <w:color w:val="000000"/>
          <w:kern w:val="0"/>
          <w:sz w:val="24"/>
          <w:szCs w:val="22"/>
          <w:highlight w:val="none"/>
          <w:lang w:val="en-US" w:eastAsia="zh-CN"/>
        </w:rPr>
        <w:t>GB 37822</w:t>
      </w:r>
      <w:r>
        <w:rPr>
          <w:rFonts w:hint="eastAsia" w:ascii="Times New Roman" w:hAnsi="Times New Roman" w:cs="Times New Roman"/>
          <w:color w:val="000000"/>
          <w:kern w:val="0"/>
          <w:sz w:val="24"/>
          <w:szCs w:val="22"/>
          <w:highlight w:val="none"/>
          <w:lang w:val="en-US" w:eastAsia="zh-CN"/>
        </w:rPr>
        <w:t>—</w:t>
      </w:r>
      <w:r>
        <w:rPr>
          <w:rFonts w:hint="default" w:ascii="Times New Roman" w:hAnsi="Times New Roman" w:cs="Times New Roman"/>
          <w:color w:val="000000"/>
          <w:kern w:val="0"/>
          <w:sz w:val="24"/>
          <w:szCs w:val="22"/>
          <w:highlight w:val="none"/>
          <w:lang w:val="en-US" w:eastAsia="zh-CN"/>
        </w:rPr>
        <w:t>2019</w:t>
      </w:r>
      <w:r>
        <w:rPr>
          <w:rFonts w:hint="default" w:ascii="Times New Roman" w:hAnsi="Times New Roman" w:cs="Times New Roman"/>
          <w:color w:val="000000"/>
          <w:kern w:val="0"/>
          <w:sz w:val="24"/>
          <w:szCs w:val="22"/>
          <w:highlight w:val="none"/>
          <w:lang w:eastAsia="zh-CN"/>
        </w:rPr>
        <w:t>）</w:t>
      </w:r>
      <w:r>
        <w:rPr>
          <w:rFonts w:hint="default" w:ascii="Times New Roman" w:hAnsi="Times New Roman" w:cs="Times New Roman"/>
          <w:color w:val="000000"/>
          <w:sz w:val="24"/>
          <w:szCs w:val="22"/>
          <w:highlight w:val="none"/>
        </w:rPr>
        <w:t>《车辆涂料中有害物质限量》（GB 24409</w:t>
      </w:r>
      <w:r>
        <w:rPr>
          <w:rFonts w:hint="eastAsia" w:ascii="Times New Roman" w:hAnsi="Times New Roman" w:cs="Times New Roman"/>
          <w:color w:val="000000"/>
          <w:kern w:val="0"/>
          <w:sz w:val="24"/>
          <w:szCs w:val="22"/>
          <w:highlight w:val="none"/>
          <w:lang w:val="en-US" w:eastAsia="zh-CN"/>
        </w:rPr>
        <w:t>—</w:t>
      </w:r>
      <w:r>
        <w:rPr>
          <w:rFonts w:hint="default" w:ascii="Times New Roman" w:hAnsi="Times New Roman" w:cs="Times New Roman"/>
          <w:color w:val="000000"/>
          <w:sz w:val="24"/>
          <w:szCs w:val="22"/>
          <w:highlight w:val="none"/>
        </w:rPr>
        <w:t>2020）</w:t>
      </w:r>
      <w:r>
        <w:rPr>
          <w:rFonts w:hint="default" w:ascii="Times New Roman" w:hAnsi="Times New Roman" w:cs="Times New Roman"/>
          <w:color w:val="000000"/>
          <w:sz w:val="24"/>
          <w:szCs w:val="22"/>
          <w:highlight w:val="none"/>
          <w:lang w:eastAsia="zh-CN"/>
        </w:rPr>
        <w:t>、《低挥发性有机化合物含量涂料产品技术要求》（GB</w:t>
      </w:r>
      <w:r>
        <w:rPr>
          <w:rFonts w:hint="default" w:ascii="Times New Roman" w:hAnsi="Times New Roman" w:cs="Times New Roman"/>
          <w:color w:val="000000"/>
          <w:sz w:val="24"/>
          <w:szCs w:val="22"/>
          <w:highlight w:val="none"/>
          <w:lang w:val="en-US" w:eastAsia="zh-CN"/>
        </w:rPr>
        <w:t>/</w:t>
      </w:r>
      <w:r>
        <w:rPr>
          <w:rFonts w:hint="default" w:ascii="Times New Roman" w:hAnsi="Times New Roman" w:cs="Times New Roman"/>
          <w:color w:val="000000"/>
          <w:sz w:val="24"/>
          <w:szCs w:val="22"/>
          <w:highlight w:val="none"/>
          <w:lang w:eastAsia="zh-CN"/>
        </w:rPr>
        <w:t>T 38597</w:t>
      </w:r>
      <w:r>
        <w:rPr>
          <w:rFonts w:hint="eastAsia" w:ascii="Times New Roman" w:hAnsi="Times New Roman" w:cs="Times New Roman"/>
          <w:color w:val="000000"/>
          <w:kern w:val="0"/>
          <w:sz w:val="24"/>
          <w:szCs w:val="22"/>
          <w:highlight w:val="none"/>
          <w:lang w:val="en-US" w:eastAsia="zh-CN"/>
        </w:rPr>
        <w:t>—</w:t>
      </w:r>
      <w:r>
        <w:rPr>
          <w:rFonts w:hint="default" w:ascii="Times New Roman" w:hAnsi="Times New Roman" w:cs="Times New Roman"/>
          <w:color w:val="000000"/>
          <w:sz w:val="24"/>
          <w:szCs w:val="22"/>
          <w:highlight w:val="none"/>
          <w:lang w:eastAsia="zh-CN"/>
        </w:rPr>
        <w:t>2020）</w:t>
      </w:r>
      <w:r>
        <w:rPr>
          <w:rFonts w:hint="default" w:ascii="Times New Roman" w:hAnsi="Times New Roman" w:cs="Times New Roman"/>
          <w:color w:val="000000"/>
          <w:kern w:val="0"/>
          <w:sz w:val="24"/>
          <w:szCs w:val="22"/>
          <w:highlight w:val="none"/>
        </w:rPr>
        <w:t>等。</w:t>
      </w:r>
    </w:p>
    <w:p w14:paraId="7CD362A9">
      <w:pPr>
        <w:pStyle w:val="2"/>
        <w:keepNext/>
        <w:keepLines w:val="0"/>
        <w:pageBreakBefore w:val="0"/>
        <w:widowControl w:val="0"/>
        <w:kinsoku/>
        <w:wordWrap/>
        <w:autoSpaceDE/>
        <w:autoSpaceDN/>
        <w:bidi w:val="0"/>
        <w:rPr>
          <w:rFonts w:hint="default" w:ascii="Times New Roman" w:hAnsi="Times New Roman" w:cs="Times New Roman"/>
          <w:highlight w:val="none"/>
        </w:rPr>
      </w:pPr>
      <w:bookmarkStart w:id="85" w:name="_Toc9404"/>
      <w:bookmarkStart w:id="86" w:name="_Toc30377"/>
      <w:bookmarkStart w:id="87" w:name="_Toc15528"/>
      <w:bookmarkStart w:id="88" w:name="_Toc16464"/>
      <w:bookmarkStart w:id="89" w:name="_Toc62645433"/>
      <w:r>
        <w:rPr>
          <w:rFonts w:hint="default" w:ascii="Times New Roman" w:hAnsi="Times New Roman" w:cs="Times New Roman"/>
          <w:highlight w:val="none"/>
        </w:rPr>
        <w:t>标准主要技术内容</w:t>
      </w:r>
      <w:bookmarkEnd w:id="85"/>
      <w:bookmarkEnd w:id="86"/>
    </w:p>
    <w:p w14:paraId="7DBB0970">
      <w:pPr>
        <w:pStyle w:val="3"/>
        <w:keepNext/>
        <w:keepLines w:val="0"/>
        <w:pageBreakBefore w:val="0"/>
        <w:widowControl w:val="0"/>
        <w:kinsoku/>
        <w:wordWrap/>
        <w:autoSpaceDE/>
        <w:autoSpaceDN/>
        <w:bidi w:val="0"/>
        <w:ind w:left="567" w:hanging="567"/>
        <w:rPr>
          <w:rFonts w:hint="default" w:ascii="Times New Roman" w:hAnsi="Times New Roman" w:cs="Times New Roman"/>
          <w:highlight w:val="none"/>
        </w:rPr>
      </w:pPr>
      <w:bookmarkStart w:id="90" w:name="_Toc9197"/>
      <w:bookmarkStart w:id="91" w:name="_Toc62645435"/>
      <w:bookmarkStart w:id="92" w:name="_Toc1850"/>
      <w:bookmarkStart w:id="93" w:name="_Toc23678"/>
      <w:r>
        <w:rPr>
          <w:rFonts w:hint="default" w:ascii="Times New Roman" w:hAnsi="Times New Roman" w:cs="Times New Roman"/>
          <w:highlight w:val="none"/>
        </w:rPr>
        <w:t>标准内容框架</w:t>
      </w:r>
      <w:bookmarkEnd w:id="90"/>
      <w:bookmarkEnd w:id="91"/>
      <w:bookmarkEnd w:id="92"/>
      <w:bookmarkEnd w:id="93"/>
    </w:p>
    <w:p w14:paraId="1D338B03">
      <w:pPr>
        <w:keepNext/>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 w:val="0"/>
          <w:bCs w:val="0"/>
          <w:sz w:val="24"/>
          <w:szCs w:val="22"/>
          <w:highlight w:val="none"/>
          <w:lang w:val="en-US" w:eastAsia="zh-CN"/>
        </w:rPr>
      </w:pPr>
      <w:r>
        <w:rPr>
          <w:rFonts w:hint="default" w:ascii="Times New Roman" w:hAnsi="Times New Roman" w:cs="Times New Roman"/>
          <w:sz w:val="24"/>
          <w:szCs w:val="22"/>
          <w:highlight w:val="none"/>
        </w:rPr>
        <w:t>本</w:t>
      </w:r>
      <w:r>
        <w:rPr>
          <w:rFonts w:hint="eastAsia" w:cs="Times New Roman"/>
          <w:sz w:val="24"/>
          <w:szCs w:val="22"/>
          <w:highlight w:val="none"/>
          <w:lang w:eastAsia="zh-CN"/>
        </w:rPr>
        <w:t>文件</w:t>
      </w:r>
      <w:r>
        <w:rPr>
          <w:rFonts w:hint="default" w:ascii="Times New Roman" w:hAnsi="Times New Roman" w:cs="Times New Roman"/>
          <w:sz w:val="24"/>
          <w:szCs w:val="22"/>
          <w:highlight w:val="none"/>
        </w:rPr>
        <w:t>正文由</w:t>
      </w:r>
      <w:r>
        <w:rPr>
          <w:rFonts w:hint="default" w:ascii="Times New Roman" w:hAnsi="Times New Roman" w:cs="Times New Roman"/>
          <w:sz w:val="24"/>
          <w:szCs w:val="22"/>
          <w:highlight w:val="none"/>
          <w:lang w:val="en-US" w:eastAsia="zh-CN"/>
        </w:rPr>
        <w:t>1</w:t>
      </w:r>
      <w:r>
        <w:rPr>
          <w:rFonts w:hint="eastAsia" w:cs="Times New Roman"/>
          <w:sz w:val="24"/>
          <w:szCs w:val="22"/>
          <w:highlight w:val="none"/>
          <w:lang w:val="en-US" w:eastAsia="zh-CN"/>
        </w:rPr>
        <w:t>1</w:t>
      </w:r>
      <w:r>
        <w:rPr>
          <w:rFonts w:hint="default" w:ascii="Times New Roman" w:hAnsi="Times New Roman" w:cs="Times New Roman"/>
          <w:sz w:val="24"/>
          <w:szCs w:val="22"/>
          <w:highlight w:val="none"/>
        </w:rPr>
        <w:t>部分组成，包括：适用范围、规范性引用文件、术语和定义、</w:t>
      </w:r>
      <w:r>
        <w:rPr>
          <w:rFonts w:hint="eastAsia" w:cs="Times New Roman"/>
          <w:sz w:val="24"/>
          <w:szCs w:val="22"/>
          <w:highlight w:val="none"/>
          <w:lang w:val="en-US" w:eastAsia="zh-CN"/>
        </w:rPr>
        <w:t>标准执行时间、</w:t>
      </w:r>
      <w:r>
        <w:rPr>
          <w:rFonts w:hint="default" w:ascii="Times New Roman" w:hAnsi="Times New Roman" w:cs="Times New Roman"/>
          <w:sz w:val="24"/>
          <w:szCs w:val="22"/>
          <w:highlight w:val="none"/>
        </w:rPr>
        <w:t>含</w:t>
      </w:r>
      <w:r>
        <w:rPr>
          <w:rFonts w:hint="default" w:ascii="Times New Roman" w:hAnsi="Times New Roman" w:cs="Times New Roman"/>
          <w:b w:val="0"/>
          <w:bCs w:val="0"/>
          <w:sz w:val="24"/>
          <w:szCs w:val="22"/>
          <w:highlight w:val="none"/>
        </w:rPr>
        <w:t>VOCs原辅材料要求</w:t>
      </w:r>
      <w:r>
        <w:rPr>
          <w:rFonts w:hint="default" w:ascii="Times New Roman" w:hAnsi="Times New Roman" w:cs="Times New Roman"/>
          <w:b w:val="0"/>
          <w:bCs w:val="0"/>
          <w:sz w:val="24"/>
          <w:szCs w:val="22"/>
          <w:highlight w:val="none"/>
          <w:lang w:eastAsia="zh-CN"/>
        </w:rPr>
        <w:t>、</w:t>
      </w:r>
      <w:r>
        <w:rPr>
          <w:rFonts w:hint="default" w:ascii="Times New Roman" w:hAnsi="Times New Roman" w:cs="Times New Roman"/>
          <w:b w:val="0"/>
          <w:bCs w:val="0"/>
          <w:sz w:val="24"/>
          <w:szCs w:val="22"/>
          <w:highlight w:val="none"/>
          <w:lang w:val="en-US" w:eastAsia="zh-CN"/>
        </w:rPr>
        <w:t>有组织排放控制要求、无组织排放控制要求、企业边界</w:t>
      </w:r>
      <w:r>
        <w:rPr>
          <w:rFonts w:hint="eastAsia" w:cs="Times New Roman"/>
          <w:b w:val="0"/>
          <w:bCs w:val="0"/>
          <w:sz w:val="24"/>
          <w:szCs w:val="22"/>
          <w:highlight w:val="none"/>
          <w:lang w:val="en-US" w:eastAsia="zh-CN"/>
        </w:rPr>
        <w:t>及周边</w:t>
      </w:r>
      <w:r>
        <w:rPr>
          <w:rFonts w:hint="default" w:ascii="Times New Roman" w:hAnsi="Times New Roman" w:cs="Times New Roman"/>
          <w:b w:val="0"/>
          <w:bCs w:val="0"/>
          <w:sz w:val="24"/>
          <w:szCs w:val="22"/>
          <w:highlight w:val="none"/>
          <w:lang w:val="en-US" w:eastAsia="zh-CN"/>
        </w:rPr>
        <w:t>污染监控要求、</w:t>
      </w:r>
      <w:r>
        <w:rPr>
          <w:rFonts w:hint="eastAsia" w:cs="Times New Roman"/>
          <w:b w:val="0"/>
          <w:bCs w:val="0"/>
          <w:sz w:val="24"/>
          <w:szCs w:val="22"/>
          <w:highlight w:val="none"/>
          <w:lang w:val="en-US" w:eastAsia="zh-CN"/>
        </w:rPr>
        <w:t>台账</w:t>
      </w:r>
      <w:r>
        <w:rPr>
          <w:rFonts w:hint="default" w:ascii="Times New Roman" w:hAnsi="Times New Roman" w:cs="Times New Roman"/>
          <w:b w:val="0"/>
          <w:bCs w:val="0"/>
          <w:sz w:val="24"/>
          <w:szCs w:val="22"/>
          <w:highlight w:val="none"/>
          <w:lang w:val="en-US" w:eastAsia="zh-CN"/>
        </w:rPr>
        <w:t>记录要求、</w:t>
      </w:r>
      <w:r>
        <w:rPr>
          <w:rFonts w:hint="default" w:ascii="Times New Roman" w:hAnsi="Times New Roman" w:cs="Times New Roman"/>
          <w:b w:val="0"/>
          <w:bCs w:val="0"/>
          <w:sz w:val="24"/>
          <w:szCs w:val="22"/>
          <w:highlight w:val="none"/>
        </w:rPr>
        <w:t>监测要求、实施与监督。</w:t>
      </w:r>
      <w:r>
        <w:rPr>
          <w:rFonts w:hint="default" w:ascii="Times New Roman" w:hAnsi="Times New Roman" w:cs="Times New Roman"/>
          <w:b w:val="0"/>
          <w:bCs w:val="0"/>
          <w:sz w:val="24"/>
          <w:szCs w:val="22"/>
          <w:highlight w:val="none"/>
          <w:lang w:val="en-US" w:eastAsia="zh-CN"/>
        </w:rPr>
        <w:t>其中，</w:t>
      </w:r>
      <w:r>
        <w:rPr>
          <w:rFonts w:hint="default" w:ascii="Times New Roman" w:hAnsi="Times New Roman" w:cs="Times New Roman"/>
          <w:b w:val="0"/>
          <w:bCs w:val="0"/>
          <w:sz w:val="24"/>
          <w:szCs w:val="22"/>
          <w:highlight w:val="none"/>
        </w:rPr>
        <w:t>含VOCs原辅材料要求</w:t>
      </w:r>
      <w:r>
        <w:rPr>
          <w:rFonts w:hint="default" w:ascii="Times New Roman" w:hAnsi="Times New Roman" w:cs="Times New Roman"/>
          <w:b w:val="0"/>
          <w:bCs w:val="0"/>
          <w:sz w:val="24"/>
          <w:szCs w:val="22"/>
          <w:highlight w:val="none"/>
          <w:lang w:val="en-US" w:eastAsia="zh-CN"/>
        </w:rPr>
        <w:t>部分规定了</w:t>
      </w:r>
      <w:r>
        <w:rPr>
          <w:rFonts w:hint="default" w:ascii="Times New Roman" w:hAnsi="Times New Roman" w:cs="Times New Roman"/>
          <w:b w:val="0"/>
          <w:bCs w:val="0"/>
          <w:sz w:val="24"/>
          <w:szCs w:val="22"/>
          <w:highlight w:val="none"/>
        </w:rPr>
        <w:t>涂料</w:t>
      </w:r>
      <w:r>
        <w:rPr>
          <w:rFonts w:hint="default" w:ascii="Times New Roman" w:hAnsi="Times New Roman" w:cs="Times New Roman"/>
          <w:b w:val="0"/>
          <w:bCs w:val="0"/>
          <w:sz w:val="24"/>
          <w:szCs w:val="22"/>
          <w:highlight w:val="none"/>
          <w:lang w:eastAsia="zh-CN"/>
        </w:rPr>
        <w:t>、</w:t>
      </w:r>
      <w:r>
        <w:rPr>
          <w:rFonts w:hint="default" w:ascii="Times New Roman" w:hAnsi="Times New Roman" w:cs="Times New Roman"/>
          <w:b w:val="0"/>
          <w:bCs w:val="0"/>
          <w:sz w:val="24"/>
          <w:szCs w:val="22"/>
          <w:highlight w:val="none"/>
          <w:lang w:val="en-US" w:eastAsia="zh-CN"/>
        </w:rPr>
        <w:t>清洗剂</w:t>
      </w:r>
      <w:r>
        <w:rPr>
          <w:rFonts w:hint="eastAsia" w:ascii="Times New Roman" w:hAnsi="Times New Roman" w:cs="Times New Roman"/>
          <w:b w:val="0"/>
          <w:bCs w:val="0"/>
          <w:sz w:val="24"/>
          <w:szCs w:val="22"/>
          <w:highlight w:val="none"/>
          <w:lang w:val="en-US" w:eastAsia="zh-CN"/>
        </w:rPr>
        <w:t>应分别符合国家相应标准要求</w:t>
      </w:r>
      <w:r>
        <w:rPr>
          <w:rFonts w:hint="default" w:ascii="Times New Roman" w:hAnsi="Times New Roman" w:cs="Times New Roman"/>
          <w:b w:val="0"/>
          <w:bCs w:val="0"/>
          <w:sz w:val="24"/>
          <w:szCs w:val="22"/>
          <w:highlight w:val="none"/>
          <w:lang w:val="en-US" w:eastAsia="zh-CN"/>
        </w:rPr>
        <w:t>；</w:t>
      </w:r>
      <w:r>
        <w:rPr>
          <w:rFonts w:hint="default" w:ascii="Times New Roman" w:hAnsi="Times New Roman" w:cs="Times New Roman"/>
          <w:b w:val="0"/>
          <w:bCs w:val="0"/>
          <w:sz w:val="24"/>
          <w:szCs w:val="22"/>
          <w:highlight w:val="none"/>
        </w:rPr>
        <w:t>有组织排放控制要求</w:t>
      </w:r>
      <w:r>
        <w:rPr>
          <w:rFonts w:hint="default" w:ascii="Times New Roman" w:hAnsi="Times New Roman" w:cs="Times New Roman"/>
          <w:b w:val="0"/>
          <w:bCs w:val="0"/>
          <w:sz w:val="24"/>
          <w:szCs w:val="22"/>
          <w:highlight w:val="none"/>
          <w:lang w:val="en-US" w:eastAsia="zh-CN"/>
        </w:rPr>
        <w:t>部分规定了</w:t>
      </w:r>
      <w:r>
        <w:rPr>
          <w:rFonts w:hint="default" w:ascii="Times New Roman" w:hAnsi="Times New Roman" w:cs="Times New Roman"/>
          <w:b w:val="0"/>
          <w:bCs w:val="0"/>
          <w:sz w:val="24"/>
          <w:szCs w:val="22"/>
          <w:highlight w:val="none"/>
        </w:rPr>
        <w:t>汽车维修过程中车间或生产设施排气筒</w:t>
      </w:r>
      <w:r>
        <w:rPr>
          <w:rFonts w:hint="default" w:ascii="Times New Roman" w:hAnsi="Times New Roman" w:cs="Times New Roman"/>
          <w:b w:val="0"/>
          <w:bCs w:val="0"/>
          <w:sz w:val="24"/>
          <w:szCs w:val="22"/>
          <w:highlight w:val="none"/>
          <w:lang w:val="en-US" w:eastAsia="zh-CN"/>
        </w:rPr>
        <w:t>和燃烧法VOCs治理设施的</w:t>
      </w:r>
      <w:r>
        <w:rPr>
          <w:rFonts w:hint="default" w:ascii="Times New Roman" w:hAnsi="Times New Roman" w:cs="Times New Roman"/>
          <w:b w:val="0"/>
          <w:bCs w:val="0"/>
          <w:sz w:val="24"/>
          <w:szCs w:val="22"/>
          <w:highlight w:val="none"/>
        </w:rPr>
        <w:t>大气污染物排放浓度限值</w:t>
      </w:r>
      <w:bookmarkStart w:id="94" w:name="_Hlk120463211"/>
      <w:r>
        <w:rPr>
          <w:rFonts w:hint="default" w:ascii="Times New Roman" w:hAnsi="Times New Roman" w:cs="Times New Roman"/>
          <w:b w:val="0"/>
          <w:bCs w:val="0"/>
          <w:sz w:val="24"/>
          <w:szCs w:val="22"/>
          <w:highlight w:val="none"/>
          <w:lang w:eastAsia="zh-CN"/>
        </w:rPr>
        <w:t>，</w:t>
      </w:r>
      <w:r>
        <w:rPr>
          <w:rFonts w:hint="default" w:ascii="Times New Roman" w:hAnsi="Times New Roman" w:cs="Times New Roman"/>
          <w:b w:val="0"/>
          <w:bCs w:val="0"/>
          <w:sz w:val="24"/>
          <w:szCs w:val="22"/>
          <w:highlight w:val="none"/>
          <w:lang w:val="en-US" w:eastAsia="zh-CN"/>
        </w:rPr>
        <w:t>明确了VOCs治理设施的非甲烷总烃</w:t>
      </w:r>
      <w:r>
        <w:rPr>
          <w:rFonts w:hint="default" w:ascii="Times New Roman" w:hAnsi="Times New Roman" w:cs="Times New Roman"/>
          <w:b w:val="0"/>
          <w:bCs w:val="0"/>
          <w:sz w:val="24"/>
          <w:szCs w:val="22"/>
          <w:highlight w:val="none"/>
          <w:lang w:eastAsia="zh-CN"/>
        </w:rPr>
        <w:t>处理效率</w:t>
      </w:r>
      <w:r>
        <w:rPr>
          <w:rFonts w:hint="default" w:ascii="Times New Roman" w:hAnsi="Times New Roman" w:cs="Times New Roman"/>
          <w:b w:val="0"/>
          <w:bCs w:val="0"/>
          <w:sz w:val="24"/>
          <w:szCs w:val="22"/>
          <w:highlight w:val="none"/>
          <w:lang w:val="en-US" w:eastAsia="zh-CN"/>
        </w:rPr>
        <w:t>要求等</w:t>
      </w:r>
      <w:bookmarkEnd w:id="94"/>
      <w:r>
        <w:rPr>
          <w:rFonts w:hint="default" w:ascii="Times New Roman" w:hAnsi="Times New Roman" w:cs="Times New Roman"/>
          <w:b w:val="0"/>
          <w:bCs w:val="0"/>
          <w:sz w:val="24"/>
          <w:szCs w:val="22"/>
          <w:highlight w:val="none"/>
          <w:lang w:val="en-US" w:eastAsia="zh-CN"/>
        </w:rPr>
        <w:t>；</w:t>
      </w:r>
      <w:r>
        <w:rPr>
          <w:rFonts w:hint="default" w:ascii="Times New Roman" w:hAnsi="Times New Roman" w:cs="Times New Roman"/>
          <w:b w:val="0"/>
          <w:bCs w:val="0"/>
          <w:sz w:val="24"/>
          <w:szCs w:val="22"/>
          <w:highlight w:val="none"/>
        </w:rPr>
        <w:t>无组织排放控制要求</w:t>
      </w:r>
      <w:r>
        <w:rPr>
          <w:rFonts w:hint="default" w:ascii="Times New Roman" w:hAnsi="Times New Roman" w:cs="Times New Roman"/>
          <w:b w:val="0"/>
          <w:bCs w:val="0"/>
          <w:sz w:val="24"/>
          <w:szCs w:val="22"/>
          <w:highlight w:val="none"/>
          <w:lang w:val="en-US" w:eastAsia="zh-CN"/>
        </w:rPr>
        <w:t>部分规定了</w:t>
      </w:r>
      <w:r>
        <w:rPr>
          <w:rFonts w:hint="eastAsia" w:ascii="Times New Roman" w:hAnsi="Times New Roman" w:cs="Times New Roman"/>
          <w:b w:val="0"/>
          <w:bCs w:val="0"/>
          <w:sz w:val="24"/>
          <w:szCs w:val="22"/>
          <w:highlight w:val="none"/>
          <w:lang w:val="en-US" w:eastAsia="zh-CN"/>
        </w:rPr>
        <w:t>厂区内</w:t>
      </w:r>
      <w:r>
        <w:rPr>
          <w:rFonts w:hint="default" w:ascii="Times New Roman" w:hAnsi="Times New Roman" w:cs="Times New Roman"/>
          <w:b w:val="0"/>
          <w:bCs w:val="0"/>
          <w:sz w:val="24"/>
          <w:szCs w:val="22"/>
          <w:highlight w:val="none"/>
          <w:lang w:val="en-US" w:eastAsia="zh-CN"/>
        </w:rPr>
        <w:t>无组织废气的排放控制要求和</w:t>
      </w:r>
      <w:r>
        <w:rPr>
          <w:rFonts w:hint="eastAsia" w:ascii="Times New Roman" w:hAnsi="Times New Roman" w:cs="Times New Roman"/>
          <w:b w:val="0"/>
          <w:bCs w:val="0"/>
          <w:sz w:val="24"/>
          <w:szCs w:val="22"/>
          <w:highlight w:val="none"/>
          <w:lang w:val="en-US" w:eastAsia="zh-CN"/>
        </w:rPr>
        <w:t>非甲烷总烃</w:t>
      </w:r>
      <w:r>
        <w:rPr>
          <w:rFonts w:hint="default" w:ascii="Times New Roman" w:hAnsi="Times New Roman" w:cs="Times New Roman"/>
          <w:b w:val="0"/>
          <w:bCs w:val="0"/>
          <w:sz w:val="24"/>
          <w:szCs w:val="22"/>
          <w:highlight w:val="none"/>
          <w:lang w:val="en-US" w:eastAsia="zh-CN"/>
        </w:rPr>
        <w:t>浓度限值；企业边界污染监控要求规定了厂界苯的浓度限值。</w:t>
      </w:r>
    </w:p>
    <w:p w14:paraId="5316E347">
      <w:pPr>
        <w:pStyle w:val="3"/>
        <w:keepNext/>
        <w:keepLines w:val="0"/>
        <w:pageBreakBefore w:val="0"/>
        <w:widowControl w:val="0"/>
        <w:kinsoku/>
        <w:wordWrap/>
        <w:autoSpaceDE/>
        <w:autoSpaceDN/>
        <w:bidi w:val="0"/>
        <w:rPr>
          <w:highlight w:val="none"/>
        </w:rPr>
      </w:pPr>
      <w:bookmarkStart w:id="95" w:name="_Toc24670"/>
      <w:bookmarkStart w:id="96" w:name="_Toc21195"/>
      <w:bookmarkStart w:id="97" w:name="_Toc12195"/>
      <w:bookmarkStart w:id="98" w:name="_Toc56065585"/>
      <w:bookmarkStart w:id="99" w:name="_Toc917"/>
      <w:bookmarkStart w:id="100" w:name="_Toc24549"/>
      <w:bookmarkStart w:id="101" w:name="_Toc19273"/>
      <w:bookmarkStart w:id="102" w:name="_Toc30922"/>
      <w:r>
        <w:rPr>
          <w:highlight w:val="none"/>
        </w:rPr>
        <w:t>标准适用范围</w:t>
      </w:r>
      <w:bookmarkEnd w:id="95"/>
      <w:bookmarkEnd w:id="96"/>
      <w:bookmarkEnd w:id="97"/>
      <w:bookmarkEnd w:id="98"/>
      <w:bookmarkEnd w:id="99"/>
      <w:bookmarkEnd w:id="100"/>
      <w:bookmarkEnd w:id="101"/>
      <w:bookmarkEnd w:id="102"/>
    </w:p>
    <w:p w14:paraId="792F6630">
      <w:pPr>
        <w:keepNext/>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 w:val="0"/>
          <w:bCs w:val="0"/>
          <w:sz w:val="24"/>
          <w:szCs w:val="22"/>
          <w:highlight w:val="none"/>
        </w:rPr>
      </w:pPr>
      <w:r>
        <w:rPr>
          <w:rFonts w:hint="default" w:ascii="Times New Roman" w:hAnsi="Times New Roman" w:cs="Times New Roman"/>
          <w:b w:val="0"/>
          <w:bCs w:val="0"/>
          <w:sz w:val="24"/>
          <w:szCs w:val="22"/>
          <w:highlight w:val="none"/>
        </w:rPr>
        <w:t>本</w:t>
      </w:r>
      <w:r>
        <w:rPr>
          <w:rFonts w:hint="eastAsia" w:cs="Times New Roman"/>
          <w:b w:val="0"/>
          <w:bCs w:val="0"/>
          <w:sz w:val="24"/>
          <w:szCs w:val="22"/>
          <w:highlight w:val="none"/>
          <w:lang w:eastAsia="zh-CN"/>
        </w:rPr>
        <w:t>文件</w:t>
      </w:r>
      <w:r>
        <w:rPr>
          <w:rFonts w:hint="default" w:ascii="Times New Roman" w:hAnsi="Times New Roman" w:cs="Times New Roman"/>
          <w:b w:val="0"/>
          <w:bCs w:val="0"/>
          <w:sz w:val="24"/>
          <w:szCs w:val="22"/>
          <w:highlight w:val="none"/>
        </w:rPr>
        <w:t>规定了汽车维修行业大气污染物排放控制要求、监测要求和实施与监督要求。本文件适用于现有汽车维修企业的大气污染物排放管理，以及汽车维修企业建设项目的环境影响评价、环境保护设施设计、竣工环境保护设施验收、排污许可证核发及其投产后的大气污染物排放管理。</w:t>
      </w:r>
    </w:p>
    <w:p w14:paraId="45DF205F">
      <w:pPr>
        <w:keepNext/>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 w:val="0"/>
          <w:bCs w:val="0"/>
          <w:sz w:val="24"/>
          <w:szCs w:val="22"/>
          <w:highlight w:val="none"/>
        </w:rPr>
      </w:pPr>
      <w:r>
        <w:rPr>
          <w:rFonts w:ascii="Times New Roman" w:hAnsi="Times New Roman" w:eastAsia="宋体" w:cs="Times New Roman"/>
          <w:b w:val="0"/>
          <w:bCs w:val="0"/>
          <w:sz w:val="24"/>
          <w:highlight w:val="none"/>
          <w:lang w:bidi="ar"/>
        </w:rPr>
        <w:t>本</w:t>
      </w:r>
      <w:r>
        <w:rPr>
          <w:rFonts w:hint="eastAsia" w:ascii="Times New Roman" w:hAnsi="Times New Roman" w:cs="Times New Roman"/>
          <w:b w:val="0"/>
          <w:bCs w:val="0"/>
          <w:sz w:val="24"/>
          <w:highlight w:val="none"/>
          <w:lang w:eastAsia="zh-CN" w:bidi="ar"/>
        </w:rPr>
        <w:t>文件</w:t>
      </w:r>
      <w:r>
        <w:rPr>
          <w:rFonts w:hint="eastAsia" w:cs="Times New Roman"/>
          <w:b w:val="0"/>
          <w:bCs w:val="0"/>
          <w:sz w:val="24"/>
          <w:highlight w:val="none"/>
          <w:lang w:eastAsia="zh-CN" w:bidi="ar"/>
        </w:rPr>
        <w:t>在定义中明确了</w:t>
      </w:r>
      <w:r>
        <w:rPr>
          <w:b w:val="0"/>
          <w:bCs w:val="0"/>
          <w:color w:val="auto"/>
          <w:highlight w:val="none"/>
        </w:rPr>
        <w:t>汽车维修企业</w:t>
      </w:r>
      <w:r>
        <w:rPr>
          <w:rFonts w:hint="eastAsia"/>
          <w:b w:val="0"/>
          <w:bCs w:val="0"/>
          <w:color w:val="auto"/>
          <w:highlight w:val="none"/>
          <w:lang w:eastAsia="zh-CN"/>
        </w:rPr>
        <w:t>的范围，本文件中的汽车维修企业指</w:t>
      </w:r>
      <w:r>
        <w:rPr>
          <w:rFonts w:hint="eastAsia"/>
          <w:b w:val="0"/>
          <w:bCs w:val="0"/>
          <w:color w:val="auto"/>
          <w:highlight w:val="none"/>
        </w:rPr>
        <w:t>从事汽车修理、维护和保养服务的企业。本文件中汽车维修企业指符合GB/T 16739.1或GB/T 16739.2的要求并含有涂装工序的企业或业户，不包括从事油罐车、化学品运输车等危险品运输车辆维修的企业</w:t>
      </w:r>
      <w:r>
        <w:rPr>
          <w:b w:val="0"/>
          <w:bCs w:val="0"/>
          <w:color w:val="auto"/>
          <w:highlight w:val="none"/>
        </w:rPr>
        <w:t>。</w:t>
      </w:r>
    </w:p>
    <w:p w14:paraId="4511390D">
      <w:pPr>
        <w:pStyle w:val="3"/>
        <w:keepNext/>
        <w:keepLines w:val="0"/>
        <w:pageBreakBefore w:val="0"/>
        <w:widowControl w:val="0"/>
        <w:kinsoku/>
        <w:wordWrap/>
        <w:autoSpaceDE/>
        <w:autoSpaceDN/>
        <w:bidi w:val="0"/>
        <w:rPr>
          <w:rFonts w:hint="default"/>
          <w:highlight w:val="none"/>
          <w:lang w:val="en-US" w:eastAsia="zh-CN"/>
        </w:rPr>
      </w:pPr>
      <w:bookmarkStart w:id="103" w:name="_Toc4940"/>
      <w:bookmarkStart w:id="104" w:name="_Toc29812"/>
      <w:r>
        <w:rPr>
          <w:rFonts w:hint="eastAsia"/>
          <w:highlight w:val="none"/>
          <w:lang w:val="en-US" w:eastAsia="zh-CN"/>
        </w:rPr>
        <w:t>标准执行时间</w:t>
      </w:r>
      <w:bookmarkEnd w:id="103"/>
      <w:bookmarkEnd w:id="104"/>
    </w:p>
    <w:p w14:paraId="485623E6">
      <w:pPr>
        <w:keepNext/>
        <w:keepLines w:val="0"/>
        <w:pageBreakBefore w:val="0"/>
        <w:kinsoku/>
        <w:wordWrap/>
        <w:autoSpaceDE/>
        <w:autoSpaceDN/>
        <w:bidi w:val="0"/>
        <w:rPr>
          <w:rFonts w:hint="default"/>
          <w:lang w:val="en-US" w:eastAsia="zh-CN"/>
        </w:rPr>
      </w:pPr>
      <w:r>
        <w:rPr>
          <w:rFonts w:hint="default"/>
          <w:lang w:val="en-US" w:eastAsia="zh-CN"/>
        </w:rPr>
        <w:t>现有企业自XX年XX月XX日起执行本文件要求，新建企业自标准实施之日起执行本文件要求。</w:t>
      </w:r>
    </w:p>
    <w:p w14:paraId="60077342">
      <w:pPr>
        <w:pStyle w:val="3"/>
        <w:keepNext/>
        <w:keepLines w:val="0"/>
        <w:pageBreakBefore w:val="0"/>
        <w:widowControl w:val="0"/>
        <w:kinsoku/>
        <w:wordWrap/>
        <w:autoSpaceDE/>
        <w:autoSpaceDN/>
        <w:bidi w:val="0"/>
        <w:rPr>
          <w:rFonts w:hint="default"/>
          <w:highlight w:val="none"/>
          <w:lang w:val="en-US" w:eastAsia="zh-CN"/>
        </w:rPr>
      </w:pPr>
      <w:bookmarkStart w:id="105" w:name="_Toc13098"/>
      <w:bookmarkStart w:id="106" w:name="_Toc18096"/>
      <w:r>
        <w:rPr>
          <w:rFonts w:hint="eastAsia"/>
          <w:highlight w:val="none"/>
          <w:lang w:val="en-US" w:eastAsia="zh-CN"/>
        </w:rPr>
        <w:t>含VOCs原辅材料要求</w:t>
      </w:r>
      <w:bookmarkEnd w:id="105"/>
      <w:bookmarkEnd w:id="106"/>
    </w:p>
    <w:p w14:paraId="10866524">
      <w:pPr>
        <w:pStyle w:val="4"/>
        <w:keepNext/>
        <w:keepLines w:val="0"/>
        <w:pageBreakBefore w:val="0"/>
        <w:widowControl w:val="0"/>
        <w:numPr>
          <w:ilvl w:val="2"/>
          <w:numId w:val="1"/>
        </w:numPr>
        <w:kinsoku/>
        <w:wordWrap/>
        <w:autoSpaceDE/>
        <w:autoSpaceDN/>
        <w:bidi w:val="0"/>
        <w:rPr>
          <w:rFonts w:hint="default" w:ascii="Times New Roman" w:hAnsi="Times New Roman" w:cs="Times New Roman"/>
          <w:highlight w:val="none"/>
          <w:lang w:eastAsia="zh-CN"/>
        </w:rPr>
      </w:pPr>
      <w:bookmarkStart w:id="107" w:name="_Toc5471"/>
      <w:bookmarkStart w:id="108" w:name="_Toc7069"/>
      <w:r>
        <w:rPr>
          <w:rFonts w:hint="eastAsia" w:cs="Times New Roman"/>
          <w:highlight w:val="none"/>
          <w:lang w:eastAsia="zh-CN"/>
        </w:rPr>
        <w:t>标准内容</w:t>
      </w:r>
      <w:bookmarkEnd w:id="107"/>
      <w:bookmarkEnd w:id="108"/>
    </w:p>
    <w:p w14:paraId="0A6DF7F1">
      <w:pPr>
        <w:keepNext/>
        <w:keepLines w:val="0"/>
        <w:pageBreakBefore w:val="0"/>
        <w:widowControl w:val="0"/>
        <w:kinsoku/>
        <w:wordWrap/>
        <w:autoSpaceDE/>
        <w:autoSpaceDN/>
        <w:bidi w:val="0"/>
        <w:rPr>
          <w:rFonts w:hint="eastAsia" w:cs="Times New Roman"/>
          <w:b/>
          <w:bCs/>
          <w:color w:val="auto"/>
          <w:highlight w:val="none"/>
          <w:lang w:val="en-US" w:eastAsia="zh-CN"/>
        </w:rPr>
      </w:pPr>
      <w:r>
        <w:rPr>
          <w:rFonts w:hint="eastAsia" w:cs="Times New Roman"/>
          <w:b/>
          <w:bCs/>
          <w:color w:val="auto"/>
          <w:highlight w:val="none"/>
          <w:lang w:val="en-US" w:eastAsia="zh-CN"/>
        </w:rPr>
        <w:t>标准明确了汽车维修企业使用的涂料、清洗剂和胶粘剂的含量限值及测定要求。具体如下：</w:t>
      </w:r>
    </w:p>
    <w:p w14:paraId="4B998562">
      <w:pPr>
        <w:keepNext/>
        <w:keepLines w:val="0"/>
        <w:pageBreakBefore w:val="0"/>
        <w:widowControl w:val="0"/>
        <w:kinsoku/>
        <w:wordWrap/>
        <w:autoSpaceDE/>
        <w:autoSpaceDN/>
        <w:bidi w:val="0"/>
        <w:rPr>
          <w:rFonts w:hint="default" w:ascii="Times New Roman" w:hAnsi="Times New Roman" w:cs="Times New Roman"/>
          <w:b w:val="0"/>
          <w:bCs w:val="0"/>
          <w:color w:val="auto"/>
          <w:highlight w:val="none"/>
          <w:lang w:val="en-US" w:eastAsia="zh-CN"/>
        </w:rPr>
      </w:pPr>
      <w:r>
        <w:rPr>
          <w:rFonts w:hint="eastAsia" w:cs="Times New Roman"/>
          <w:b w:val="0"/>
          <w:bCs w:val="0"/>
          <w:color w:val="auto"/>
          <w:highlight w:val="none"/>
          <w:lang w:val="en-US" w:eastAsia="zh-CN"/>
        </w:rPr>
        <w:t>（1）</w:t>
      </w:r>
      <w:r>
        <w:rPr>
          <w:rFonts w:hint="default" w:ascii="Times New Roman" w:hAnsi="Times New Roman" w:cs="Times New Roman"/>
          <w:b w:val="0"/>
          <w:bCs w:val="0"/>
          <w:color w:val="auto"/>
          <w:highlight w:val="none"/>
          <w:lang w:val="en-US" w:eastAsia="zh-CN"/>
        </w:rPr>
        <w:t>汽车维修过程中使用的处于施工状态下涂料中VOCs含量限值和测试方法应符合GB/T 38597规定的要求，GB/T 38597中未做规定的，应符合GB 30981.2等强制性标准要求及涂料产品质量规定。</w:t>
      </w:r>
    </w:p>
    <w:p w14:paraId="72A4E704">
      <w:pPr>
        <w:keepNext/>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cs="Times New Roman"/>
          <w:color w:val="000000"/>
          <w:sz w:val="24"/>
          <w:szCs w:val="22"/>
          <w:highlight w:val="none"/>
          <w:lang w:val="en-US" w:eastAsia="zh-CN"/>
        </w:rPr>
      </w:pPr>
      <w:r>
        <w:rPr>
          <w:rFonts w:hint="eastAsia" w:cs="Times New Roman"/>
          <w:color w:val="000000"/>
          <w:sz w:val="24"/>
          <w:szCs w:val="22"/>
          <w:highlight w:val="none"/>
          <w:lang w:val="en-US" w:eastAsia="zh-CN"/>
        </w:rPr>
        <w:t>（2）当涂料产品适用于多种场合时，按最严格的限量值执行。</w:t>
      </w:r>
    </w:p>
    <w:p w14:paraId="66F276CE">
      <w:pPr>
        <w:keepNext/>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cs="Times New Roman"/>
          <w:color w:val="000000"/>
          <w:sz w:val="24"/>
          <w:szCs w:val="22"/>
          <w:highlight w:val="none"/>
          <w:lang w:val="en-US" w:eastAsia="zh-CN"/>
        </w:rPr>
      </w:pPr>
      <w:r>
        <w:rPr>
          <w:rFonts w:hint="eastAsia" w:cs="Times New Roman"/>
          <w:color w:val="000000"/>
          <w:sz w:val="24"/>
          <w:szCs w:val="22"/>
          <w:highlight w:val="none"/>
          <w:lang w:val="en-US" w:eastAsia="zh-CN"/>
        </w:rPr>
        <w:t>（3）汽车维修过程中使用的清洗剂、胶粘剂VOCs含量限值和测试方法应分别符合GB 38508、GB 33372规定的要求。</w:t>
      </w:r>
    </w:p>
    <w:p w14:paraId="35791523">
      <w:pPr>
        <w:pStyle w:val="4"/>
        <w:keepNext/>
        <w:keepLines w:val="0"/>
        <w:pageBreakBefore w:val="0"/>
        <w:widowControl w:val="0"/>
        <w:numPr>
          <w:ilvl w:val="2"/>
          <w:numId w:val="1"/>
        </w:numPr>
        <w:kinsoku/>
        <w:wordWrap/>
        <w:autoSpaceDE/>
        <w:autoSpaceDN/>
        <w:bidi w:val="0"/>
        <w:rPr>
          <w:rFonts w:hint="default" w:ascii="Times New Roman" w:hAnsi="Times New Roman" w:cs="Times New Roman"/>
          <w:highlight w:val="none"/>
          <w:lang w:eastAsia="zh-CN"/>
        </w:rPr>
      </w:pPr>
      <w:bookmarkStart w:id="109" w:name="_Toc28900"/>
      <w:bookmarkStart w:id="110" w:name="_Toc14215"/>
      <w:r>
        <w:rPr>
          <w:rFonts w:hint="default" w:ascii="Times New Roman" w:hAnsi="Times New Roman" w:cs="Times New Roman"/>
          <w:highlight w:val="none"/>
        </w:rPr>
        <w:t>涂料VOCs含量限值的确定</w:t>
      </w:r>
      <w:r>
        <w:rPr>
          <w:rFonts w:hint="eastAsia" w:cs="Times New Roman"/>
          <w:highlight w:val="none"/>
          <w:lang w:eastAsia="zh-CN"/>
        </w:rPr>
        <w:t>过程</w:t>
      </w:r>
      <w:bookmarkEnd w:id="109"/>
      <w:bookmarkEnd w:id="110"/>
    </w:p>
    <w:p w14:paraId="4FE6CF1D">
      <w:pPr>
        <w:keepNext/>
        <w:keepLines w:val="0"/>
        <w:pageBreakBefore w:val="0"/>
        <w:widowControl w:val="0"/>
        <w:kinsoku/>
        <w:wordWrap/>
        <w:autoSpaceDE/>
        <w:autoSpaceDN/>
        <w:bidi w:val="0"/>
        <w:rPr>
          <w:rFonts w:hint="default" w:ascii="Times New Roman" w:hAnsi="Times New Roman" w:cs="Times New Roman"/>
          <w:highlight w:val="none"/>
          <w:lang w:eastAsia="zh-CN"/>
        </w:rPr>
      </w:pPr>
      <w:r>
        <w:rPr>
          <w:rFonts w:hint="default" w:ascii="Times New Roman" w:hAnsi="Times New Roman" w:cs="Times New Roman"/>
          <w:highlight w:val="none"/>
        </w:rPr>
        <w:t>本标准</w:t>
      </w:r>
      <w:r>
        <w:rPr>
          <w:rFonts w:hint="eastAsia" w:ascii="Times New Roman" w:hAnsi="Times New Roman" w:cs="Times New Roman"/>
          <w:highlight w:val="none"/>
          <w:lang w:val="en-US" w:eastAsia="zh-CN"/>
        </w:rPr>
        <w:t>编制</w:t>
      </w:r>
      <w:r>
        <w:rPr>
          <w:rFonts w:hint="default" w:ascii="Times New Roman" w:hAnsi="Times New Roman" w:cs="Times New Roman"/>
          <w:highlight w:val="none"/>
        </w:rPr>
        <w:t>组通过对成都平原及周边、川南地区、川东北、攀西地区开展</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企业的现场调研与实测，其中涂料VOCs含量限值测试共计15家企业，49个样品，其中水性10个，</w:t>
      </w:r>
      <w:r>
        <w:rPr>
          <w:rFonts w:hint="default" w:ascii="Times New Roman" w:hAnsi="Times New Roman" w:cs="Times New Roman"/>
          <w:highlight w:val="none"/>
          <w:lang w:val="en-US" w:eastAsia="zh-CN"/>
        </w:rPr>
        <w:t>占比20%，</w:t>
      </w:r>
      <w:r>
        <w:rPr>
          <w:rFonts w:hint="default" w:ascii="Times New Roman" w:hAnsi="Times New Roman" w:cs="Times New Roman"/>
          <w:highlight w:val="none"/>
        </w:rPr>
        <w:t>溶剂型39个，</w:t>
      </w:r>
      <w:r>
        <w:rPr>
          <w:rFonts w:hint="default" w:ascii="Times New Roman" w:hAnsi="Times New Roman" w:cs="Times New Roman"/>
          <w:highlight w:val="none"/>
          <w:lang w:val="en-US" w:eastAsia="zh-CN"/>
        </w:rPr>
        <w:t>占比80%，</w:t>
      </w:r>
      <w:r>
        <w:rPr>
          <w:rFonts w:hint="default" w:ascii="Times New Roman" w:hAnsi="Times New Roman" w:cs="Times New Roman"/>
          <w:highlight w:val="none"/>
        </w:rPr>
        <w:t>包含底色漆、本色面漆、底漆、清漆</w:t>
      </w:r>
      <w:r>
        <w:rPr>
          <w:rFonts w:hint="default" w:ascii="Times New Roman" w:hAnsi="Times New Roman" w:cs="Times New Roman"/>
          <w:highlight w:val="none"/>
          <w:lang w:eastAsia="zh-CN"/>
        </w:rPr>
        <w:t>。</w:t>
      </w:r>
    </w:p>
    <w:p w14:paraId="74D75FF9">
      <w:pPr>
        <w:keepNext/>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kern w:val="0"/>
          <w:szCs w:val="21"/>
          <w:highlight w:val="none"/>
          <w:lang w:val="en-US" w:eastAsia="zh-CN"/>
        </w:rPr>
      </w:pPr>
      <w:r>
        <w:rPr>
          <w:rFonts w:hint="eastAsia" w:cs="Times New Roman"/>
          <w:kern w:val="0"/>
          <w:szCs w:val="21"/>
          <w:highlight w:val="none"/>
          <w:lang w:val="en-US" w:eastAsia="zh-CN"/>
        </w:rPr>
        <w:t>表7.4</w:t>
      </w:r>
      <w:r>
        <w:rPr>
          <w:rFonts w:hint="default" w:ascii="Times New Roman" w:hAnsi="Times New Roman" w:cs="Times New Roman"/>
          <w:kern w:val="0"/>
          <w:szCs w:val="21"/>
          <w:highlight w:val="none"/>
          <w:lang w:val="en-US" w:eastAsia="zh-CN"/>
        </w:rPr>
        <w:t>-1涂料VOCs含量测试企业信息</w:t>
      </w:r>
    </w:p>
    <w:tbl>
      <w:tblPr>
        <w:tblStyle w:val="21"/>
        <w:tblW w:w="7711" w:type="dxa"/>
        <w:jc w:val="center"/>
        <w:tblLayout w:type="autofit"/>
        <w:tblCellMar>
          <w:top w:w="0" w:type="dxa"/>
          <w:left w:w="108" w:type="dxa"/>
          <w:bottom w:w="0" w:type="dxa"/>
          <w:right w:w="108" w:type="dxa"/>
        </w:tblCellMar>
      </w:tblPr>
      <w:tblGrid>
        <w:gridCol w:w="1271"/>
        <w:gridCol w:w="1080"/>
        <w:gridCol w:w="1080"/>
        <w:gridCol w:w="2140"/>
        <w:gridCol w:w="2140"/>
      </w:tblGrid>
      <w:tr w14:paraId="28F3587F">
        <w:tblPrEx>
          <w:tblCellMar>
            <w:top w:w="0" w:type="dxa"/>
            <w:left w:w="108" w:type="dxa"/>
            <w:bottom w:w="0" w:type="dxa"/>
            <w:right w:w="108" w:type="dxa"/>
          </w:tblCellMar>
        </w:tblPrEx>
        <w:trPr>
          <w:trHeight w:val="330" w:hRule="atLeast"/>
          <w:tblHeader/>
          <w:jc w:val="center"/>
        </w:trPr>
        <w:tc>
          <w:tcPr>
            <w:tcW w:w="1271"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7B77EC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rPr>
            </w:pPr>
            <w:r>
              <w:rPr>
                <w:rFonts w:hint="default" w:ascii="Times New Roman" w:hAnsi="Times New Roman" w:cs="Times New Roman"/>
                <w:b/>
                <w:bCs/>
                <w:color w:val="000000"/>
                <w:kern w:val="0"/>
                <w:sz w:val="21"/>
                <w:szCs w:val="21"/>
                <w:highlight w:val="none"/>
              </w:rPr>
              <w:t>序号</w:t>
            </w:r>
          </w:p>
        </w:tc>
        <w:tc>
          <w:tcPr>
            <w:tcW w:w="1080" w:type="dxa"/>
            <w:tcBorders>
              <w:top w:val="single" w:color="auto" w:sz="4" w:space="0"/>
              <w:left w:val="nil"/>
              <w:bottom w:val="single" w:color="auto" w:sz="4" w:space="0"/>
              <w:right w:val="single" w:color="auto" w:sz="4" w:space="0"/>
            </w:tcBorders>
            <w:shd w:val="clear" w:color="auto" w:fill="auto"/>
            <w:noWrap/>
            <w:vAlign w:val="center"/>
          </w:tcPr>
          <w:p w14:paraId="3287119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rPr>
            </w:pPr>
            <w:r>
              <w:rPr>
                <w:rFonts w:hint="default" w:ascii="Times New Roman" w:hAnsi="Times New Roman" w:cs="Times New Roman"/>
                <w:b/>
                <w:bCs/>
                <w:color w:val="000000"/>
                <w:kern w:val="0"/>
                <w:sz w:val="21"/>
                <w:szCs w:val="21"/>
                <w:highlight w:val="none"/>
              </w:rPr>
              <w:t>等级</w:t>
            </w:r>
          </w:p>
        </w:tc>
        <w:tc>
          <w:tcPr>
            <w:tcW w:w="1080" w:type="dxa"/>
            <w:tcBorders>
              <w:top w:val="single" w:color="auto" w:sz="4" w:space="0"/>
              <w:left w:val="nil"/>
              <w:bottom w:val="single" w:color="auto" w:sz="4" w:space="0"/>
              <w:right w:val="single" w:color="auto" w:sz="4" w:space="0"/>
            </w:tcBorders>
            <w:shd w:val="clear" w:color="auto" w:fill="auto"/>
            <w:noWrap/>
            <w:vAlign w:val="center"/>
          </w:tcPr>
          <w:p w14:paraId="46EE302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rPr>
            </w:pPr>
            <w:r>
              <w:rPr>
                <w:rFonts w:hint="default" w:ascii="Times New Roman" w:hAnsi="Times New Roman" w:cs="Times New Roman"/>
                <w:b/>
                <w:bCs/>
                <w:color w:val="000000"/>
                <w:kern w:val="0"/>
                <w:sz w:val="21"/>
                <w:szCs w:val="21"/>
                <w:highlight w:val="none"/>
              </w:rPr>
              <w:t>城市</w:t>
            </w:r>
          </w:p>
        </w:tc>
        <w:tc>
          <w:tcPr>
            <w:tcW w:w="2140" w:type="dxa"/>
            <w:tcBorders>
              <w:top w:val="single" w:color="auto" w:sz="4" w:space="0"/>
              <w:left w:val="nil"/>
              <w:bottom w:val="single" w:color="auto" w:sz="4" w:space="0"/>
              <w:right w:val="single" w:color="auto" w:sz="4" w:space="0"/>
            </w:tcBorders>
            <w:shd w:val="clear" w:color="auto" w:fill="auto"/>
            <w:noWrap/>
            <w:vAlign w:val="center"/>
          </w:tcPr>
          <w:p w14:paraId="2147491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rPr>
            </w:pPr>
            <w:r>
              <w:rPr>
                <w:rFonts w:hint="default" w:ascii="Times New Roman" w:hAnsi="Times New Roman" w:cs="Times New Roman"/>
                <w:b/>
                <w:bCs/>
                <w:color w:val="000000"/>
                <w:kern w:val="0"/>
                <w:sz w:val="21"/>
                <w:szCs w:val="21"/>
                <w:highlight w:val="none"/>
              </w:rPr>
              <w:t>车辆维修类别</w:t>
            </w:r>
          </w:p>
        </w:tc>
        <w:tc>
          <w:tcPr>
            <w:tcW w:w="2140" w:type="dxa"/>
            <w:tcBorders>
              <w:top w:val="single" w:color="auto" w:sz="4" w:space="0"/>
              <w:left w:val="nil"/>
              <w:bottom w:val="single" w:color="auto" w:sz="4" w:space="0"/>
              <w:right w:val="single" w:color="auto" w:sz="4" w:space="0"/>
            </w:tcBorders>
            <w:shd w:val="clear" w:color="auto" w:fill="auto"/>
            <w:noWrap/>
            <w:vAlign w:val="center"/>
          </w:tcPr>
          <w:p w14:paraId="022726E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b/>
                <w:bCs/>
                <w:color w:val="000000"/>
                <w:kern w:val="0"/>
                <w:sz w:val="21"/>
                <w:szCs w:val="21"/>
                <w:highlight w:val="none"/>
                <w:lang w:val="en-US" w:eastAsia="zh-CN"/>
              </w:rPr>
            </w:pPr>
            <w:r>
              <w:rPr>
                <w:rFonts w:hint="default" w:ascii="Times New Roman" w:hAnsi="Times New Roman" w:cs="Times New Roman"/>
                <w:b/>
                <w:bCs/>
                <w:color w:val="000000"/>
                <w:kern w:val="0"/>
                <w:sz w:val="21"/>
                <w:szCs w:val="21"/>
                <w:highlight w:val="none"/>
                <w:lang w:val="en-US" w:eastAsia="zh-CN"/>
              </w:rPr>
              <w:t>区域类型</w:t>
            </w:r>
          </w:p>
        </w:tc>
      </w:tr>
      <w:tr w14:paraId="7FC5F47C">
        <w:tblPrEx>
          <w:tblCellMar>
            <w:top w:w="0" w:type="dxa"/>
            <w:left w:w="108" w:type="dxa"/>
            <w:bottom w:w="0" w:type="dxa"/>
            <w:right w:w="108" w:type="dxa"/>
          </w:tblCellMar>
        </w:tblPrEx>
        <w:trPr>
          <w:trHeight w:val="300" w:hRule="atLeast"/>
          <w:jc w:val="center"/>
        </w:trPr>
        <w:tc>
          <w:tcPr>
            <w:tcW w:w="1271" w:type="dxa"/>
            <w:tcBorders>
              <w:top w:val="nil"/>
              <w:left w:val="single" w:color="auto" w:sz="4" w:space="0"/>
              <w:bottom w:val="single" w:color="auto" w:sz="4" w:space="0"/>
              <w:right w:val="single" w:color="auto" w:sz="4" w:space="0"/>
            </w:tcBorders>
            <w:shd w:val="clear" w:color="auto" w:fill="auto"/>
            <w:noWrap/>
            <w:vAlign w:val="center"/>
          </w:tcPr>
          <w:p w14:paraId="798D374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企业1</w:t>
            </w:r>
          </w:p>
        </w:tc>
        <w:tc>
          <w:tcPr>
            <w:tcW w:w="1080" w:type="dxa"/>
            <w:tcBorders>
              <w:top w:val="nil"/>
              <w:left w:val="nil"/>
              <w:bottom w:val="single" w:color="auto" w:sz="4" w:space="0"/>
              <w:right w:val="single" w:color="auto" w:sz="4" w:space="0"/>
            </w:tcBorders>
            <w:shd w:val="clear" w:color="auto" w:fill="auto"/>
            <w:noWrap/>
            <w:vAlign w:val="center"/>
          </w:tcPr>
          <w:p w14:paraId="41BF8C8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000000"/>
                <w:kern w:val="0"/>
                <w:sz w:val="21"/>
                <w:szCs w:val="21"/>
                <w:highlight w:val="none"/>
                <w:lang w:eastAsia="zh-CN"/>
              </w:rPr>
            </w:pPr>
            <w:r>
              <w:rPr>
                <w:rFonts w:hint="default" w:ascii="Times New Roman" w:hAnsi="Times New Roman" w:cs="Times New Roman"/>
                <w:color w:val="000000"/>
                <w:kern w:val="0"/>
                <w:sz w:val="21"/>
                <w:szCs w:val="21"/>
                <w:highlight w:val="none"/>
                <w:lang w:val="en-US" w:eastAsia="zh-CN"/>
              </w:rPr>
              <w:t>三类</w:t>
            </w:r>
          </w:p>
        </w:tc>
        <w:tc>
          <w:tcPr>
            <w:tcW w:w="1080" w:type="dxa"/>
            <w:tcBorders>
              <w:top w:val="nil"/>
              <w:left w:val="nil"/>
              <w:bottom w:val="single" w:color="auto" w:sz="4" w:space="0"/>
              <w:right w:val="single" w:color="auto" w:sz="4" w:space="0"/>
            </w:tcBorders>
            <w:shd w:val="clear" w:color="auto" w:fill="auto"/>
            <w:noWrap/>
            <w:vAlign w:val="bottom"/>
          </w:tcPr>
          <w:p w14:paraId="7DBD1E3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成都市</w:t>
            </w:r>
          </w:p>
        </w:tc>
        <w:tc>
          <w:tcPr>
            <w:tcW w:w="2140" w:type="dxa"/>
            <w:tcBorders>
              <w:top w:val="nil"/>
              <w:left w:val="nil"/>
              <w:bottom w:val="single" w:color="auto" w:sz="4" w:space="0"/>
              <w:right w:val="single" w:color="auto" w:sz="4" w:space="0"/>
            </w:tcBorders>
            <w:shd w:val="clear" w:color="auto" w:fill="auto"/>
            <w:noWrap/>
            <w:vAlign w:val="center"/>
          </w:tcPr>
          <w:p w14:paraId="0070154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汽车</w:t>
            </w:r>
          </w:p>
        </w:tc>
        <w:tc>
          <w:tcPr>
            <w:tcW w:w="2140" w:type="dxa"/>
            <w:tcBorders>
              <w:top w:val="nil"/>
              <w:left w:val="nil"/>
              <w:bottom w:val="single" w:color="auto" w:sz="4" w:space="0"/>
              <w:right w:val="single" w:color="auto" w:sz="4" w:space="0"/>
            </w:tcBorders>
            <w:shd w:val="clear" w:color="auto" w:fill="auto"/>
            <w:noWrap/>
            <w:vAlign w:val="center"/>
          </w:tcPr>
          <w:p w14:paraId="0C752BB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控制区</w:t>
            </w:r>
          </w:p>
        </w:tc>
      </w:tr>
      <w:tr w14:paraId="0E585522">
        <w:tblPrEx>
          <w:tblCellMar>
            <w:top w:w="0" w:type="dxa"/>
            <w:left w:w="108" w:type="dxa"/>
            <w:bottom w:w="0" w:type="dxa"/>
            <w:right w:w="108" w:type="dxa"/>
          </w:tblCellMar>
        </w:tblPrEx>
        <w:trPr>
          <w:trHeight w:val="300" w:hRule="atLeast"/>
          <w:jc w:val="center"/>
        </w:trPr>
        <w:tc>
          <w:tcPr>
            <w:tcW w:w="1271" w:type="dxa"/>
            <w:tcBorders>
              <w:top w:val="nil"/>
              <w:left w:val="single" w:color="auto" w:sz="4" w:space="0"/>
              <w:bottom w:val="single" w:color="auto" w:sz="4" w:space="0"/>
              <w:right w:val="single" w:color="auto" w:sz="4" w:space="0"/>
            </w:tcBorders>
            <w:shd w:val="clear" w:color="auto" w:fill="auto"/>
            <w:noWrap/>
            <w:vAlign w:val="center"/>
          </w:tcPr>
          <w:p w14:paraId="337096E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企业2</w:t>
            </w:r>
          </w:p>
        </w:tc>
        <w:tc>
          <w:tcPr>
            <w:tcW w:w="1080" w:type="dxa"/>
            <w:tcBorders>
              <w:top w:val="nil"/>
              <w:left w:val="nil"/>
              <w:bottom w:val="single" w:color="auto" w:sz="4" w:space="0"/>
              <w:right w:val="single" w:color="auto" w:sz="4" w:space="0"/>
            </w:tcBorders>
            <w:shd w:val="clear" w:color="auto" w:fill="auto"/>
            <w:noWrap/>
            <w:vAlign w:val="center"/>
          </w:tcPr>
          <w:p w14:paraId="15A1386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000000"/>
                <w:kern w:val="0"/>
                <w:sz w:val="21"/>
                <w:szCs w:val="21"/>
                <w:highlight w:val="none"/>
                <w:lang w:eastAsia="zh-CN"/>
              </w:rPr>
            </w:pPr>
            <w:r>
              <w:rPr>
                <w:rFonts w:hint="default" w:ascii="Times New Roman" w:hAnsi="Times New Roman" w:cs="Times New Roman"/>
                <w:color w:val="000000"/>
                <w:kern w:val="0"/>
                <w:sz w:val="21"/>
                <w:szCs w:val="21"/>
                <w:highlight w:val="none"/>
                <w:lang w:val="en-US" w:eastAsia="zh-CN"/>
              </w:rPr>
              <w:t>一类</w:t>
            </w:r>
          </w:p>
        </w:tc>
        <w:tc>
          <w:tcPr>
            <w:tcW w:w="1080" w:type="dxa"/>
            <w:tcBorders>
              <w:top w:val="nil"/>
              <w:left w:val="nil"/>
              <w:bottom w:val="single" w:color="auto" w:sz="4" w:space="0"/>
              <w:right w:val="single" w:color="auto" w:sz="4" w:space="0"/>
            </w:tcBorders>
            <w:shd w:val="clear" w:color="auto" w:fill="auto"/>
            <w:noWrap/>
            <w:vAlign w:val="bottom"/>
          </w:tcPr>
          <w:p w14:paraId="1F81383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成都市</w:t>
            </w:r>
          </w:p>
        </w:tc>
        <w:tc>
          <w:tcPr>
            <w:tcW w:w="2140" w:type="dxa"/>
            <w:tcBorders>
              <w:top w:val="nil"/>
              <w:left w:val="nil"/>
              <w:bottom w:val="single" w:color="auto" w:sz="4" w:space="0"/>
              <w:right w:val="single" w:color="auto" w:sz="4" w:space="0"/>
            </w:tcBorders>
            <w:shd w:val="clear" w:color="auto" w:fill="auto"/>
            <w:noWrap/>
            <w:vAlign w:val="center"/>
          </w:tcPr>
          <w:p w14:paraId="540B40A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汽车</w:t>
            </w:r>
          </w:p>
        </w:tc>
        <w:tc>
          <w:tcPr>
            <w:tcW w:w="2140" w:type="dxa"/>
            <w:tcBorders>
              <w:top w:val="nil"/>
              <w:left w:val="nil"/>
              <w:bottom w:val="single" w:color="auto" w:sz="4" w:space="0"/>
              <w:right w:val="single" w:color="auto" w:sz="4" w:space="0"/>
            </w:tcBorders>
            <w:shd w:val="clear" w:color="auto" w:fill="auto"/>
            <w:noWrap/>
            <w:vAlign w:val="center"/>
          </w:tcPr>
          <w:p w14:paraId="0300E58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控制区</w:t>
            </w:r>
          </w:p>
        </w:tc>
      </w:tr>
      <w:tr w14:paraId="5F702986">
        <w:tblPrEx>
          <w:tblCellMar>
            <w:top w:w="0" w:type="dxa"/>
            <w:left w:w="108" w:type="dxa"/>
            <w:bottom w:w="0" w:type="dxa"/>
            <w:right w:w="108" w:type="dxa"/>
          </w:tblCellMar>
        </w:tblPrEx>
        <w:trPr>
          <w:trHeight w:val="300" w:hRule="atLeast"/>
          <w:jc w:val="center"/>
        </w:trPr>
        <w:tc>
          <w:tcPr>
            <w:tcW w:w="1271" w:type="dxa"/>
            <w:tcBorders>
              <w:top w:val="nil"/>
              <w:left w:val="single" w:color="auto" w:sz="4" w:space="0"/>
              <w:bottom w:val="single" w:color="auto" w:sz="4" w:space="0"/>
              <w:right w:val="single" w:color="auto" w:sz="4" w:space="0"/>
            </w:tcBorders>
            <w:shd w:val="clear" w:color="auto" w:fill="auto"/>
            <w:noWrap/>
            <w:vAlign w:val="center"/>
          </w:tcPr>
          <w:p w14:paraId="3244CD5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企业3</w:t>
            </w:r>
          </w:p>
        </w:tc>
        <w:tc>
          <w:tcPr>
            <w:tcW w:w="1080" w:type="dxa"/>
            <w:tcBorders>
              <w:top w:val="nil"/>
              <w:left w:val="nil"/>
              <w:bottom w:val="single" w:color="auto" w:sz="4" w:space="0"/>
              <w:right w:val="single" w:color="auto" w:sz="4" w:space="0"/>
            </w:tcBorders>
            <w:shd w:val="clear" w:color="auto" w:fill="auto"/>
            <w:noWrap/>
            <w:vAlign w:val="center"/>
          </w:tcPr>
          <w:p w14:paraId="3CA3B70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一类</w:t>
            </w:r>
          </w:p>
        </w:tc>
        <w:tc>
          <w:tcPr>
            <w:tcW w:w="1080" w:type="dxa"/>
            <w:tcBorders>
              <w:top w:val="nil"/>
              <w:left w:val="nil"/>
              <w:bottom w:val="single" w:color="auto" w:sz="4" w:space="0"/>
              <w:right w:val="single" w:color="auto" w:sz="4" w:space="0"/>
            </w:tcBorders>
            <w:shd w:val="clear" w:color="auto" w:fill="auto"/>
            <w:noWrap/>
            <w:vAlign w:val="bottom"/>
          </w:tcPr>
          <w:p w14:paraId="1B2884A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成都市</w:t>
            </w:r>
          </w:p>
        </w:tc>
        <w:tc>
          <w:tcPr>
            <w:tcW w:w="2140" w:type="dxa"/>
            <w:tcBorders>
              <w:top w:val="nil"/>
              <w:left w:val="nil"/>
              <w:bottom w:val="single" w:color="auto" w:sz="4" w:space="0"/>
              <w:right w:val="single" w:color="auto" w:sz="4" w:space="0"/>
            </w:tcBorders>
            <w:shd w:val="clear" w:color="auto" w:fill="auto"/>
            <w:noWrap/>
            <w:vAlign w:val="center"/>
          </w:tcPr>
          <w:p w14:paraId="736AA1D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汽车、公交车</w:t>
            </w:r>
          </w:p>
        </w:tc>
        <w:tc>
          <w:tcPr>
            <w:tcW w:w="2140" w:type="dxa"/>
            <w:tcBorders>
              <w:top w:val="nil"/>
              <w:left w:val="nil"/>
              <w:bottom w:val="single" w:color="auto" w:sz="4" w:space="0"/>
              <w:right w:val="single" w:color="auto" w:sz="4" w:space="0"/>
            </w:tcBorders>
            <w:shd w:val="clear" w:color="auto" w:fill="auto"/>
            <w:noWrap/>
            <w:vAlign w:val="center"/>
          </w:tcPr>
          <w:p w14:paraId="203E955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控制区</w:t>
            </w:r>
          </w:p>
        </w:tc>
      </w:tr>
      <w:tr w14:paraId="75B206D3">
        <w:tblPrEx>
          <w:tblCellMar>
            <w:top w:w="0" w:type="dxa"/>
            <w:left w:w="108" w:type="dxa"/>
            <w:bottom w:w="0" w:type="dxa"/>
            <w:right w:w="108" w:type="dxa"/>
          </w:tblCellMar>
        </w:tblPrEx>
        <w:trPr>
          <w:trHeight w:val="300" w:hRule="atLeast"/>
          <w:jc w:val="center"/>
        </w:trPr>
        <w:tc>
          <w:tcPr>
            <w:tcW w:w="1271" w:type="dxa"/>
            <w:tcBorders>
              <w:top w:val="nil"/>
              <w:left w:val="single" w:color="auto" w:sz="4" w:space="0"/>
              <w:bottom w:val="single" w:color="auto" w:sz="4" w:space="0"/>
              <w:right w:val="single" w:color="auto" w:sz="4" w:space="0"/>
            </w:tcBorders>
            <w:shd w:val="clear" w:color="auto" w:fill="auto"/>
            <w:noWrap/>
            <w:vAlign w:val="center"/>
          </w:tcPr>
          <w:p w14:paraId="13C7511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企业4</w:t>
            </w:r>
          </w:p>
        </w:tc>
        <w:tc>
          <w:tcPr>
            <w:tcW w:w="1080" w:type="dxa"/>
            <w:tcBorders>
              <w:top w:val="nil"/>
              <w:left w:val="nil"/>
              <w:bottom w:val="single" w:color="auto" w:sz="4" w:space="0"/>
              <w:right w:val="single" w:color="auto" w:sz="4" w:space="0"/>
            </w:tcBorders>
            <w:shd w:val="clear" w:color="auto" w:fill="auto"/>
            <w:noWrap/>
            <w:vAlign w:val="center"/>
          </w:tcPr>
          <w:p w14:paraId="39CBA3E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一类</w:t>
            </w:r>
          </w:p>
        </w:tc>
        <w:tc>
          <w:tcPr>
            <w:tcW w:w="1080" w:type="dxa"/>
            <w:tcBorders>
              <w:top w:val="nil"/>
              <w:left w:val="nil"/>
              <w:bottom w:val="single" w:color="auto" w:sz="4" w:space="0"/>
              <w:right w:val="single" w:color="auto" w:sz="4" w:space="0"/>
            </w:tcBorders>
            <w:shd w:val="clear" w:color="auto" w:fill="auto"/>
            <w:noWrap/>
            <w:vAlign w:val="bottom"/>
          </w:tcPr>
          <w:p w14:paraId="6A076B5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成都市</w:t>
            </w:r>
          </w:p>
        </w:tc>
        <w:tc>
          <w:tcPr>
            <w:tcW w:w="2140" w:type="dxa"/>
            <w:tcBorders>
              <w:top w:val="nil"/>
              <w:left w:val="nil"/>
              <w:bottom w:val="single" w:color="auto" w:sz="4" w:space="0"/>
              <w:right w:val="single" w:color="auto" w:sz="4" w:space="0"/>
            </w:tcBorders>
            <w:shd w:val="clear" w:color="auto" w:fill="auto"/>
            <w:noWrap/>
            <w:vAlign w:val="center"/>
          </w:tcPr>
          <w:p w14:paraId="1FFFF60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汽车</w:t>
            </w:r>
          </w:p>
        </w:tc>
        <w:tc>
          <w:tcPr>
            <w:tcW w:w="2140" w:type="dxa"/>
            <w:tcBorders>
              <w:top w:val="nil"/>
              <w:left w:val="nil"/>
              <w:bottom w:val="single" w:color="auto" w:sz="4" w:space="0"/>
              <w:right w:val="single" w:color="auto" w:sz="4" w:space="0"/>
            </w:tcBorders>
            <w:shd w:val="clear" w:color="auto" w:fill="auto"/>
            <w:noWrap/>
            <w:vAlign w:val="center"/>
          </w:tcPr>
          <w:p w14:paraId="639DF9C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控制区</w:t>
            </w:r>
          </w:p>
        </w:tc>
      </w:tr>
      <w:tr w14:paraId="2985DAF8">
        <w:tblPrEx>
          <w:tblCellMar>
            <w:top w:w="0" w:type="dxa"/>
            <w:left w:w="108" w:type="dxa"/>
            <w:bottom w:w="0" w:type="dxa"/>
            <w:right w:w="108" w:type="dxa"/>
          </w:tblCellMar>
        </w:tblPrEx>
        <w:trPr>
          <w:trHeight w:val="300" w:hRule="atLeast"/>
          <w:jc w:val="center"/>
        </w:trPr>
        <w:tc>
          <w:tcPr>
            <w:tcW w:w="1271" w:type="dxa"/>
            <w:tcBorders>
              <w:top w:val="nil"/>
              <w:left w:val="single" w:color="auto" w:sz="4" w:space="0"/>
              <w:bottom w:val="single" w:color="auto" w:sz="4" w:space="0"/>
              <w:right w:val="single" w:color="auto" w:sz="4" w:space="0"/>
            </w:tcBorders>
            <w:shd w:val="clear" w:color="auto" w:fill="auto"/>
            <w:noWrap/>
            <w:vAlign w:val="center"/>
          </w:tcPr>
          <w:p w14:paraId="7707672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企业5</w:t>
            </w:r>
          </w:p>
        </w:tc>
        <w:tc>
          <w:tcPr>
            <w:tcW w:w="1080" w:type="dxa"/>
            <w:tcBorders>
              <w:top w:val="nil"/>
              <w:left w:val="nil"/>
              <w:bottom w:val="single" w:color="auto" w:sz="4" w:space="0"/>
              <w:right w:val="single" w:color="auto" w:sz="4" w:space="0"/>
            </w:tcBorders>
            <w:shd w:val="clear" w:color="auto" w:fill="auto"/>
            <w:noWrap/>
            <w:vAlign w:val="center"/>
          </w:tcPr>
          <w:p w14:paraId="12FF05C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一类</w:t>
            </w:r>
          </w:p>
        </w:tc>
        <w:tc>
          <w:tcPr>
            <w:tcW w:w="1080" w:type="dxa"/>
            <w:tcBorders>
              <w:top w:val="nil"/>
              <w:left w:val="nil"/>
              <w:bottom w:val="single" w:color="auto" w:sz="4" w:space="0"/>
              <w:right w:val="single" w:color="auto" w:sz="4" w:space="0"/>
            </w:tcBorders>
            <w:shd w:val="clear" w:color="auto" w:fill="auto"/>
            <w:noWrap/>
            <w:vAlign w:val="bottom"/>
          </w:tcPr>
          <w:p w14:paraId="0D05133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成都市</w:t>
            </w:r>
          </w:p>
        </w:tc>
        <w:tc>
          <w:tcPr>
            <w:tcW w:w="2140" w:type="dxa"/>
            <w:tcBorders>
              <w:top w:val="nil"/>
              <w:left w:val="nil"/>
              <w:bottom w:val="single" w:color="auto" w:sz="4" w:space="0"/>
              <w:right w:val="single" w:color="auto" w:sz="4" w:space="0"/>
            </w:tcBorders>
            <w:shd w:val="clear" w:color="auto" w:fill="auto"/>
            <w:noWrap/>
            <w:vAlign w:val="center"/>
          </w:tcPr>
          <w:p w14:paraId="38C8530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汽车</w:t>
            </w:r>
          </w:p>
        </w:tc>
        <w:tc>
          <w:tcPr>
            <w:tcW w:w="2140" w:type="dxa"/>
            <w:tcBorders>
              <w:top w:val="nil"/>
              <w:left w:val="nil"/>
              <w:bottom w:val="single" w:color="auto" w:sz="4" w:space="0"/>
              <w:right w:val="single" w:color="auto" w:sz="4" w:space="0"/>
            </w:tcBorders>
            <w:shd w:val="clear" w:color="auto" w:fill="auto"/>
            <w:noWrap/>
            <w:vAlign w:val="center"/>
          </w:tcPr>
          <w:p w14:paraId="0E43F09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控制区</w:t>
            </w:r>
          </w:p>
        </w:tc>
      </w:tr>
      <w:tr w14:paraId="0E679320">
        <w:tblPrEx>
          <w:tblCellMar>
            <w:top w:w="0" w:type="dxa"/>
            <w:left w:w="108" w:type="dxa"/>
            <w:bottom w:w="0" w:type="dxa"/>
            <w:right w:w="108" w:type="dxa"/>
          </w:tblCellMar>
        </w:tblPrEx>
        <w:trPr>
          <w:trHeight w:val="300" w:hRule="atLeast"/>
          <w:jc w:val="center"/>
        </w:trPr>
        <w:tc>
          <w:tcPr>
            <w:tcW w:w="1271" w:type="dxa"/>
            <w:tcBorders>
              <w:top w:val="nil"/>
              <w:left w:val="single" w:color="auto" w:sz="4" w:space="0"/>
              <w:bottom w:val="single" w:color="auto" w:sz="4" w:space="0"/>
              <w:right w:val="single" w:color="auto" w:sz="4" w:space="0"/>
            </w:tcBorders>
            <w:shd w:val="clear" w:color="auto" w:fill="auto"/>
            <w:noWrap/>
            <w:vAlign w:val="center"/>
          </w:tcPr>
          <w:p w14:paraId="556E549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企业6</w:t>
            </w:r>
          </w:p>
        </w:tc>
        <w:tc>
          <w:tcPr>
            <w:tcW w:w="1080" w:type="dxa"/>
            <w:tcBorders>
              <w:top w:val="nil"/>
              <w:left w:val="nil"/>
              <w:bottom w:val="single" w:color="auto" w:sz="4" w:space="0"/>
              <w:right w:val="single" w:color="auto" w:sz="4" w:space="0"/>
            </w:tcBorders>
            <w:shd w:val="clear" w:color="auto" w:fill="auto"/>
            <w:noWrap/>
            <w:vAlign w:val="center"/>
          </w:tcPr>
          <w:p w14:paraId="66BA011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一类</w:t>
            </w:r>
          </w:p>
        </w:tc>
        <w:tc>
          <w:tcPr>
            <w:tcW w:w="1080" w:type="dxa"/>
            <w:tcBorders>
              <w:top w:val="nil"/>
              <w:left w:val="nil"/>
              <w:bottom w:val="single" w:color="auto" w:sz="4" w:space="0"/>
              <w:right w:val="single" w:color="auto" w:sz="4" w:space="0"/>
            </w:tcBorders>
            <w:shd w:val="clear" w:color="auto" w:fill="auto"/>
            <w:noWrap/>
            <w:vAlign w:val="bottom"/>
          </w:tcPr>
          <w:p w14:paraId="7A152A4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乐山市</w:t>
            </w:r>
          </w:p>
        </w:tc>
        <w:tc>
          <w:tcPr>
            <w:tcW w:w="2140" w:type="dxa"/>
            <w:tcBorders>
              <w:top w:val="nil"/>
              <w:left w:val="nil"/>
              <w:bottom w:val="single" w:color="auto" w:sz="4" w:space="0"/>
              <w:right w:val="single" w:color="auto" w:sz="4" w:space="0"/>
            </w:tcBorders>
            <w:shd w:val="clear" w:color="auto" w:fill="auto"/>
            <w:noWrap/>
            <w:vAlign w:val="center"/>
          </w:tcPr>
          <w:p w14:paraId="26E56B1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汽车</w:t>
            </w:r>
          </w:p>
        </w:tc>
        <w:tc>
          <w:tcPr>
            <w:tcW w:w="2140" w:type="dxa"/>
            <w:tcBorders>
              <w:top w:val="nil"/>
              <w:left w:val="nil"/>
              <w:bottom w:val="single" w:color="auto" w:sz="4" w:space="0"/>
              <w:right w:val="single" w:color="auto" w:sz="4" w:space="0"/>
            </w:tcBorders>
            <w:shd w:val="clear" w:color="auto" w:fill="auto"/>
            <w:noWrap/>
            <w:vAlign w:val="center"/>
          </w:tcPr>
          <w:p w14:paraId="0214C24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控制区</w:t>
            </w:r>
          </w:p>
        </w:tc>
      </w:tr>
      <w:tr w14:paraId="34478BB7">
        <w:tblPrEx>
          <w:tblCellMar>
            <w:top w:w="0" w:type="dxa"/>
            <w:left w:w="108" w:type="dxa"/>
            <w:bottom w:w="0" w:type="dxa"/>
            <w:right w:w="108" w:type="dxa"/>
          </w:tblCellMar>
        </w:tblPrEx>
        <w:trPr>
          <w:trHeight w:val="300" w:hRule="atLeast"/>
          <w:jc w:val="center"/>
        </w:trPr>
        <w:tc>
          <w:tcPr>
            <w:tcW w:w="1271" w:type="dxa"/>
            <w:tcBorders>
              <w:top w:val="nil"/>
              <w:left w:val="single" w:color="auto" w:sz="4" w:space="0"/>
              <w:bottom w:val="single" w:color="auto" w:sz="4" w:space="0"/>
              <w:right w:val="single" w:color="auto" w:sz="4" w:space="0"/>
            </w:tcBorders>
            <w:shd w:val="clear" w:color="auto" w:fill="auto"/>
            <w:noWrap/>
            <w:vAlign w:val="center"/>
          </w:tcPr>
          <w:p w14:paraId="306B15D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企业7</w:t>
            </w:r>
          </w:p>
        </w:tc>
        <w:tc>
          <w:tcPr>
            <w:tcW w:w="1080" w:type="dxa"/>
            <w:tcBorders>
              <w:top w:val="nil"/>
              <w:left w:val="nil"/>
              <w:bottom w:val="single" w:color="auto" w:sz="4" w:space="0"/>
              <w:right w:val="single" w:color="auto" w:sz="4" w:space="0"/>
            </w:tcBorders>
            <w:shd w:val="clear" w:color="auto" w:fill="auto"/>
            <w:noWrap/>
            <w:vAlign w:val="center"/>
          </w:tcPr>
          <w:p w14:paraId="75F0ED2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000000"/>
                <w:kern w:val="0"/>
                <w:sz w:val="21"/>
                <w:szCs w:val="21"/>
                <w:highlight w:val="none"/>
                <w:lang w:eastAsia="zh-CN"/>
              </w:rPr>
            </w:pPr>
            <w:r>
              <w:rPr>
                <w:rFonts w:hint="default" w:ascii="Times New Roman" w:hAnsi="Times New Roman" w:cs="Times New Roman"/>
                <w:color w:val="000000"/>
                <w:kern w:val="0"/>
                <w:sz w:val="21"/>
                <w:szCs w:val="21"/>
                <w:highlight w:val="none"/>
                <w:lang w:val="en-US" w:eastAsia="zh-CN"/>
              </w:rPr>
              <w:t>二类</w:t>
            </w:r>
          </w:p>
        </w:tc>
        <w:tc>
          <w:tcPr>
            <w:tcW w:w="1080" w:type="dxa"/>
            <w:tcBorders>
              <w:top w:val="nil"/>
              <w:left w:val="nil"/>
              <w:bottom w:val="single" w:color="auto" w:sz="4" w:space="0"/>
              <w:right w:val="single" w:color="auto" w:sz="4" w:space="0"/>
            </w:tcBorders>
            <w:shd w:val="clear" w:color="auto" w:fill="auto"/>
            <w:noWrap/>
            <w:vAlign w:val="bottom"/>
          </w:tcPr>
          <w:p w14:paraId="144DE78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成都市</w:t>
            </w:r>
          </w:p>
        </w:tc>
        <w:tc>
          <w:tcPr>
            <w:tcW w:w="2140" w:type="dxa"/>
            <w:tcBorders>
              <w:top w:val="nil"/>
              <w:left w:val="nil"/>
              <w:bottom w:val="single" w:color="auto" w:sz="4" w:space="0"/>
              <w:right w:val="single" w:color="auto" w:sz="4" w:space="0"/>
            </w:tcBorders>
            <w:shd w:val="clear" w:color="auto" w:fill="auto"/>
            <w:noWrap/>
            <w:vAlign w:val="center"/>
          </w:tcPr>
          <w:p w14:paraId="3EC246D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汽车</w:t>
            </w:r>
          </w:p>
        </w:tc>
        <w:tc>
          <w:tcPr>
            <w:tcW w:w="2140" w:type="dxa"/>
            <w:tcBorders>
              <w:top w:val="nil"/>
              <w:left w:val="nil"/>
              <w:bottom w:val="single" w:color="auto" w:sz="4" w:space="0"/>
              <w:right w:val="single" w:color="auto" w:sz="4" w:space="0"/>
            </w:tcBorders>
            <w:shd w:val="clear" w:color="auto" w:fill="auto"/>
            <w:noWrap/>
            <w:vAlign w:val="center"/>
          </w:tcPr>
          <w:p w14:paraId="7379E62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控制区</w:t>
            </w:r>
          </w:p>
        </w:tc>
      </w:tr>
      <w:tr w14:paraId="698C483C">
        <w:tblPrEx>
          <w:tblCellMar>
            <w:top w:w="0" w:type="dxa"/>
            <w:left w:w="108" w:type="dxa"/>
            <w:bottom w:w="0" w:type="dxa"/>
            <w:right w:w="108" w:type="dxa"/>
          </w:tblCellMar>
        </w:tblPrEx>
        <w:trPr>
          <w:trHeight w:val="300" w:hRule="atLeast"/>
          <w:jc w:val="center"/>
        </w:trPr>
        <w:tc>
          <w:tcPr>
            <w:tcW w:w="1271" w:type="dxa"/>
            <w:tcBorders>
              <w:top w:val="nil"/>
              <w:left w:val="single" w:color="auto" w:sz="4" w:space="0"/>
              <w:bottom w:val="single" w:color="auto" w:sz="4" w:space="0"/>
              <w:right w:val="single" w:color="auto" w:sz="4" w:space="0"/>
            </w:tcBorders>
            <w:shd w:val="clear" w:color="auto" w:fill="auto"/>
            <w:noWrap/>
            <w:vAlign w:val="center"/>
          </w:tcPr>
          <w:p w14:paraId="19F0E61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企业8</w:t>
            </w:r>
          </w:p>
        </w:tc>
        <w:tc>
          <w:tcPr>
            <w:tcW w:w="1080" w:type="dxa"/>
            <w:tcBorders>
              <w:top w:val="nil"/>
              <w:left w:val="nil"/>
              <w:bottom w:val="single" w:color="auto" w:sz="4" w:space="0"/>
              <w:right w:val="single" w:color="auto" w:sz="4" w:space="0"/>
            </w:tcBorders>
            <w:shd w:val="clear" w:color="auto" w:fill="auto"/>
            <w:noWrap/>
            <w:vAlign w:val="center"/>
          </w:tcPr>
          <w:p w14:paraId="41B5FE6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二类</w:t>
            </w:r>
          </w:p>
        </w:tc>
        <w:tc>
          <w:tcPr>
            <w:tcW w:w="1080" w:type="dxa"/>
            <w:tcBorders>
              <w:top w:val="nil"/>
              <w:left w:val="nil"/>
              <w:bottom w:val="single" w:color="auto" w:sz="4" w:space="0"/>
              <w:right w:val="single" w:color="auto" w:sz="4" w:space="0"/>
            </w:tcBorders>
            <w:shd w:val="clear" w:color="auto" w:fill="auto"/>
            <w:noWrap/>
            <w:vAlign w:val="bottom"/>
          </w:tcPr>
          <w:p w14:paraId="3FD9457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绵阳市</w:t>
            </w:r>
          </w:p>
        </w:tc>
        <w:tc>
          <w:tcPr>
            <w:tcW w:w="2140" w:type="dxa"/>
            <w:tcBorders>
              <w:top w:val="nil"/>
              <w:left w:val="nil"/>
              <w:bottom w:val="single" w:color="auto" w:sz="4" w:space="0"/>
              <w:right w:val="single" w:color="auto" w:sz="4" w:space="0"/>
            </w:tcBorders>
            <w:shd w:val="clear" w:color="auto" w:fill="auto"/>
            <w:noWrap/>
            <w:vAlign w:val="center"/>
          </w:tcPr>
          <w:p w14:paraId="095DECF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汽车</w:t>
            </w:r>
          </w:p>
        </w:tc>
        <w:tc>
          <w:tcPr>
            <w:tcW w:w="2140" w:type="dxa"/>
            <w:tcBorders>
              <w:top w:val="nil"/>
              <w:left w:val="nil"/>
              <w:bottom w:val="single" w:color="auto" w:sz="4" w:space="0"/>
              <w:right w:val="single" w:color="auto" w:sz="4" w:space="0"/>
            </w:tcBorders>
            <w:shd w:val="clear" w:color="auto" w:fill="auto"/>
            <w:noWrap/>
            <w:vAlign w:val="center"/>
          </w:tcPr>
          <w:p w14:paraId="0E51C47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控制区</w:t>
            </w:r>
          </w:p>
        </w:tc>
      </w:tr>
      <w:tr w14:paraId="4CB4FCE5">
        <w:tblPrEx>
          <w:tblCellMar>
            <w:top w:w="0" w:type="dxa"/>
            <w:left w:w="108" w:type="dxa"/>
            <w:bottom w:w="0" w:type="dxa"/>
            <w:right w:w="108" w:type="dxa"/>
          </w:tblCellMar>
        </w:tblPrEx>
        <w:trPr>
          <w:trHeight w:val="300" w:hRule="atLeast"/>
          <w:jc w:val="center"/>
        </w:trPr>
        <w:tc>
          <w:tcPr>
            <w:tcW w:w="1271" w:type="dxa"/>
            <w:tcBorders>
              <w:top w:val="nil"/>
              <w:left w:val="single" w:color="auto" w:sz="4" w:space="0"/>
              <w:bottom w:val="single" w:color="auto" w:sz="4" w:space="0"/>
              <w:right w:val="single" w:color="auto" w:sz="4" w:space="0"/>
            </w:tcBorders>
            <w:shd w:val="clear" w:color="auto" w:fill="auto"/>
            <w:noWrap/>
            <w:vAlign w:val="center"/>
          </w:tcPr>
          <w:p w14:paraId="21079AB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企业9</w:t>
            </w:r>
          </w:p>
        </w:tc>
        <w:tc>
          <w:tcPr>
            <w:tcW w:w="1080" w:type="dxa"/>
            <w:tcBorders>
              <w:top w:val="nil"/>
              <w:left w:val="nil"/>
              <w:bottom w:val="single" w:color="auto" w:sz="4" w:space="0"/>
              <w:right w:val="single" w:color="auto" w:sz="4" w:space="0"/>
            </w:tcBorders>
            <w:shd w:val="clear" w:color="auto" w:fill="auto"/>
            <w:noWrap/>
            <w:vAlign w:val="center"/>
          </w:tcPr>
          <w:p w14:paraId="77D213A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二类</w:t>
            </w:r>
          </w:p>
        </w:tc>
        <w:tc>
          <w:tcPr>
            <w:tcW w:w="1080" w:type="dxa"/>
            <w:tcBorders>
              <w:top w:val="nil"/>
              <w:left w:val="nil"/>
              <w:bottom w:val="single" w:color="auto" w:sz="4" w:space="0"/>
              <w:right w:val="single" w:color="auto" w:sz="4" w:space="0"/>
            </w:tcBorders>
            <w:shd w:val="clear" w:color="auto" w:fill="auto"/>
            <w:noWrap/>
            <w:vAlign w:val="bottom"/>
          </w:tcPr>
          <w:p w14:paraId="2F0A7F9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绵阳市</w:t>
            </w:r>
          </w:p>
        </w:tc>
        <w:tc>
          <w:tcPr>
            <w:tcW w:w="2140" w:type="dxa"/>
            <w:tcBorders>
              <w:top w:val="nil"/>
              <w:left w:val="nil"/>
              <w:bottom w:val="single" w:color="auto" w:sz="4" w:space="0"/>
              <w:right w:val="single" w:color="auto" w:sz="4" w:space="0"/>
            </w:tcBorders>
            <w:shd w:val="clear" w:color="auto" w:fill="auto"/>
            <w:noWrap/>
            <w:vAlign w:val="center"/>
          </w:tcPr>
          <w:p w14:paraId="4E70389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汽车</w:t>
            </w:r>
          </w:p>
        </w:tc>
        <w:tc>
          <w:tcPr>
            <w:tcW w:w="2140" w:type="dxa"/>
            <w:tcBorders>
              <w:top w:val="nil"/>
              <w:left w:val="nil"/>
              <w:bottom w:val="single" w:color="auto" w:sz="4" w:space="0"/>
              <w:right w:val="single" w:color="auto" w:sz="4" w:space="0"/>
            </w:tcBorders>
            <w:shd w:val="clear" w:color="auto" w:fill="auto"/>
            <w:noWrap/>
            <w:vAlign w:val="center"/>
          </w:tcPr>
          <w:p w14:paraId="76EA895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控制区</w:t>
            </w:r>
          </w:p>
        </w:tc>
      </w:tr>
      <w:tr w14:paraId="09E058B3">
        <w:tblPrEx>
          <w:tblCellMar>
            <w:top w:w="0" w:type="dxa"/>
            <w:left w:w="108" w:type="dxa"/>
            <w:bottom w:w="0" w:type="dxa"/>
            <w:right w:w="108" w:type="dxa"/>
          </w:tblCellMar>
        </w:tblPrEx>
        <w:trPr>
          <w:trHeight w:val="300" w:hRule="atLeast"/>
          <w:jc w:val="center"/>
        </w:trPr>
        <w:tc>
          <w:tcPr>
            <w:tcW w:w="1271" w:type="dxa"/>
            <w:tcBorders>
              <w:top w:val="nil"/>
              <w:left w:val="single" w:color="auto" w:sz="4" w:space="0"/>
              <w:bottom w:val="single" w:color="auto" w:sz="4" w:space="0"/>
              <w:right w:val="single" w:color="auto" w:sz="4" w:space="0"/>
            </w:tcBorders>
            <w:shd w:val="clear" w:color="auto" w:fill="auto"/>
            <w:noWrap/>
            <w:vAlign w:val="center"/>
          </w:tcPr>
          <w:p w14:paraId="1B9FB22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企业10</w:t>
            </w:r>
          </w:p>
        </w:tc>
        <w:tc>
          <w:tcPr>
            <w:tcW w:w="1080" w:type="dxa"/>
            <w:tcBorders>
              <w:top w:val="nil"/>
              <w:left w:val="nil"/>
              <w:bottom w:val="single" w:color="auto" w:sz="4" w:space="0"/>
              <w:right w:val="single" w:color="auto" w:sz="4" w:space="0"/>
            </w:tcBorders>
            <w:shd w:val="clear" w:color="auto" w:fill="auto"/>
            <w:noWrap/>
            <w:vAlign w:val="center"/>
          </w:tcPr>
          <w:p w14:paraId="163A7CB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二类</w:t>
            </w:r>
          </w:p>
        </w:tc>
        <w:tc>
          <w:tcPr>
            <w:tcW w:w="1080" w:type="dxa"/>
            <w:tcBorders>
              <w:top w:val="nil"/>
              <w:left w:val="nil"/>
              <w:bottom w:val="single" w:color="auto" w:sz="4" w:space="0"/>
              <w:right w:val="single" w:color="auto" w:sz="4" w:space="0"/>
            </w:tcBorders>
            <w:shd w:val="clear" w:color="auto" w:fill="auto"/>
            <w:noWrap/>
            <w:vAlign w:val="bottom"/>
          </w:tcPr>
          <w:p w14:paraId="3FA7167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达州市</w:t>
            </w:r>
          </w:p>
        </w:tc>
        <w:tc>
          <w:tcPr>
            <w:tcW w:w="2140" w:type="dxa"/>
            <w:tcBorders>
              <w:top w:val="nil"/>
              <w:left w:val="nil"/>
              <w:bottom w:val="single" w:color="auto" w:sz="4" w:space="0"/>
              <w:right w:val="single" w:color="auto" w:sz="4" w:space="0"/>
            </w:tcBorders>
            <w:shd w:val="clear" w:color="auto" w:fill="auto"/>
            <w:noWrap/>
            <w:vAlign w:val="center"/>
          </w:tcPr>
          <w:p w14:paraId="3DDA4A4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汽车</w:t>
            </w:r>
          </w:p>
        </w:tc>
        <w:tc>
          <w:tcPr>
            <w:tcW w:w="2140" w:type="dxa"/>
            <w:tcBorders>
              <w:top w:val="nil"/>
              <w:left w:val="nil"/>
              <w:bottom w:val="single" w:color="auto" w:sz="4" w:space="0"/>
              <w:right w:val="single" w:color="auto" w:sz="4" w:space="0"/>
            </w:tcBorders>
            <w:shd w:val="clear" w:color="auto" w:fill="auto"/>
            <w:noWrap/>
            <w:vAlign w:val="center"/>
          </w:tcPr>
          <w:p w14:paraId="69A14EF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控制区</w:t>
            </w:r>
          </w:p>
        </w:tc>
      </w:tr>
      <w:tr w14:paraId="5AC5536C">
        <w:tblPrEx>
          <w:tblCellMar>
            <w:top w:w="0" w:type="dxa"/>
            <w:left w:w="108" w:type="dxa"/>
            <w:bottom w:w="0" w:type="dxa"/>
            <w:right w:w="108" w:type="dxa"/>
          </w:tblCellMar>
        </w:tblPrEx>
        <w:trPr>
          <w:trHeight w:val="300" w:hRule="atLeast"/>
          <w:jc w:val="center"/>
        </w:trPr>
        <w:tc>
          <w:tcPr>
            <w:tcW w:w="1271" w:type="dxa"/>
            <w:tcBorders>
              <w:top w:val="nil"/>
              <w:left w:val="single" w:color="auto" w:sz="4" w:space="0"/>
              <w:bottom w:val="single" w:color="auto" w:sz="4" w:space="0"/>
              <w:right w:val="single" w:color="auto" w:sz="4" w:space="0"/>
            </w:tcBorders>
            <w:shd w:val="clear" w:color="auto" w:fill="auto"/>
            <w:noWrap/>
            <w:vAlign w:val="center"/>
          </w:tcPr>
          <w:p w14:paraId="48E9436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企业11</w:t>
            </w:r>
          </w:p>
        </w:tc>
        <w:tc>
          <w:tcPr>
            <w:tcW w:w="1080" w:type="dxa"/>
            <w:tcBorders>
              <w:top w:val="nil"/>
              <w:left w:val="nil"/>
              <w:bottom w:val="single" w:color="auto" w:sz="4" w:space="0"/>
              <w:right w:val="single" w:color="auto" w:sz="4" w:space="0"/>
            </w:tcBorders>
            <w:shd w:val="clear" w:color="auto" w:fill="auto"/>
            <w:noWrap/>
            <w:vAlign w:val="center"/>
          </w:tcPr>
          <w:p w14:paraId="1BAAAB7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二类</w:t>
            </w:r>
          </w:p>
        </w:tc>
        <w:tc>
          <w:tcPr>
            <w:tcW w:w="1080" w:type="dxa"/>
            <w:tcBorders>
              <w:top w:val="nil"/>
              <w:left w:val="nil"/>
              <w:bottom w:val="single" w:color="auto" w:sz="4" w:space="0"/>
              <w:right w:val="single" w:color="auto" w:sz="4" w:space="0"/>
            </w:tcBorders>
            <w:shd w:val="clear" w:color="auto" w:fill="auto"/>
            <w:noWrap/>
            <w:vAlign w:val="center"/>
          </w:tcPr>
          <w:p w14:paraId="1692E9B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达州市</w:t>
            </w:r>
          </w:p>
        </w:tc>
        <w:tc>
          <w:tcPr>
            <w:tcW w:w="2140" w:type="dxa"/>
            <w:tcBorders>
              <w:top w:val="nil"/>
              <w:left w:val="nil"/>
              <w:bottom w:val="single" w:color="auto" w:sz="4" w:space="0"/>
              <w:right w:val="single" w:color="auto" w:sz="4" w:space="0"/>
            </w:tcBorders>
            <w:shd w:val="clear" w:color="auto" w:fill="auto"/>
            <w:noWrap/>
            <w:vAlign w:val="center"/>
          </w:tcPr>
          <w:p w14:paraId="7AC62BE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汽车</w:t>
            </w:r>
          </w:p>
        </w:tc>
        <w:tc>
          <w:tcPr>
            <w:tcW w:w="2140" w:type="dxa"/>
            <w:tcBorders>
              <w:top w:val="nil"/>
              <w:left w:val="nil"/>
              <w:bottom w:val="single" w:color="auto" w:sz="4" w:space="0"/>
              <w:right w:val="single" w:color="auto" w:sz="4" w:space="0"/>
            </w:tcBorders>
            <w:shd w:val="clear" w:color="auto" w:fill="auto"/>
            <w:noWrap/>
            <w:vAlign w:val="center"/>
          </w:tcPr>
          <w:p w14:paraId="3F6A26D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控制区</w:t>
            </w:r>
          </w:p>
        </w:tc>
      </w:tr>
      <w:tr w14:paraId="39E8A586">
        <w:tblPrEx>
          <w:tblCellMar>
            <w:top w:w="0" w:type="dxa"/>
            <w:left w:w="108" w:type="dxa"/>
            <w:bottom w:w="0" w:type="dxa"/>
            <w:right w:w="108" w:type="dxa"/>
          </w:tblCellMar>
        </w:tblPrEx>
        <w:trPr>
          <w:trHeight w:val="300" w:hRule="atLeast"/>
          <w:jc w:val="center"/>
        </w:trPr>
        <w:tc>
          <w:tcPr>
            <w:tcW w:w="1271" w:type="dxa"/>
            <w:tcBorders>
              <w:top w:val="single" w:color="auto" w:sz="4" w:space="0"/>
              <w:left w:val="single" w:color="auto" w:sz="4" w:space="0"/>
              <w:bottom w:val="single" w:color="auto" w:sz="4" w:space="0"/>
              <w:right w:val="single" w:color="auto" w:sz="4" w:space="0"/>
            </w:tcBorders>
            <w:shd w:val="clear" w:color="auto" w:fill="auto"/>
            <w:noWrap/>
          </w:tcPr>
          <w:p w14:paraId="5C9F141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企业12</w:t>
            </w:r>
          </w:p>
        </w:tc>
        <w:tc>
          <w:tcPr>
            <w:tcW w:w="1080" w:type="dxa"/>
            <w:tcBorders>
              <w:top w:val="single" w:color="auto" w:sz="4" w:space="0"/>
              <w:left w:val="nil"/>
              <w:bottom w:val="single" w:color="auto" w:sz="4" w:space="0"/>
              <w:right w:val="single" w:color="auto" w:sz="4" w:space="0"/>
            </w:tcBorders>
            <w:shd w:val="clear" w:color="auto" w:fill="auto"/>
            <w:noWrap/>
            <w:vAlign w:val="center"/>
          </w:tcPr>
          <w:p w14:paraId="29912D1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二类</w:t>
            </w:r>
          </w:p>
        </w:tc>
        <w:tc>
          <w:tcPr>
            <w:tcW w:w="1080" w:type="dxa"/>
            <w:tcBorders>
              <w:top w:val="single" w:color="auto" w:sz="4" w:space="0"/>
              <w:left w:val="nil"/>
              <w:bottom w:val="single" w:color="auto" w:sz="4" w:space="0"/>
              <w:right w:val="single" w:color="auto" w:sz="4" w:space="0"/>
            </w:tcBorders>
            <w:shd w:val="clear" w:color="auto" w:fill="auto"/>
            <w:noWrap/>
            <w:vAlign w:val="center"/>
          </w:tcPr>
          <w:p w14:paraId="7B713E3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宜宾市</w:t>
            </w:r>
          </w:p>
        </w:tc>
        <w:tc>
          <w:tcPr>
            <w:tcW w:w="2140" w:type="dxa"/>
            <w:tcBorders>
              <w:top w:val="single" w:color="auto" w:sz="4" w:space="0"/>
              <w:left w:val="nil"/>
              <w:bottom w:val="single" w:color="auto" w:sz="4" w:space="0"/>
              <w:right w:val="single" w:color="auto" w:sz="4" w:space="0"/>
            </w:tcBorders>
            <w:shd w:val="clear" w:color="auto" w:fill="auto"/>
            <w:noWrap/>
            <w:vAlign w:val="center"/>
          </w:tcPr>
          <w:p w14:paraId="633EE70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汽车</w:t>
            </w:r>
          </w:p>
        </w:tc>
        <w:tc>
          <w:tcPr>
            <w:tcW w:w="2140" w:type="dxa"/>
            <w:tcBorders>
              <w:top w:val="single" w:color="auto" w:sz="4" w:space="0"/>
              <w:left w:val="nil"/>
              <w:bottom w:val="single" w:color="auto" w:sz="4" w:space="0"/>
              <w:right w:val="single" w:color="auto" w:sz="4" w:space="0"/>
            </w:tcBorders>
            <w:shd w:val="clear" w:color="auto" w:fill="auto"/>
            <w:noWrap/>
            <w:vAlign w:val="center"/>
          </w:tcPr>
          <w:p w14:paraId="0B838F8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控制区</w:t>
            </w:r>
          </w:p>
        </w:tc>
      </w:tr>
      <w:tr w14:paraId="4B9BBC11">
        <w:tblPrEx>
          <w:tblCellMar>
            <w:top w:w="0" w:type="dxa"/>
            <w:left w:w="108" w:type="dxa"/>
            <w:bottom w:w="0" w:type="dxa"/>
            <w:right w:w="108" w:type="dxa"/>
          </w:tblCellMar>
        </w:tblPrEx>
        <w:trPr>
          <w:trHeight w:val="300" w:hRule="atLeast"/>
          <w:jc w:val="center"/>
        </w:trPr>
        <w:tc>
          <w:tcPr>
            <w:tcW w:w="1271" w:type="dxa"/>
            <w:tcBorders>
              <w:top w:val="single" w:color="auto" w:sz="4" w:space="0"/>
              <w:left w:val="single" w:color="auto" w:sz="4" w:space="0"/>
              <w:bottom w:val="single" w:color="auto" w:sz="4" w:space="0"/>
              <w:right w:val="single" w:color="auto" w:sz="4" w:space="0"/>
            </w:tcBorders>
            <w:shd w:val="clear" w:color="auto" w:fill="auto"/>
            <w:noWrap/>
          </w:tcPr>
          <w:p w14:paraId="1C5502C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企业13</w:t>
            </w:r>
          </w:p>
        </w:tc>
        <w:tc>
          <w:tcPr>
            <w:tcW w:w="1080" w:type="dxa"/>
            <w:tcBorders>
              <w:top w:val="single" w:color="auto" w:sz="4" w:space="0"/>
              <w:left w:val="nil"/>
              <w:bottom w:val="single" w:color="auto" w:sz="4" w:space="0"/>
              <w:right w:val="single" w:color="auto" w:sz="4" w:space="0"/>
            </w:tcBorders>
            <w:shd w:val="clear" w:color="auto" w:fill="auto"/>
            <w:noWrap/>
            <w:vAlign w:val="center"/>
          </w:tcPr>
          <w:p w14:paraId="1426AF0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一类</w:t>
            </w:r>
          </w:p>
        </w:tc>
        <w:tc>
          <w:tcPr>
            <w:tcW w:w="1080" w:type="dxa"/>
            <w:tcBorders>
              <w:top w:val="single" w:color="auto" w:sz="4" w:space="0"/>
              <w:left w:val="nil"/>
              <w:bottom w:val="single" w:color="auto" w:sz="4" w:space="0"/>
              <w:right w:val="single" w:color="auto" w:sz="4" w:space="0"/>
            </w:tcBorders>
            <w:shd w:val="clear" w:color="auto" w:fill="auto"/>
            <w:noWrap/>
            <w:vAlign w:val="center"/>
          </w:tcPr>
          <w:p w14:paraId="000C035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宜宾市</w:t>
            </w:r>
          </w:p>
        </w:tc>
        <w:tc>
          <w:tcPr>
            <w:tcW w:w="2140" w:type="dxa"/>
            <w:tcBorders>
              <w:top w:val="single" w:color="auto" w:sz="4" w:space="0"/>
              <w:left w:val="nil"/>
              <w:bottom w:val="single" w:color="auto" w:sz="4" w:space="0"/>
              <w:right w:val="single" w:color="auto" w:sz="4" w:space="0"/>
            </w:tcBorders>
            <w:shd w:val="clear" w:color="auto" w:fill="auto"/>
            <w:noWrap/>
            <w:vAlign w:val="center"/>
          </w:tcPr>
          <w:p w14:paraId="5D2C719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汽车、公交车</w:t>
            </w:r>
          </w:p>
        </w:tc>
        <w:tc>
          <w:tcPr>
            <w:tcW w:w="2140" w:type="dxa"/>
            <w:tcBorders>
              <w:top w:val="single" w:color="auto" w:sz="4" w:space="0"/>
              <w:left w:val="nil"/>
              <w:bottom w:val="single" w:color="auto" w:sz="4" w:space="0"/>
              <w:right w:val="single" w:color="auto" w:sz="4" w:space="0"/>
            </w:tcBorders>
            <w:shd w:val="clear" w:color="auto" w:fill="auto"/>
            <w:noWrap/>
            <w:vAlign w:val="center"/>
          </w:tcPr>
          <w:p w14:paraId="4E3F132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控制区</w:t>
            </w:r>
          </w:p>
        </w:tc>
      </w:tr>
      <w:tr w14:paraId="4A224890">
        <w:tblPrEx>
          <w:tblCellMar>
            <w:top w:w="0" w:type="dxa"/>
            <w:left w:w="108" w:type="dxa"/>
            <w:bottom w:w="0" w:type="dxa"/>
            <w:right w:w="108" w:type="dxa"/>
          </w:tblCellMar>
        </w:tblPrEx>
        <w:trPr>
          <w:trHeight w:val="300" w:hRule="atLeast"/>
          <w:jc w:val="center"/>
        </w:trPr>
        <w:tc>
          <w:tcPr>
            <w:tcW w:w="1271" w:type="dxa"/>
            <w:tcBorders>
              <w:top w:val="single" w:color="auto" w:sz="4" w:space="0"/>
              <w:left w:val="single" w:color="auto" w:sz="4" w:space="0"/>
              <w:bottom w:val="single" w:color="auto" w:sz="4" w:space="0"/>
              <w:right w:val="single" w:color="auto" w:sz="4" w:space="0"/>
            </w:tcBorders>
            <w:shd w:val="clear" w:color="auto" w:fill="auto"/>
            <w:noWrap/>
          </w:tcPr>
          <w:p w14:paraId="116F3A7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企业14</w:t>
            </w:r>
          </w:p>
        </w:tc>
        <w:tc>
          <w:tcPr>
            <w:tcW w:w="1080" w:type="dxa"/>
            <w:tcBorders>
              <w:top w:val="single" w:color="auto" w:sz="4" w:space="0"/>
              <w:left w:val="nil"/>
              <w:bottom w:val="single" w:color="auto" w:sz="4" w:space="0"/>
              <w:right w:val="single" w:color="auto" w:sz="4" w:space="0"/>
            </w:tcBorders>
            <w:shd w:val="clear" w:color="auto" w:fill="auto"/>
            <w:noWrap/>
            <w:vAlign w:val="center"/>
          </w:tcPr>
          <w:p w14:paraId="40B75AC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一类</w:t>
            </w:r>
          </w:p>
        </w:tc>
        <w:tc>
          <w:tcPr>
            <w:tcW w:w="1080" w:type="dxa"/>
            <w:tcBorders>
              <w:top w:val="single" w:color="auto" w:sz="4" w:space="0"/>
              <w:left w:val="nil"/>
              <w:bottom w:val="single" w:color="auto" w:sz="4" w:space="0"/>
              <w:right w:val="single" w:color="auto" w:sz="4" w:space="0"/>
            </w:tcBorders>
            <w:shd w:val="clear" w:color="auto" w:fill="auto"/>
            <w:noWrap/>
            <w:vAlign w:val="center"/>
          </w:tcPr>
          <w:p w14:paraId="1DD8974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西昌市</w:t>
            </w:r>
          </w:p>
        </w:tc>
        <w:tc>
          <w:tcPr>
            <w:tcW w:w="2140" w:type="dxa"/>
            <w:tcBorders>
              <w:top w:val="single" w:color="auto" w:sz="4" w:space="0"/>
              <w:left w:val="nil"/>
              <w:bottom w:val="single" w:color="auto" w:sz="4" w:space="0"/>
              <w:right w:val="single" w:color="auto" w:sz="4" w:space="0"/>
            </w:tcBorders>
            <w:shd w:val="clear" w:color="auto" w:fill="auto"/>
            <w:noWrap/>
            <w:vAlign w:val="center"/>
          </w:tcPr>
          <w:p w14:paraId="308BA05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汽车</w:t>
            </w:r>
          </w:p>
        </w:tc>
        <w:tc>
          <w:tcPr>
            <w:tcW w:w="2140" w:type="dxa"/>
            <w:tcBorders>
              <w:top w:val="single" w:color="auto" w:sz="4" w:space="0"/>
              <w:left w:val="nil"/>
              <w:bottom w:val="single" w:color="auto" w:sz="4" w:space="0"/>
              <w:right w:val="single" w:color="auto" w:sz="4" w:space="0"/>
            </w:tcBorders>
            <w:shd w:val="clear" w:color="auto" w:fill="auto"/>
            <w:noWrap/>
            <w:vAlign w:val="center"/>
          </w:tcPr>
          <w:p w14:paraId="1B6FD6A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其他区</w:t>
            </w:r>
          </w:p>
        </w:tc>
      </w:tr>
      <w:tr w14:paraId="47D0D063">
        <w:tblPrEx>
          <w:tblCellMar>
            <w:top w:w="0" w:type="dxa"/>
            <w:left w:w="108" w:type="dxa"/>
            <w:bottom w:w="0" w:type="dxa"/>
            <w:right w:w="108" w:type="dxa"/>
          </w:tblCellMar>
        </w:tblPrEx>
        <w:trPr>
          <w:trHeight w:val="303" w:hRule="atLeast"/>
          <w:jc w:val="center"/>
        </w:trPr>
        <w:tc>
          <w:tcPr>
            <w:tcW w:w="1271" w:type="dxa"/>
            <w:tcBorders>
              <w:top w:val="single" w:color="auto" w:sz="4" w:space="0"/>
              <w:left w:val="single" w:color="auto" w:sz="4" w:space="0"/>
              <w:bottom w:val="single" w:color="auto" w:sz="4" w:space="0"/>
              <w:right w:val="single" w:color="auto" w:sz="4" w:space="0"/>
            </w:tcBorders>
            <w:shd w:val="clear" w:color="auto" w:fill="auto"/>
            <w:noWrap/>
          </w:tcPr>
          <w:p w14:paraId="4A74F03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企业15</w:t>
            </w:r>
          </w:p>
        </w:tc>
        <w:tc>
          <w:tcPr>
            <w:tcW w:w="1080" w:type="dxa"/>
            <w:tcBorders>
              <w:top w:val="single" w:color="auto" w:sz="4" w:space="0"/>
              <w:left w:val="nil"/>
              <w:bottom w:val="single" w:color="auto" w:sz="4" w:space="0"/>
              <w:right w:val="single" w:color="auto" w:sz="4" w:space="0"/>
            </w:tcBorders>
            <w:shd w:val="clear" w:color="auto" w:fill="auto"/>
            <w:noWrap/>
            <w:vAlign w:val="center"/>
          </w:tcPr>
          <w:p w14:paraId="694D7BB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二类</w:t>
            </w:r>
          </w:p>
        </w:tc>
        <w:tc>
          <w:tcPr>
            <w:tcW w:w="1080" w:type="dxa"/>
            <w:tcBorders>
              <w:top w:val="single" w:color="auto" w:sz="4" w:space="0"/>
              <w:left w:val="nil"/>
              <w:bottom w:val="single" w:color="auto" w:sz="4" w:space="0"/>
              <w:right w:val="single" w:color="auto" w:sz="4" w:space="0"/>
            </w:tcBorders>
            <w:shd w:val="clear" w:color="auto" w:fill="auto"/>
            <w:noWrap/>
            <w:vAlign w:val="center"/>
          </w:tcPr>
          <w:p w14:paraId="0A9EAE0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西昌市</w:t>
            </w:r>
          </w:p>
        </w:tc>
        <w:tc>
          <w:tcPr>
            <w:tcW w:w="2140" w:type="dxa"/>
            <w:tcBorders>
              <w:top w:val="single" w:color="auto" w:sz="4" w:space="0"/>
              <w:left w:val="nil"/>
              <w:bottom w:val="single" w:color="auto" w:sz="4" w:space="0"/>
              <w:right w:val="single" w:color="auto" w:sz="4" w:space="0"/>
            </w:tcBorders>
            <w:shd w:val="clear" w:color="auto" w:fill="auto"/>
            <w:noWrap/>
            <w:vAlign w:val="center"/>
          </w:tcPr>
          <w:p w14:paraId="604E064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汽车</w:t>
            </w:r>
          </w:p>
        </w:tc>
        <w:tc>
          <w:tcPr>
            <w:tcW w:w="2140" w:type="dxa"/>
            <w:tcBorders>
              <w:top w:val="single" w:color="auto" w:sz="4" w:space="0"/>
              <w:left w:val="nil"/>
              <w:bottom w:val="single" w:color="auto" w:sz="4" w:space="0"/>
              <w:right w:val="single" w:color="auto" w:sz="4" w:space="0"/>
            </w:tcBorders>
            <w:shd w:val="clear" w:color="auto" w:fill="auto"/>
            <w:noWrap/>
            <w:vAlign w:val="center"/>
          </w:tcPr>
          <w:p w14:paraId="5D25C5E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其他区</w:t>
            </w:r>
          </w:p>
        </w:tc>
      </w:tr>
    </w:tbl>
    <w:p w14:paraId="0C3D061E">
      <w:pPr>
        <w:keepNext/>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cs="Times New Roman"/>
          <w:highlight w:val="none"/>
        </w:rPr>
      </w:pPr>
      <w:r>
        <w:rPr>
          <w:rFonts w:hint="default" w:ascii="Times New Roman" w:hAnsi="Times New Roman" w:cs="Times New Roman"/>
          <w:highlight w:val="none"/>
        </w:rPr>
        <w:drawing>
          <wp:inline distT="0" distB="0" distL="0" distR="0">
            <wp:extent cx="2638425" cy="1978660"/>
            <wp:effectExtent l="0" t="0" r="13335" b="254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2648140" cy="1986265"/>
                    </a:xfrm>
                    <a:prstGeom prst="rect">
                      <a:avLst/>
                    </a:prstGeom>
                    <a:noFill/>
                    <a:ln>
                      <a:noFill/>
                    </a:ln>
                  </pic:spPr>
                </pic:pic>
              </a:graphicData>
            </a:graphic>
          </wp:inline>
        </w:drawing>
      </w:r>
      <w:r>
        <w:rPr>
          <w:rFonts w:hint="default" w:ascii="Times New Roman" w:hAnsi="Times New Roman" w:cs="Times New Roman"/>
          <w:highlight w:val="none"/>
        </w:rPr>
        <w:drawing>
          <wp:inline distT="0" distB="0" distL="0" distR="0">
            <wp:extent cx="2619375" cy="1964055"/>
            <wp:effectExtent l="0" t="0" r="1905" b="190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2646864" cy="1985308"/>
                    </a:xfrm>
                    <a:prstGeom prst="rect">
                      <a:avLst/>
                    </a:prstGeom>
                    <a:noFill/>
                    <a:ln>
                      <a:noFill/>
                    </a:ln>
                  </pic:spPr>
                </pic:pic>
              </a:graphicData>
            </a:graphic>
          </wp:inline>
        </w:drawing>
      </w:r>
    </w:p>
    <w:p w14:paraId="16287A28">
      <w:pPr>
        <w:keepNext/>
        <w:keepLines w:val="0"/>
        <w:pageBreakBefore w:val="0"/>
        <w:widowControl w:val="0"/>
        <w:kinsoku/>
        <w:wordWrap/>
        <w:autoSpaceDE/>
        <w:autoSpaceDN/>
        <w:bidi w:val="0"/>
        <w:ind w:left="0" w:leftChars="0" w:firstLine="0" w:firstLineChars="0"/>
        <w:jc w:val="center"/>
        <w:rPr>
          <w:rFonts w:hint="default" w:ascii="Times New Roman" w:hAnsi="Times New Roman" w:cs="Times New Roman"/>
          <w:highlight w:val="none"/>
          <w:lang w:val="en-US" w:eastAsia="zh-CN"/>
        </w:rPr>
      </w:pPr>
      <w:r>
        <w:rPr>
          <w:rFonts w:hint="default" w:ascii="Times New Roman" w:hAnsi="Times New Roman" w:cs="Times New Roman"/>
          <w:highlight w:val="none"/>
          <w:lang w:val="en-US" w:eastAsia="zh-CN"/>
        </w:rPr>
        <w:t>图</w:t>
      </w:r>
      <w:r>
        <w:rPr>
          <w:rFonts w:hint="eastAsia" w:cs="Times New Roman"/>
          <w:highlight w:val="none"/>
          <w:lang w:val="en-US" w:eastAsia="zh-CN"/>
        </w:rPr>
        <w:t>7.4</w:t>
      </w:r>
      <w:r>
        <w:rPr>
          <w:rFonts w:hint="default" w:ascii="Times New Roman" w:hAnsi="Times New Roman" w:cs="Times New Roman"/>
          <w:highlight w:val="none"/>
          <w:lang w:val="en-US" w:eastAsia="zh-CN"/>
        </w:rPr>
        <w:t>-</w:t>
      </w:r>
      <w:r>
        <w:rPr>
          <w:rFonts w:hint="eastAsia" w:cs="Times New Roman"/>
          <w:highlight w:val="none"/>
          <w:lang w:val="en-US" w:eastAsia="zh-CN"/>
        </w:rPr>
        <w:t>1</w:t>
      </w:r>
      <w:r>
        <w:rPr>
          <w:rFonts w:hint="default" w:ascii="Times New Roman" w:hAnsi="Times New Roman" w:cs="Times New Roman"/>
          <w:highlight w:val="none"/>
          <w:lang w:val="en-US" w:eastAsia="zh-CN"/>
        </w:rPr>
        <w:t xml:space="preserve"> 测试采样现场</w:t>
      </w:r>
    </w:p>
    <w:p w14:paraId="18A51D20">
      <w:pPr>
        <w:keepNext/>
        <w:keepLines w:val="0"/>
        <w:pageBreakBefore w:val="0"/>
        <w:widowControl w:val="0"/>
        <w:kinsoku/>
        <w:wordWrap/>
        <w:autoSpaceDE/>
        <w:autoSpaceDN/>
        <w:bidi w:val="0"/>
        <w:rPr>
          <w:rFonts w:hint="default" w:ascii="Times New Roman" w:hAnsi="Times New Roman" w:cs="Times New Roman"/>
          <w:highlight w:val="none"/>
          <w:lang w:eastAsia="zh-CN"/>
        </w:rPr>
      </w:pPr>
      <w:r>
        <w:rPr>
          <w:rFonts w:hint="default" w:ascii="Times New Roman" w:hAnsi="Times New Roman" w:cs="Times New Roman"/>
          <w:highlight w:val="none"/>
        </w:rPr>
        <w:t>汽车修补涂料主要包括底漆、中涂、色漆、清漆，在使用过程中还会按比例添加稀释剂、固化剂，限制涂料中</w:t>
      </w:r>
      <w:r>
        <w:rPr>
          <w:rFonts w:hint="default" w:ascii="Times New Roman" w:hAnsi="Times New Roman" w:cs="Times New Roman"/>
          <w:highlight w:val="none"/>
          <w:lang w:eastAsia="zh-CN"/>
        </w:rPr>
        <w:t>VOCs</w:t>
      </w:r>
      <w:r>
        <w:rPr>
          <w:rFonts w:hint="default" w:ascii="Times New Roman" w:hAnsi="Times New Roman" w:cs="Times New Roman"/>
          <w:highlight w:val="none"/>
        </w:rPr>
        <w:t>的含量可以直接从源头减少</w:t>
      </w:r>
      <w:r>
        <w:rPr>
          <w:rFonts w:hint="default" w:ascii="Times New Roman" w:hAnsi="Times New Roman" w:cs="Times New Roman"/>
          <w:highlight w:val="none"/>
          <w:lang w:eastAsia="zh-CN"/>
        </w:rPr>
        <w:t>VOCs</w:t>
      </w:r>
      <w:r>
        <w:rPr>
          <w:rFonts w:hint="default" w:ascii="Times New Roman" w:hAnsi="Times New Roman" w:cs="Times New Roman"/>
          <w:highlight w:val="none"/>
        </w:rPr>
        <w:t>的含量限值。已有政策、标准中也对汽车维修行业涂料含量限值做出了规定</w:t>
      </w:r>
      <w:r>
        <w:rPr>
          <w:rFonts w:hint="default" w:ascii="Times New Roman" w:hAnsi="Times New Roman" w:cs="Times New Roman"/>
          <w:highlight w:val="none"/>
          <w:lang w:eastAsia="zh-CN"/>
        </w:rPr>
        <w:t>。</w:t>
      </w:r>
      <w:r>
        <w:rPr>
          <w:rFonts w:hint="default" w:ascii="Times New Roman" w:hAnsi="Times New Roman" w:cs="Times New Roman"/>
          <w:highlight w:val="none"/>
        </w:rPr>
        <w:t>根据</w:t>
      </w:r>
      <w:r>
        <w:rPr>
          <w:rFonts w:hint="eastAsia" w:cs="Times New Roman"/>
          <w:highlight w:val="none"/>
          <w:lang w:eastAsia="zh-CN"/>
        </w:rPr>
        <w:t>编制组</w:t>
      </w:r>
      <w:r>
        <w:rPr>
          <w:rFonts w:hint="default" w:ascii="Times New Roman" w:hAnsi="Times New Roman" w:cs="Times New Roman"/>
          <w:highlight w:val="none"/>
        </w:rPr>
        <w:t>现场调研，汽车维修企业极少数使用溶剂型底漆，一般严重漆膜损伤的涂装工艺才使用底漆进行喷涂防锈，目前</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店多为常见的无损伤或较轻损伤的汽车修补，较严重的直接更换板件，几乎不使用底漆喷涂，实际调研采样过程中未收集到底漆样品</w:t>
      </w:r>
      <w:r>
        <w:rPr>
          <w:rFonts w:hint="default" w:ascii="Times New Roman" w:hAnsi="Times New Roman" w:cs="Times New Roman"/>
          <w:highlight w:val="none"/>
          <w:lang w:eastAsia="zh-CN"/>
        </w:rPr>
        <w:t>，其他原辅料样品检测结果分析如下。</w:t>
      </w:r>
    </w:p>
    <w:p w14:paraId="3ED6B5C7">
      <w:pPr>
        <w:keepNext/>
        <w:keepLines w:val="0"/>
        <w:pageBreakBefore w:val="0"/>
        <w:widowControl w:val="0"/>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lang w:eastAsia="zh-CN"/>
        </w:rPr>
        <w:t>（</w:t>
      </w:r>
      <w:r>
        <w:rPr>
          <w:rFonts w:hint="default" w:ascii="Times New Roman" w:hAnsi="Times New Roman" w:cs="Times New Roman"/>
          <w:highlight w:val="none"/>
          <w:lang w:val="en-US" w:eastAsia="zh-CN"/>
        </w:rPr>
        <w:t>1</w:t>
      </w:r>
      <w:r>
        <w:rPr>
          <w:rFonts w:hint="default" w:ascii="Times New Roman" w:hAnsi="Times New Roman" w:cs="Times New Roman"/>
          <w:highlight w:val="none"/>
          <w:lang w:eastAsia="zh-CN"/>
        </w:rPr>
        <w:t>）</w:t>
      </w:r>
      <w:r>
        <w:rPr>
          <w:rFonts w:hint="default" w:ascii="Times New Roman" w:hAnsi="Times New Roman" w:cs="Times New Roman"/>
          <w:highlight w:val="none"/>
        </w:rPr>
        <w:t>溶剂型中涂</w:t>
      </w:r>
      <w:r>
        <w:rPr>
          <w:rFonts w:hint="default" w:ascii="Times New Roman" w:hAnsi="Times New Roman" w:cs="Times New Roman"/>
          <w:highlight w:val="none"/>
          <w:lang w:eastAsia="zh-CN"/>
        </w:rPr>
        <w:t>。获取</w:t>
      </w:r>
      <w:r>
        <w:rPr>
          <w:rFonts w:hint="default" w:ascii="Times New Roman" w:hAnsi="Times New Roman" w:cs="Times New Roman"/>
          <w:highlight w:val="none"/>
        </w:rPr>
        <w:t>样品14个，整体浓度范围在391g/L~776g/L，其中</w:t>
      </w:r>
      <w:r>
        <w:rPr>
          <w:rFonts w:hint="default" w:ascii="Times New Roman" w:hAnsi="Times New Roman" w:cs="Times New Roman"/>
          <w:highlight w:val="none"/>
          <w:lang w:val="en-US" w:eastAsia="zh-CN"/>
        </w:rPr>
        <w:t>2个样品（14%）</w:t>
      </w:r>
      <w:r>
        <w:rPr>
          <w:rFonts w:hint="default" w:ascii="Times New Roman" w:hAnsi="Times New Roman" w:cs="Times New Roman"/>
          <w:highlight w:val="none"/>
          <w:lang w:eastAsia="zh-CN"/>
        </w:rPr>
        <w:t>超出</w:t>
      </w:r>
      <w:r>
        <w:rPr>
          <w:rFonts w:hint="default" w:ascii="Times New Roman" w:hAnsi="Times New Roman" w:cs="Times New Roman"/>
          <w:highlight w:val="none"/>
        </w:rPr>
        <w:t>GB 24409要求（560</w:t>
      </w:r>
      <w:r>
        <w:rPr>
          <w:rFonts w:hint="default" w:ascii="Times New Roman" w:hAnsi="Times New Roman" w:cs="Times New Roman"/>
          <w:highlight w:val="none"/>
          <w:lang w:eastAsia="zh-CN"/>
        </w:rPr>
        <w:t>g/L</w:t>
      </w:r>
      <w:r>
        <w:rPr>
          <w:rFonts w:hint="default" w:ascii="Times New Roman" w:hAnsi="Times New Roman" w:cs="Times New Roman"/>
          <w:highlight w:val="none"/>
        </w:rPr>
        <w:t>）</w:t>
      </w:r>
      <w:r>
        <w:rPr>
          <w:rFonts w:hint="default" w:ascii="Times New Roman" w:hAnsi="Times New Roman" w:cs="Times New Roman"/>
          <w:highlight w:val="none"/>
          <w:lang w:eastAsia="zh-CN"/>
        </w:rPr>
        <w:t>，</w:t>
      </w:r>
      <w:r>
        <w:rPr>
          <w:rFonts w:hint="default" w:ascii="Times New Roman" w:hAnsi="Times New Roman" w:cs="Times New Roman"/>
          <w:highlight w:val="none"/>
          <w:lang w:val="en-US" w:eastAsia="zh-CN"/>
        </w:rPr>
        <w:t>7个样品（50%）</w:t>
      </w:r>
      <w:r>
        <w:rPr>
          <w:rFonts w:hint="default" w:ascii="Times New Roman" w:hAnsi="Times New Roman" w:cs="Times New Roman"/>
          <w:highlight w:val="none"/>
        </w:rPr>
        <w:t>超过GB</w:t>
      </w:r>
      <w:r>
        <w:rPr>
          <w:rFonts w:hint="default" w:ascii="Times New Roman" w:hAnsi="Times New Roman" w:cs="Times New Roman"/>
          <w:highlight w:val="none"/>
          <w:lang w:val="en-US" w:eastAsia="zh-CN"/>
        </w:rPr>
        <w:t>/</w:t>
      </w:r>
      <w:r>
        <w:rPr>
          <w:rFonts w:hint="default" w:ascii="Times New Roman" w:hAnsi="Times New Roman" w:cs="Times New Roman"/>
          <w:highlight w:val="none"/>
        </w:rPr>
        <w:t>T 38597要求（不高于5</w:t>
      </w:r>
      <w:r>
        <w:rPr>
          <w:rFonts w:hint="default" w:ascii="Times New Roman" w:hAnsi="Times New Roman" w:cs="Times New Roman"/>
          <w:highlight w:val="none"/>
          <w:lang w:val="en-US" w:eastAsia="zh-CN"/>
        </w:rPr>
        <w:t>4</w:t>
      </w:r>
      <w:r>
        <w:rPr>
          <w:rFonts w:hint="default" w:ascii="Times New Roman" w:hAnsi="Times New Roman" w:cs="Times New Roman"/>
          <w:highlight w:val="none"/>
        </w:rPr>
        <w:t>0</w:t>
      </w:r>
      <w:r>
        <w:rPr>
          <w:rFonts w:hint="default" w:ascii="Times New Roman" w:hAnsi="Times New Roman" w:cs="Times New Roman"/>
          <w:highlight w:val="none"/>
          <w:lang w:eastAsia="zh-CN"/>
        </w:rPr>
        <w:t>g/L</w:t>
      </w:r>
      <w:r>
        <w:rPr>
          <w:rFonts w:hint="default" w:ascii="Times New Roman" w:hAnsi="Times New Roman" w:cs="Times New Roman"/>
          <w:highlight w:val="none"/>
        </w:rPr>
        <w:t>）</w:t>
      </w:r>
      <w:r>
        <w:rPr>
          <w:rFonts w:hint="default" w:ascii="Times New Roman" w:hAnsi="Times New Roman" w:cs="Times New Roman"/>
          <w:highlight w:val="none"/>
          <w:lang w:eastAsia="zh-CN"/>
        </w:rPr>
        <w:t>。</w:t>
      </w:r>
    </w:p>
    <w:p w14:paraId="47777718">
      <w:pPr>
        <w:keepNext/>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kern w:val="0"/>
          <w:szCs w:val="21"/>
          <w:highlight w:val="none"/>
          <w:lang w:val="en-US" w:eastAsia="zh-CN"/>
        </w:rPr>
      </w:pPr>
      <w:r>
        <w:rPr>
          <w:rFonts w:hint="default" w:ascii="Times New Roman" w:hAnsi="Times New Roman" w:cs="Times New Roman"/>
          <w:kern w:val="0"/>
          <w:szCs w:val="21"/>
          <w:highlight w:val="none"/>
          <w:lang w:val="en-US" w:eastAsia="zh-CN"/>
        </w:rPr>
        <w:t>表</w:t>
      </w:r>
      <w:r>
        <w:rPr>
          <w:rFonts w:hint="eastAsia" w:cs="Times New Roman"/>
          <w:kern w:val="0"/>
          <w:szCs w:val="21"/>
          <w:highlight w:val="none"/>
          <w:lang w:val="en-US" w:eastAsia="zh-CN"/>
        </w:rPr>
        <w:t>7.4</w:t>
      </w:r>
      <w:r>
        <w:rPr>
          <w:rFonts w:hint="default" w:ascii="Times New Roman" w:hAnsi="Times New Roman" w:cs="Times New Roman"/>
          <w:kern w:val="0"/>
          <w:szCs w:val="21"/>
          <w:highlight w:val="none"/>
          <w:lang w:val="en-US" w:eastAsia="zh-CN"/>
        </w:rPr>
        <w:t>-</w:t>
      </w:r>
      <w:r>
        <w:rPr>
          <w:rFonts w:hint="eastAsia" w:cs="Times New Roman"/>
          <w:kern w:val="0"/>
          <w:szCs w:val="21"/>
          <w:highlight w:val="none"/>
          <w:lang w:val="en-US" w:eastAsia="zh-CN"/>
        </w:rPr>
        <w:t>2</w:t>
      </w:r>
      <w:r>
        <w:rPr>
          <w:rFonts w:hint="default" w:ascii="Times New Roman" w:hAnsi="Times New Roman" w:cs="Times New Roman"/>
          <w:kern w:val="0"/>
          <w:szCs w:val="21"/>
          <w:highlight w:val="none"/>
          <w:lang w:val="en-US" w:eastAsia="zh-CN"/>
        </w:rPr>
        <w:t xml:space="preserve"> 溶剂型中涂漆测试结果  </w:t>
      </w:r>
    </w:p>
    <w:tbl>
      <w:tblPr>
        <w:tblStyle w:val="22"/>
        <w:tblW w:w="85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32"/>
        <w:gridCol w:w="2132"/>
        <w:gridCol w:w="2132"/>
        <w:gridCol w:w="2132"/>
      </w:tblGrid>
      <w:tr w14:paraId="5113F2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jc w:val="center"/>
        </w:trPr>
        <w:tc>
          <w:tcPr>
            <w:tcW w:w="2132" w:type="dxa"/>
          </w:tcPr>
          <w:p w14:paraId="634D55D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kern w:val="0"/>
                <w:sz w:val="21"/>
                <w:szCs w:val="21"/>
                <w:highlight w:val="none"/>
              </w:rPr>
            </w:pPr>
            <w:r>
              <w:rPr>
                <w:rFonts w:hint="default" w:ascii="Times New Roman" w:hAnsi="Times New Roman" w:cs="Times New Roman"/>
                <w:b/>
                <w:bCs/>
                <w:kern w:val="0"/>
                <w:sz w:val="21"/>
                <w:szCs w:val="21"/>
                <w:highlight w:val="none"/>
              </w:rPr>
              <w:t>企业编号</w:t>
            </w:r>
          </w:p>
        </w:tc>
        <w:tc>
          <w:tcPr>
            <w:tcW w:w="2132" w:type="dxa"/>
          </w:tcPr>
          <w:p w14:paraId="470ABF4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b/>
                <w:bCs/>
                <w:kern w:val="0"/>
                <w:sz w:val="21"/>
                <w:szCs w:val="21"/>
                <w:highlight w:val="none"/>
                <w:lang w:eastAsia="zh-CN"/>
              </w:rPr>
            </w:pPr>
            <w:r>
              <w:rPr>
                <w:rFonts w:hint="default" w:ascii="Times New Roman" w:hAnsi="Times New Roman" w:cs="Times New Roman"/>
                <w:b/>
                <w:bCs/>
                <w:kern w:val="0"/>
                <w:sz w:val="21"/>
                <w:szCs w:val="21"/>
                <w:highlight w:val="none"/>
              </w:rPr>
              <w:t>浓度</w:t>
            </w:r>
            <w:r>
              <w:rPr>
                <w:rFonts w:hint="eastAsia" w:ascii="Times New Roman" w:hAnsi="Times New Roman" w:cs="Times New Roman"/>
                <w:b/>
                <w:bCs/>
                <w:kern w:val="0"/>
                <w:sz w:val="21"/>
                <w:szCs w:val="21"/>
                <w:highlight w:val="none"/>
                <w:lang w:eastAsia="zh-CN"/>
              </w:rPr>
              <w:t>（</w:t>
            </w:r>
            <w:r>
              <w:rPr>
                <w:rFonts w:hint="eastAsia" w:ascii="Times New Roman" w:hAnsi="Times New Roman" w:cs="Times New Roman"/>
                <w:b/>
                <w:bCs/>
                <w:kern w:val="0"/>
                <w:sz w:val="21"/>
                <w:szCs w:val="21"/>
                <w:highlight w:val="none"/>
                <w:lang w:val="en-US" w:eastAsia="zh-CN"/>
              </w:rPr>
              <w:t>g/L</w:t>
            </w:r>
            <w:r>
              <w:rPr>
                <w:rFonts w:hint="eastAsia" w:ascii="Times New Roman" w:hAnsi="Times New Roman" w:cs="Times New Roman"/>
                <w:b/>
                <w:bCs/>
                <w:kern w:val="0"/>
                <w:sz w:val="21"/>
                <w:szCs w:val="21"/>
                <w:highlight w:val="none"/>
                <w:lang w:eastAsia="zh-CN"/>
              </w:rPr>
              <w:t>）</w:t>
            </w:r>
          </w:p>
        </w:tc>
        <w:tc>
          <w:tcPr>
            <w:tcW w:w="2132" w:type="dxa"/>
            <w:vAlign w:val="top"/>
          </w:tcPr>
          <w:p w14:paraId="3856B85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kern w:val="0"/>
                <w:sz w:val="21"/>
                <w:szCs w:val="21"/>
                <w:highlight w:val="none"/>
              </w:rPr>
            </w:pPr>
            <w:r>
              <w:rPr>
                <w:rFonts w:hint="default" w:ascii="Times New Roman" w:hAnsi="Times New Roman" w:cs="Times New Roman"/>
                <w:b/>
                <w:bCs/>
                <w:kern w:val="0"/>
                <w:sz w:val="21"/>
                <w:szCs w:val="21"/>
                <w:highlight w:val="none"/>
              </w:rPr>
              <w:t>企业编号</w:t>
            </w:r>
          </w:p>
        </w:tc>
        <w:tc>
          <w:tcPr>
            <w:tcW w:w="2132" w:type="dxa"/>
            <w:vAlign w:val="top"/>
          </w:tcPr>
          <w:p w14:paraId="12A4E63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kern w:val="0"/>
                <w:sz w:val="21"/>
                <w:szCs w:val="21"/>
                <w:highlight w:val="none"/>
              </w:rPr>
            </w:pPr>
            <w:r>
              <w:rPr>
                <w:rFonts w:hint="default" w:ascii="Times New Roman" w:hAnsi="Times New Roman" w:cs="Times New Roman"/>
                <w:b/>
                <w:bCs/>
                <w:kern w:val="0"/>
                <w:sz w:val="21"/>
                <w:szCs w:val="21"/>
                <w:highlight w:val="none"/>
              </w:rPr>
              <w:t>浓度</w:t>
            </w:r>
            <w:r>
              <w:rPr>
                <w:rFonts w:hint="eastAsia" w:ascii="Times New Roman" w:hAnsi="Times New Roman" w:cs="Times New Roman"/>
                <w:b/>
                <w:bCs/>
                <w:kern w:val="0"/>
                <w:sz w:val="21"/>
                <w:szCs w:val="21"/>
                <w:highlight w:val="none"/>
                <w:lang w:eastAsia="zh-CN"/>
              </w:rPr>
              <w:t>（</w:t>
            </w:r>
            <w:r>
              <w:rPr>
                <w:rFonts w:hint="eastAsia" w:ascii="Times New Roman" w:hAnsi="Times New Roman" w:cs="Times New Roman"/>
                <w:b/>
                <w:bCs/>
                <w:kern w:val="0"/>
                <w:sz w:val="21"/>
                <w:szCs w:val="21"/>
                <w:highlight w:val="none"/>
                <w:lang w:val="en-US" w:eastAsia="zh-CN"/>
              </w:rPr>
              <w:t>g/L</w:t>
            </w:r>
            <w:r>
              <w:rPr>
                <w:rFonts w:hint="eastAsia" w:ascii="Times New Roman" w:hAnsi="Times New Roman" w:cs="Times New Roman"/>
                <w:b/>
                <w:bCs/>
                <w:kern w:val="0"/>
                <w:sz w:val="21"/>
                <w:szCs w:val="21"/>
                <w:highlight w:val="none"/>
                <w:lang w:eastAsia="zh-CN"/>
              </w:rPr>
              <w:t>）</w:t>
            </w:r>
          </w:p>
        </w:tc>
      </w:tr>
      <w:tr w14:paraId="6B8365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32" w:type="dxa"/>
          </w:tcPr>
          <w:p w14:paraId="7C4FF6F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0"/>
                <w:sz w:val="21"/>
                <w:szCs w:val="21"/>
                <w:highlight w:val="none"/>
              </w:rPr>
            </w:pPr>
            <w:r>
              <w:rPr>
                <w:rFonts w:hint="default" w:ascii="Times New Roman" w:hAnsi="Times New Roman" w:cs="Times New Roman"/>
                <w:sz w:val="21"/>
                <w:szCs w:val="21"/>
                <w:highlight w:val="none"/>
              </w:rPr>
              <w:t>样品1</w:t>
            </w:r>
          </w:p>
        </w:tc>
        <w:tc>
          <w:tcPr>
            <w:tcW w:w="2132" w:type="dxa"/>
          </w:tcPr>
          <w:p w14:paraId="2133C8A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0"/>
                <w:sz w:val="21"/>
                <w:szCs w:val="21"/>
                <w:highlight w:val="none"/>
              </w:rPr>
            </w:pPr>
            <w:r>
              <w:rPr>
                <w:rFonts w:hint="default" w:ascii="Times New Roman" w:hAnsi="Times New Roman" w:cs="Times New Roman"/>
                <w:sz w:val="21"/>
                <w:szCs w:val="21"/>
                <w:highlight w:val="none"/>
              </w:rPr>
              <w:t>391</w:t>
            </w:r>
          </w:p>
        </w:tc>
        <w:tc>
          <w:tcPr>
            <w:tcW w:w="2132" w:type="dxa"/>
            <w:vAlign w:val="top"/>
          </w:tcPr>
          <w:p w14:paraId="0C28E0B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样品8</w:t>
            </w:r>
          </w:p>
        </w:tc>
        <w:tc>
          <w:tcPr>
            <w:tcW w:w="2132" w:type="dxa"/>
            <w:vAlign w:val="top"/>
          </w:tcPr>
          <w:p w14:paraId="4A016BC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550</w:t>
            </w:r>
          </w:p>
        </w:tc>
      </w:tr>
      <w:tr w14:paraId="4018FC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32" w:type="dxa"/>
          </w:tcPr>
          <w:p w14:paraId="660AB99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0"/>
                <w:sz w:val="21"/>
                <w:szCs w:val="21"/>
                <w:highlight w:val="none"/>
              </w:rPr>
            </w:pPr>
            <w:r>
              <w:rPr>
                <w:rFonts w:hint="default" w:ascii="Times New Roman" w:hAnsi="Times New Roman" w:cs="Times New Roman"/>
                <w:sz w:val="21"/>
                <w:szCs w:val="21"/>
                <w:highlight w:val="none"/>
              </w:rPr>
              <w:t>样品2</w:t>
            </w:r>
          </w:p>
        </w:tc>
        <w:tc>
          <w:tcPr>
            <w:tcW w:w="2132" w:type="dxa"/>
          </w:tcPr>
          <w:p w14:paraId="661F4CE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0"/>
                <w:sz w:val="21"/>
                <w:szCs w:val="21"/>
                <w:highlight w:val="none"/>
              </w:rPr>
            </w:pPr>
            <w:r>
              <w:rPr>
                <w:rFonts w:hint="default" w:ascii="Times New Roman" w:hAnsi="Times New Roman" w:cs="Times New Roman"/>
                <w:sz w:val="21"/>
                <w:szCs w:val="21"/>
                <w:highlight w:val="none"/>
              </w:rPr>
              <w:t>421</w:t>
            </w:r>
          </w:p>
        </w:tc>
        <w:tc>
          <w:tcPr>
            <w:tcW w:w="2132" w:type="dxa"/>
            <w:vAlign w:val="top"/>
          </w:tcPr>
          <w:p w14:paraId="5C319FE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样品9</w:t>
            </w:r>
          </w:p>
        </w:tc>
        <w:tc>
          <w:tcPr>
            <w:tcW w:w="2132" w:type="dxa"/>
            <w:vAlign w:val="top"/>
          </w:tcPr>
          <w:p w14:paraId="32975E6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551</w:t>
            </w:r>
          </w:p>
        </w:tc>
      </w:tr>
      <w:tr w14:paraId="459584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32" w:type="dxa"/>
          </w:tcPr>
          <w:p w14:paraId="532C690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0"/>
                <w:sz w:val="21"/>
                <w:szCs w:val="21"/>
                <w:highlight w:val="none"/>
              </w:rPr>
            </w:pPr>
            <w:r>
              <w:rPr>
                <w:rFonts w:hint="default" w:ascii="Times New Roman" w:hAnsi="Times New Roman" w:cs="Times New Roman"/>
                <w:sz w:val="21"/>
                <w:szCs w:val="21"/>
                <w:highlight w:val="none"/>
              </w:rPr>
              <w:t>样品3</w:t>
            </w:r>
          </w:p>
        </w:tc>
        <w:tc>
          <w:tcPr>
            <w:tcW w:w="2132" w:type="dxa"/>
          </w:tcPr>
          <w:p w14:paraId="1D48FA5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0"/>
                <w:sz w:val="21"/>
                <w:szCs w:val="21"/>
                <w:highlight w:val="none"/>
              </w:rPr>
            </w:pPr>
            <w:r>
              <w:rPr>
                <w:rFonts w:hint="default" w:ascii="Times New Roman" w:hAnsi="Times New Roman" w:cs="Times New Roman"/>
                <w:sz w:val="21"/>
                <w:szCs w:val="21"/>
                <w:highlight w:val="none"/>
              </w:rPr>
              <w:t>467</w:t>
            </w:r>
          </w:p>
        </w:tc>
        <w:tc>
          <w:tcPr>
            <w:tcW w:w="2132" w:type="dxa"/>
            <w:vAlign w:val="top"/>
          </w:tcPr>
          <w:p w14:paraId="39ACABA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样品10</w:t>
            </w:r>
          </w:p>
        </w:tc>
        <w:tc>
          <w:tcPr>
            <w:tcW w:w="2132" w:type="dxa"/>
            <w:vAlign w:val="top"/>
          </w:tcPr>
          <w:p w14:paraId="496ABA5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557</w:t>
            </w:r>
          </w:p>
        </w:tc>
      </w:tr>
      <w:tr w14:paraId="1F23B8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32" w:type="dxa"/>
          </w:tcPr>
          <w:p w14:paraId="6E6627C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0"/>
                <w:sz w:val="21"/>
                <w:szCs w:val="21"/>
                <w:highlight w:val="none"/>
              </w:rPr>
            </w:pPr>
            <w:r>
              <w:rPr>
                <w:rFonts w:hint="default" w:ascii="Times New Roman" w:hAnsi="Times New Roman" w:cs="Times New Roman"/>
                <w:sz w:val="21"/>
                <w:szCs w:val="21"/>
                <w:highlight w:val="none"/>
              </w:rPr>
              <w:t>样品4</w:t>
            </w:r>
          </w:p>
        </w:tc>
        <w:tc>
          <w:tcPr>
            <w:tcW w:w="2132" w:type="dxa"/>
          </w:tcPr>
          <w:p w14:paraId="14F2A15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0"/>
                <w:sz w:val="21"/>
                <w:szCs w:val="21"/>
                <w:highlight w:val="none"/>
              </w:rPr>
            </w:pPr>
            <w:r>
              <w:rPr>
                <w:rFonts w:hint="default" w:ascii="Times New Roman" w:hAnsi="Times New Roman" w:cs="Times New Roman"/>
                <w:sz w:val="21"/>
                <w:szCs w:val="21"/>
                <w:highlight w:val="none"/>
              </w:rPr>
              <w:t>487</w:t>
            </w:r>
          </w:p>
        </w:tc>
        <w:tc>
          <w:tcPr>
            <w:tcW w:w="2132" w:type="dxa"/>
            <w:vAlign w:val="top"/>
          </w:tcPr>
          <w:p w14:paraId="71F39B9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样品11</w:t>
            </w:r>
          </w:p>
        </w:tc>
        <w:tc>
          <w:tcPr>
            <w:tcW w:w="2132" w:type="dxa"/>
            <w:vAlign w:val="top"/>
          </w:tcPr>
          <w:p w14:paraId="50F75E4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557</w:t>
            </w:r>
          </w:p>
        </w:tc>
      </w:tr>
      <w:tr w14:paraId="20B955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32" w:type="dxa"/>
          </w:tcPr>
          <w:p w14:paraId="330098A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0"/>
                <w:sz w:val="21"/>
                <w:szCs w:val="21"/>
                <w:highlight w:val="none"/>
              </w:rPr>
            </w:pPr>
            <w:r>
              <w:rPr>
                <w:rFonts w:hint="default" w:ascii="Times New Roman" w:hAnsi="Times New Roman" w:cs="Times New Roman"/>
                <w:sz w:val="21"/>
                <w:szCs w:val="21"/>
                <w:highlight w:val="none"/>
              </w:rPr>
              <w:t>样品5</w:t>
            </w:r>
          </w:p>
        </w:tc>
        <w:tc>
          <w:tcPr>
            <w:tcW w:w="2132" w:type="dxa"/>
          </w:tcPr>
          <w:p w14:paraId="71EA70A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0"/>
                <w:sz w:val="21"/>
                <w:szCs w:val="21"/>
                <w:highlight w:val="none"/>
              </w:rPr>
            </w:pPr>
            <w:r>
              <w:rPr>
                <w:rFonts w:hint="default" w:ascii="Times New Roman" w:hAnsi="Times New Roman" w:cs="Times New Roman"/>
                <w:sz w:val="21"/>
                <w:szCs w:val="21"/>
                <w:highlight w:val="none"/>
              </w:rPr>
              <w:t>497</w:t>
            </w:r>
          </w:p>
        </w:tc>
        <w:tc>
          <w:tcPr>
            <w:tcW w:w="2132" w:type="dxa"/>
            <w:vAlign w:val="top"/>
          </w:tcPr>
          <w:p w14:paraId="771FF4C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样品12</w:t>
            </w:r>
          </w:p>
        </w:tc>
        <w:tc>
          <w:tcPr>
            <w:tcW w:w="2132" w:type="dxa"/>
            <w:vAlign w:val="top"/>
          </w:tcPr>
          <w:p w14:paraId="45FEE0B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557</w:t>
            </w:r>
          </w:p>
        </w:tc>
      </w:tr>
      <w:tr w14:paraId="213A7B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32" w:type="dxa"/>
          </w:tcPr>
          <w:p w14:paraId="272D893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0"/>
                <w:sz w:val="21"/>
                <w:szCs w:val="21"/>
                <w:highlight w:val="none"/>
              </w:rPr>
            </w:pPr>
            <w:r>
              <w:rPr>
                <w:rFonts w:hint="default" w:ascii="Times New Roman" w:hAnsi="Times New Roman" w:cs="Times New Roman"/>
                <w:sz w:val="21"/>
                <w:szCs w:val="21"/>
                <w:highlight w:val="none"/>
              </w:rPr>
              <w:t>样品6</w:t>
            </w:r>
          </w:p>
        </w:tc>
        <w:tc>
          <w:tcPr>
            <w:tcW w:w="2132" w:type="dxa"/>
          </w:tcPr>
          <w:p w14:paraId="1752019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0"/>
                <w:sz w:val="21"/>
                <w:szCs w:val="21"/>
                <w:highlight w:val="none"/>
              </w:rPr>
            </w:pPr>
            <w:r>
              <w:rPr>
                <w:rFonts w:hint="default" w:ascii="Times New Roman" w:hAnsi="Times New Roman" w:cs="Times New Roman"/>
                <w:sz w:val="21"/>
                <w:szCs w:val="21"/>
                <w:highlight w:val="none"/>
              </w:rPr>
              <w:t>498</w:t>
            </w:r>
          </w:p>
        </w:tc>
        <w:tc>
          <w:tcPr>
            <w:tcW w:w="2132" w:type="dxa"/>
            <w:vAlign w:val="top"/>
          </w:tcPr>
          <w:p w14:paraId="5D8B599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样品13</w:t>
            </w:r>
          </w:p>
        </w:tc>
        <w:tc>
          <w:tcPr>
            <w:tcW w:w="2132" w:type="dxa"/>
            <w:vAlign w:val="top"/>
          </w:tcPr>
          <w:p w14:paraId="2C01A39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581</w:t>
            </w:r>
          </w:p>
        </w:tc>
      </w:tr>
      <w:tr w14:paraId="20412E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32" w:type="dxa"/>
          </w:tcPr>
          <w:p w14:paraId="54C037A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0"/>
                <w:sz w:val="21"/>
                <w:szCs w:val="21"/>
                <w:highlight w:val="none"/>
              </w:rPr>
            </w:pPr>
            <w:r>
              <w:rPr>
                <w:rFonts w:hint="default" w:ascii="Times New Roman" w:hAnsi="Times New Roman" w:cs="Times New Roman"/>
                <w:sz w:val="21"/>
                <w:szCs w:val="21"/>
                <w:highlight w:val="none"/>
              </w:rPr>
              <w:t>样品7</w:t>
            </w:r>
          </w:p>
        </w:tc>
        <w:tc>
          <w:tcPr>
            <w:tcW w:w="2132" w:type="dxa"/>
          </w:tcPr>
          <w:p w14:paraId="369142F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0"/>
                <w:sz w:val="21"/>
                <w:szCs w:val="21"/>
                <w:highlight w:val="none"/>
              </w:rPr>
            </w:pPr>
            <w:r>
              <w:rPr>
                <w:rFonts w:hint="default" w:ascii="Times New Roman" w:hAnsi="Times New Roman" w:cs="Times New Roman"/>
                <w:sz w:val="21"/>
                <w:szCs w:val="21"/>
                <w:highlight w:val="none"/>
              </w:rPr>
              <w:t>511</w:t>
            </w:r>
          </w:p>
        </w:tc>
        <w:tc>
          <w:tcPr>
            <w:tcW w:w="2132" w:type="dxa"/>
            <w:vAlign w:val="top"/>
          </w:tcPr>
          <w:p w14:paraId="64E8936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样品14</w:t>
            </w:r>
          </w:p>
        </w:tc>
        <w:tc>
          <w:tcPr>
            <w:tcW w:w="2132" w:type="dxa"/>
            <w:vAlign w:val="top"/>
          </w:tcPr>
          <w:p w14:paraId="7823E8C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776</w:t>
            </w:r>
          </w:p>
        </w:tc>
      </w:tr>
    </w:tbl>
    <w:p w14:paraId="5D53C035">
      <w:pPr>
        <w:keepNext/>
        <w:keepLines w:val="0"/>
        <w:pageBreakBefore w:val="0"/>
        <w:widowControl w:val="0"/>
        <w:kinsoku/>
        <w:wordWrap/>
        <w:autoSpaceDE/>
        <w:autoSpaceDN/>
        <w:bidi w:val="0"/>
        <w:spacing w:line="360" w:lineRule="auto"/>
        <w:ind w:firstLine="480" w:firstLineChars="200"/>
        <w:rPr>
          <w:rFonts w:hint="default" w:ascii="Times New Roman" w:hAnsi="Times New Roman" w:eastAsia="宋体" w:cs="Times New Roman"/>
          <w:kern w:val="0"/>
          <w:sz w:val="24"/>
          <w:highlight w:val="none"/>
          <w:lang w:eastAsia="zh-CN"/>
        </w:rPr>
      </w:pPr>
      <w:r>
        <w:rPr>
          <w:rFonts w:hint="default" w:ascii="Times New Roman" w:hAnsi="Times New Roman" w:cs="Times New Roman"/>
          <w:kern w:val="0"/>
          <w:sz w:val="24"/>
          <w:highlight w:val="none"/>
          <w:lang w:eastAsia="zh-CN"/>
        </w:rPr>
        <w:t>（</w:t>
      </w:r>
      <w:r>
        <w:rPr>
          <w:rFonts w:hint="default" w:ascii="Times New Roman" w:hAnsi="Times New Roman" w:cs="Times New Roman"/>
          <w:kern w:val="0"/>
          <w:sz w:val="24"/>
          <w:highlight w:val="none"/>
          <w:lang w:val="en-US" w:eastAsia="zh-CN"/>
        </w:rPr>
        <w:t>2</w:t>
      </w:r>
      <w:r>
        <w:rPr>
          <w:rFonts w:hint="default" w:ascii="Times New Roman" w:hAnsi="Times New Roman" w:cs="Times New Roman"/>
          <w:kern w:val="0"/>
          <w:sz w:val="24"/>
          <w:highlight w:val="none"/>
          <w:lang w:eastAsia="zh-CN"/>
        </w:rPr>
        <w:t>）</w:t>
      </w:r>
      <w:r>
        <w:rPr>
          <w:rFonts w:hint="default" w:ascii="Times New Roman" w:hAnsi="Times New Roman" w:cs="Times New Roman"/>
          <w:kern w:val="0"/>
          <w:sz w:val="24"/>
          <w:highlight w:val="none"/>
        </w:rPr>
        <w:t>溶剂型色漆（底色漆、本色面漆）</w:t>
      </w:r>
      <w:r>
        <w:rPr>
          <w:rFonts w:hint="default" w:ascii="Times New Roman" w:hAnsi="Times New Roman" w:cs="Times New Roman"/>
          <w:kern w:val="0"/>
          <w:sz w:val="24"/>
          <w:highlight w:val="none"/>
          <w:lang w:eastAsia="zh-CN"/>
        </w:rPr>
        <w:t>。获取</w:t>
      </w:r>
      <w:r>
        <w:rPr>
          <w:rFonts w:hint="default" w:ascii="Times New Roman" w:hAnsi="Times New Roman" w:cs="Times New Roman"/>
          <w:kern w:val="0"/>
          <w:sz w:val="24"/>
          <w:highlight w:val="none"/>
        </w:rPr>
        <w:t>样品11个，整体浓度范围在508g/L~817g/L，其中3个样品</w:t>
      </w:r>
      <w:r>
        <w:rPr>
          <w:rFonts w:hint="default" w:ascii="Times New Roman" w:hAnsi="Times New Roman" w:cs="Times New Roman"/>
          <w:kern w:val="0"/>
          <w:sz w:val="24"/>
          <w:highlight w:val="none"/>
          <w:lang w:eastAsia="zh-CN"/>
        </w:rPr>
        <w:t>（</w:t>
      </w:r>
      <w:r>
        <w:rPr>
          <w:rFonts w:hint="default" w:ascii="Times New Roman" w:hAnsi="Times New Roman" w:cs="Times New Roman"/>
          <w:kern w:val="0"/>
          <w:sz w:val="24"/>
          <w:highlight w:val="none"/>
          <w:lang w:val="en-US" w:eastAsia="zh-CN"/>
        </w:rPr>
        <w:t>27%</w:t>
      </w:r>
      <w:r>
        <w:rPr>
          <w:rFonts w:hint="default" w:ascii="Times New Roman" w:hAnsi="Times New Roman" w:cs="Times New Roman"/>
          <w:kern w:val="0"/>
          <w:sz w:val="24"/>
          <w:highlight w:val="none"/>
          <w:lang w:eastAsia="zh-CN"/>
        </w:rPr>
        <w:t>）</w:t>
      </w:r>
      <w:r>
        <w:rPr>
          <w:rFonts w:hint="default" w:ascii="Times New Roman" w:hAnsi="Times New Roman" w:cs="Times New Roman"/>
          <w:kern w:val="0"/>
          <w:sz w:val="24"/>
          <w:highlight w:val="none"/>
        </w:rPr>
        <w:t>超过GB 24409要求（底色漆不高于770</w:t>
      </w:r>
      <w:r>
        <w:rPr>
          <w:rFonts w:hint="default" w:ascii="Times New Roman" w:hAnsi="Times New Roman" w:cs="Times New Roman"/>
          <w:kern w:val="0"/>
          <w:sz w:val="24"/>
          <w:highlight w:val="none"/>
          <w:lang w:eastAsia="zh-CN"/>
        </w:rPr>
        <w:t>g/L</w:t>
      </w:r>
      <w:r>
        <w:rPr>
          <w:rFonts w:hint="default" w:ascii="Times New Roman" w:hAnsi="Times New Roman" w:cs="Times New Roman"/>
          <w:kern w:val="0"/>
          <w:sz w:val="24"/>
          <w:highlight w:val="none"/>
        </w:rPr>
        <w:t>，本色面漆不高于580</w:t>
      </w:r>
      <w:r>
        <w:rPr>
          <w:rFonts w:hint="default" w:ascii="Times New Roman" w:hAnsi="Times New Roman" w:cs="Times New Roman"/>
          <w:kern w:val="0"/>
          <w:sz w:val="24"/>
          <w:highlight w:val="none"/>
          <w:lang w:eastAsia="zh-CN"/>
        </w:rPr>
        <w:t>g/L</w:t>
      </w:r>
      <w:r>
        <w:rPr>
          <w:rFonts w:hint="default" w:ascii="Times New Roman" w:hAnsi="Times New Roman" w:cs="Times New Roman"/>
          <w:kern w:val="0"/>
          <w:sz w:val="24"/>
          <w:highlight w:val="none"/>
        </w:rPr>
        <w:t>）</w:t>
      </w:r>
      <w:r>
        <w:rPr>
          <w:rFonts w:hint="default" w:ascii="Times New Roman" w:hAnsi="Times New Roman" w:cs="Times New Roman"/>
          <w:kern w:val="0"/>
          <w:sz w:val="24"/>
          <w:highlight w:val="none"/>
          <w:lang w:eastAsia="zh-CN"/>
        </w:rPr>
        <w:t>，仅有一个样品满足</w:t>
      </w:r>
      <w:r>
        <w:rPr>
          <w:rFonts w:hint="default" w:ascii="Times New Roman" w:hAnsi="Times New Roman" w:cs="Times New Roman"/>
          <w:highlight w:val="none"/>
        </w:rPr>
        <w:t>GB</w:t>
      </w:r>
      <w:r>
        <w:rPr>
          <w:rFonts w:hint="default" w:ascii="Times New Roman" w:hAnsi="Times New Roman" w:cs="Times New Roman"/>
          <w:highlight w:val="none"/>
          <w:lang w:val="en-US" w:eastAsia="zh-CN"/>
        </w:rPr>
        <w:t>/</w:t>
      </w:r>
      <w:r>
        <w:rPr>
          <w:rFonts w:hint="default" w:ascii="Times New Roman" w:hAnsi="Times New Roman" w:cs="Times New Roman"/>
          <w:highlight w:val="none"/>
        </w:rPr>
        <w:t>T 38597</w:t>
      </w:r>
      <w:r>
        <w:rPr>
          <w:rFonts w:hint="default" w:ascii="Times New Roman" w:hAnsi="Times New Roman" w:cs="Times New Roman"/>
          <w:highlight w:val="none"/>
          <w:lang w:eastAsia="zh-CN"/>
        </w:rPr>
        <w:t>（</w:t>
      </w:r>
      <w:r>
        <w:rPr>
          <w:rFonts w:hint="default" w:ascii="Times New Roman" w:hAnsi="Times New Roman" w:cs="Times New Roman"/>
          <w:highlight w:val="none"/>
          <w:lang w:val="en-US" w:eastAsia="zh-CN"/>
        </w:rPr>
        <w:t>540</w:t>
      </w:r>
      <w:r>
        <w:rPr>
          <w:rFonts w:hint="default" w:ascii="Times New Roman" w:hAnsi="Times New Roman" w:cs="Times New Roman"/>
          <w:kern w:val="0"/>
          <w:sz w:val="24"/>
          <w:highlight w:val="none"/>
          <w:lang w:eastAsia="zh-CN"/>
        </w:rPr>
        <w:t>g/L</w:t>
      </w:r>
      <w:r>
        <w:rPr>
          <w:rFonts w:hint="default" w:ascii="Times New Roman" w:hAnsi="Times New Roman" w:cs="Times New Roman"/>
          <w:highlight w:val="none"/>
          <w:lang w:eastAsia="zh-CN"/>
        </w:rPr>
        <w:t>）。</w:t>
      </w:r>
    </w:p>
    <w:p w14:paraId="3C0F45DF">
      <w:pPr>
        <w:keepNext/>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kern w:val="0"/>
          <w:szCs w:val="21"/>
          <w:highlight w:val="none"/>
          <w:lang w:val="en-US" w:eastAsia="zh-CN"/>
        </w:rPr>
      </w:pPr>
      <w:r>
        <w:rPr>
          <w:rFonts w:hint="default" w:ascii="Times New Roman" w:hAnsi="Times New Roman" w:cs="Times New Roman"/>
          <w:kern w:val="0"/>
          <w:szCs w:val="21"/>
          <w:highlight w:val="none"/>
          <w:lang w:val="en-US" w:eastAsia="zh-CN"/>
        </w:rPr>
        <w:t>表</w:t>
      </w:r>
      <w:r>
        <w:rPr>
          <w:rFonts w:hint="eastAsia" w:cs="Times New Roman"/>
          <w:kern w:val="0"/>
          <w:szCs w:val="21"/>
          <w:highlight w:val="none"/>
          <w:lang w:val="en-US" w:eastAsia="zh-CN"/>
        </w:rPr>
        <w:t>7.4</w:t>
      </w:r>
      <w:r>
        <w:rPr>
          <w:rFonts w:hint="default" w:ascii="Times New Roman" w:hAnsi="Times New Roman" w:cs="Times New Roman"/>
          <w:kern w:val="0"/>
          <w:szCs w:val="21"/>
          <w:highlight w:val="none"/>
          <w:lang w:val="en-US" w:eastAsia="zh-CN"/>
        </w:rPr>
        <w:t>-</w:t>
      </w:r>
      <w:r>
        <w:rPr>
          <w:rFonts w:hint="eastAsia" w:cs="Times New Roman"/>
          <w:kern w:val="0"/>
          <w:szCs w:val="21"/>
          <w:highlight w:val="none"/>
          <w:lang w:val="en-US" w:eastAsia="zh-CN"/>
        </w:rPr>
        <w:t>3</w:t>
      </w:r>
      <w:r>
        <w:rPr>
          <w:rFonts w:hint="default" w:ascii="Times New Roman" w:hAnsi="Times New Roman" w:cs="Times New Roman"/>
          <w:kern w:val="0"/>
          <w:szCs w:val="21"/>
          <w:highlight w:val="none"/>
          <w:lang w:val="en-US" w:eastAsia="zh-CN"/>
        </w:rPr>
        <w:t xml:space="preserve"> 溶剂型色漆（底色漆、本色面漆）测试结果</w:t>
      </w:r>
    </w:p>
    <w:tbl>
      <w:tblPr>
        <w:tblStyle w:val="21"/>
        <w:tblW w:w="85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32"/>
        <w:gridCol w:w="2132"/>
        <w:gridCol w:w="2132"/>
        <w:gridCol w:w="2132"/>
      </w:tblGrid>
      <w:tr w14:paraId="430E84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8" w:hRule="atLeast"/>
          <w:tblHeader/>
          <w:jc w:val="center"/>
        </w:trPr>
        <w:tc>
          <w:tcPr>
            <w:tcW w:w="2132" w:type="dxa"/>
            <w:shd w:val="clear" w:color="auto" w:fill="auto"/>
            <w:noWrap/>
            <w:vAlign w:val="center"/>
          </w:tcPr>
          <w:p w14:paraId="11CF25A2">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cs="Times New Roman"/>
                <w:b/>
                <w:bCs/>
                <w:color w:val="auto"/>
                <w:kern w:val="0"/>
                <w:sz w:val="21"/>
                <w:szCs w:val="21"/>
                <w:highlight w:val="none"/>
              </w:rPr>
            </w:pPr>
            <w:r>
              <w:rPr>
                <w:rFonts w:hint="default" w:ascii="Times New Roman" w:hAnsi="Times New Roman" w:cs="Times New Roman"/>
                <w:b/>
                <w:bCs/>
                <w:color w:val="auto"/>
                <w:kern w:val="0"/>
                <w:sz w:val="21"/>
                <w:szCs w:val="21"/>
                <w:highlight w:val="none"/>
              </w:rPr>
              <w:t>企业编号</w:t>
            </w:r>
          </w:p>
        </w:tc>
        <w:tc>
          <w:tcPr>
            <w:tcW w:w="2132" w:type="dxa"/>
            <w:shd w:val="clear" w:color="auto" w:fill="auto"/>
            <w:noWrap/>
            <w:vAlign w:val="center"/>
          </w:tcPr>
          <w:p w14:paraId="45B871F7">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cs="Times New Roman"/>
                <w:b/>
                <w:bCs/>
                <w:color w:val="auto"/>
                <w:kern w:val="0"/>
                <w:sz w:val="21"/>
                <w:szCs w:val="21"/>
                <w:highlight w:val="none"/>
              </w:rPr>
            </w:pPr>
            <w:r>
              <w:rPr>
                <w:rFonts w:hint="default" w:ascii="Times New Roman" w:hAnsi="Times New Roman" w:cs="Times New Roman"/>
                <w:b/>
                <w:bCs/>
                <w:color w:val="auto"/>
                <w:kern w:val="0"/>
                <w:sz w:val="21"/>
                <w:szCs w:val="21"/>
                <w:highlight w:val="none"/>
              </w:rPr>
              <w:t>浓度</w:t>
            </w:r>
            <w:r>
              <w:rPr>
                <w:rFonts w:hint="eastAsia" w:ascii="Times New Roman" w:hAnsi="Times New Roman" w:cs="Times New Roman"/>
                <w:b/>
                <w:bCs/>
                <w:kern w:val="0"/>
                <w:sz w:val="21"/>
                <w:szCs w:val="21"/>
                <w:highlight w:val="none"/>
                <w:lang w:eastAsia="zh-CN"/>
              </w:rPr>
              <w:t>（</w:t>
            </w:r>
            <w:r>
              <w:rPr>
                <w:rFonts w:hint="eastAsia" w:ascii="Times New Roman" w:hAnsi="Times New Roman" w:cs="Times New Roman"/>
                <w:b/>
                <w:bCs/>
                <w:kern w:val="0"/>
                <w:sz w:val="21"/>
                <w:szCs w:val="21"/>
                <w:highlight w:val="none"/>
                <w:lang w:val="en-US" w:eastAsia="zh-CN"/>
              </w:rPr>
              <w:t>g/L</w:t>
            </w:r>
            <w:r>
              <w:rPr>
                <w:rFonts w:hint="eastAsia" w:ascii="Times New Roman" w:hAnsi="Times New Roman" w:cs="Times New Roman"/>
                <w:b/>
                <w:bCs/>
                <w:kern w:val="0"/>
                <w:sz w:val="21"/>
                <w:szCs w:val="21"/>
                <w:highlight w:val="none"/>
                <w:lang w:eastAsia="zh-CN"/>
              </w:rPr>
              <w:t>）</w:t>
            </w:r>
          </w:p>
        </w:tc>
        <w:tc>
          <w:tcPr>
            <w:tcW w:w="2132" w:type="dxa"/>
            <w:shd w:val="clear" w:color="auto" w:fill="auto"/>
            <w:noWrap/>
            <w:vAlign w:val="center"/>
          </w:tcPr>
          <w:p w14:paraId="3ED31B0E">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cs="Times New Roman"/>
                <w:color w:val="auto"/>
                <w:kern w:val="0"/>
                <w:sz w:val="21"/>
                <w:szCs w:val="21"/>
                <w:highlight w:val="none"/>
              </w:rPr>
            </w:pPr>
            <w:r>
              <w:rPr>
                <w:rFonts w:hint="default" w:ascii="Times New Roman" w:hAnsi="Times New Roman" w:cs="Times New Roman"/>
                <w:b/>
                <w:bCs/>
                <w:color w:val="auto"/>
                <w:kern w:val="0"/>
                <w:sz w:val="21"/>
                <w:szCs w:val="21"/>
                <w:highlight w:val="none"/>
              </w:rPr>
              <w:t>企业编号</w:t>
            </w:r>
          </w:p>
        </w:tc>
        <w:tc>
          <w:tcPr>
            <w:tcW w:w="2132" w:type="dxa"/>
            <w:shd w:val="clear" w:color="auto" w:fill="auto"/>
            <w:noWrap/>
            <w:vAlign w:val="center"/>
          </w:tcPr>
          <w:p w14:paraId="2B9A248B">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cs="Times New Roman"/>
                <w:color w:val="auto"/>
                <w:kern w:val="0"/>
                <w:sz w:val="21"/>
                <w:szCs w:val="21"/>
                <w:highlight w:val="none"/>
              </w:rPr>
            </w:pPr>
            <w:r>
              <w:rPr>
                <w:rFonts w:hint="default" w:ascii="Times New Roman" w:hAnsi="Times New Roman" w:cs="Times New Roman"/>
                <w:b/>
                <w:bCs/>
                <w:color w:val="auto"/>
                <w:kern w:val="0"/>
                <w:sz w:val="21"/>
                <w:szCs w:val="21"/>
                <w:highlight w:val="none"/>
              </w:rPr>
              <w:t>浓度</w:t>
            </w:r>
            <w:r>
              <w:rPr>
                <w:rFonts w:hint="eastAsia" w:ascii="Times New Roman" w:hAnsi="Times New Roman" w:cs="Times New Roman"/>
                <w:b/>
                <w:bCs/>
                <w:kern w:val="0"/>
                <w:sz w:val="21"/>
                <w:szCs w:val="21"/>
                <w:highlight w:val="none"/>
                <w:lang w:eastAsia="zh-CN"/>
              </w:rPr>
              <w:t>（</w:t>
            </w:r>
            <w:r>
              <w:rPr>
                <w:rFonts w:hint="eastAsia" w:ascii="Times New Roman" w:hAnsi="Times New Roman" w:cs="Times New Roman"/>
                <w:b/>
                <w:bCs/>
                <w:kern w:val="0"/>
                <w:sz w:val="21"/>
                <w:szCs w:val="21"/>
                <w:highlight w:val="none"/>
                <w:lang w:val="en-US" w:eastAsia="zh-CN"/>
              </w:rPr>
              <w:t>g/L</w:t>
            </w:r>
            <w:r>
              <w:rPr>
                <w:rFonts w:hint="eastAsia" w:ascii="Times New Roman" w:hAnsi="Times New Roman" w:cs="Times New Roman"/>
                <w:b/>
                <w:bCs/>
                <w:kern w:val="0"/>
                <w:sz w:val="21"/>
                <w:szCs w:val="21"/>
                <w:highlight w:val="none"/>
                <w:lang w:eastAsia="zh-CN"/>
              </w:rPr>
              <w:t>）</w:t>
            </w:r>
          </w:p>
        </w:tc>
      </w:tr>
      <w:tr w14:paraId="4F0308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2132" w:type="dxa"/>
            <w:shd w:val="clear" w:color="auto" w:fill="auto"/>
            <w:noWrap/>
            <w:vAlign w:val="center"/>
          </w:tcPr>
          <w:p w14:paraId="1A60D72C">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cs="Times New Roman"/>
                <w:color w:val="auto"/>
                <w:kern w:val="0"/>
                <w:sz w:val="21"/>
                <w:szCs w:val="21"/>
                <w:highlight w:val="none"/>
              </w:rPr>
            </w:pPr>
            <w:r>
              <w:rPr>
                <w:rFonts w:hint="default" w:ascii="Times New Roman" w:hAnsi="Times New Roman" w:cs="Times New Roman"/>
                <w:color w:val="auto"/>
                <w:kern w:val="0"/>
                <w:sz w:val="21"/>
                <w:szCs w:val="21"/>
                <w:highlight w:val="none"/>
              </w:rPr>
              <w:t>样品1</w:t>
            </w:r>
          </w:p>
        </w:tc>
        <w:tc>
          <w:tcPr>
            <w:tcW w:w="2132" w:type="dxa"/>
            <w:shd w:val="clear" w:color="auto" w:fill="auto"/>
            <w:noWrap/>
            <w:vAlign w:val="center"/>
          </w:tcPr>
          <w:p w14:paraId="543B238C">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eastAsia="宋体" w:cs="Times New Roman"/>
                <w:color w:val="auto"/>
                <w:kern w:val="0"/>
                <w:sz w:val="21"/>
                <w:szCs w:val="21"/>
                <w:highlight w:val="none"/>
              </w:rPr>
            </w:pPr>
            <w:r>
              <w:rPr>
                <w:rFonts w:hint="default" w:ascii="Times New Roman" w:hAnsi="Times New Roman" w:eastAsia="宋体" w:cs="Times New Roman"/>
                <w:color w:val="auto"/>
                <w:kern w:val="0"/>
                <w:sz w:val="21"/>
                <w:szCs w:val="21"/>
                <w:highlight w:val="none"/>
              </w:rPr>
              <w:t>722</w:t>
            </w:r>
          </w:p>
        </w:tc>
        <w:tc>
          <w:tcPr>
            <w:tcW w:w="2132" w:type="dxa"/>
            <w:shd w:val="clear" w:color="auto" w:fill="auto"/>
            <w:noWrap/>
            <w:vAlign w:val="center"/>
          </w:tcPr>
          <w:p w14:paraId="101B840A">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eastAsia="宋体" w:cs="Times New Roman"/>
                <w:color w:val="auto"/>
                <w:kern w:val="0"/>
                <w:sz w:val="21"/>
                <w:szCs w:val="21"/>
                <w:highlight w:val="none"/>
              </w:rPr>
            </w:pPr>
            <w:r>
              <w:rPr>
                <w:rFonts w:hint="default" w:ascii="Times New Roman" w:hAnsi="Times New Roman" w:cs="Times New Roman"/>
                <w:color w:val="auto"/>
                <w:kern w:val="0"/>
                <w:sz w:val="21"/>
                <w:szCs w:val="21"/>
                <w:highlight w:val="none"/>
              </w:rPr>
              <w:t>样品7</w:t>
            </w:r>
          </w:p>
        </w:tc>
        <w:tc>
          <w:tcPr>
            <w:tcW w:w="2132" w:type="dxa"/>
            <w:shd w:val="clear" w:color="auto" w:fill="auto"/>
            <w:noWrap/>
            <w:vAlign w:val="center"/>
          </w:tcPr>
          <w:p w14:paraId="55D3359E">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eastAsia="宋体" w:cs="Times New Roman"/>
                <w:color w:val="auto"/>
                <w:kern w:val="0"/>
                <w:sz w:val="21"/>
                <w:szCs w:val="21"/>
                <w:highlight w:val="none"/>
              </w:rPr>
            </w:pPr>
            <w:r>
              <w:rPr>
                <w:rFonts w:hint="default" w:ascii="Times New Roman" w:hAnsi="Times New Roman" w:eastAsia="宋体" w:cs="Times New Roman"/>
                <w:color w:val="auto"/>
                <w:kern w:val="0"/>
                <w:sz w:val="21"/>
                <w:szCs w:val="21"/>
                <w:highlight w:val="none"/>
              </w:rPr>
              <w:t>723</w:t>
            </w:r>
          </w:p>
        </w:tc>
      </w:tr>
      <w:tr w14:paraId="4BEDDD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2132" w:type="dxa"/>
            <w:shd w:val="clear" w:color="auto" w:fill="auto"/>
            <w:noWrap/>
            <w:vAlign w:val="center"/>
          </w:tcPr>
          <w:p w14:paraId="7BD45524">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cs="Times New Roman"/>
                <w:color w:val="auto"/>
                <w:kern w:val="0"/>
                <w:sz w:val="21"/>
                <w:szCs w:val="21"/>
                <w:highlight w:val="none"/>
              </w:rPr>
            </w:pPr>
            <w:r>
              <w:rPr>
                <w:rFonts w:hint="default" w:ascii="Times New Roman" w:hAnsi="Times New Roman" w:cs="Times New Roman"/>
                <w:color w:val="auto"/>
                <w:kern w:val="0"/>
                <w:sz w:val="21"/>
                <w:szCs w:val="21"/>
                <w:highlight w:val="none"/>
              </w:rPr>
              <w:t>样品2</w:t>
            </w:r>
          </w:p>
        </w:tc>
        <w:tc>
          <w:tcPr>
            <w:tcW w:w="2132" w:type="dxa"/>
            <w:shd w:val="clear" w:color="auto" w:fill="auto"/>
            <w:noWrap/>
            <w:vAlign w:val="center"/>
          </w:tcPr>
          <w:p w14:paraId="235760E6">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eastAsia="宋体" w:cs="Times New Roman"/>
                <w:b w:val="0"/>
                <w:bCs w:val="0"/>
                <w:color w:val="auto"/>
                <w:kern w:val="0"/>
                <w:sz w:val="21"/>
                <w:szCs w:val="21"/>
                <w:highlight w:val="none"/>
              </w:rPr>
            </w:pPr>
            <w:r>
              <w:rPr>
                <w:rFonts w:hint="default" w:ascii="Times New Roman" w:hAnsi="Times New Roman" w:eastAsia="宋体" w:cs="Times New Roman"/>
                <w:b w:val="0"/>
                <w:bCs w:val="0"/>
                <w:color w:val="auto"/>
                <w:kern w:val="0"/>
                <w:sz w:val="21"/>
                <w:szCs w:val="21"/>
                <w:highlight w:val="none"/>
              </w:rPr>
              <w:t>817</w:t>
            </w:r>
          </w:p>
        </w:tc>
        <w:tc>
          <w:tcPr>
            <w:tcW w:w="2132" w:type="dxa"/>
            <w:shd w:val="clear" w:color="auto" w:fill="auto"/>
            <w:noWrap/>
            <w:vAlign w:val="center"/>
          </w:tcPr>
          <w:p w14:paraId="757BF32A">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eastAsia="宋体" w:cs="Times New Roman"/>
                <w:b w:val="0"/>
                <w:bCs w:val="0"/>
                <w:color w:val="auto"/>
                <w:kern w:val="0"/>
                <w:sz w:val="21"/>
                <w:szCs w:val="21"/>
                <w:highlight w:val="none"/>
              </w:rPr>
            </w:pPr>
            <w:r>
              <w:rPr>
                <w:rFonts w:hint="default" w:ascii="Times New Roman" w:hAnsi="Times New Roman" w:cs="Times New Roman"/>
                <w:color w:val="auto"/>
                <w:kern w:val="0"/>
                <w:sz w:val="21"/>
                <w:szCs w:val="21"/>
                <w:highlight w:val="none"/>
              </w:rPr>
              <w:t>样品8</w:t>
            </w:r>
          </w:p>
        </w:tc>
        <w:tc>
          <w:tcPr>
            <w:tcW w:w="2132" w:type="dxa"/>
            <w:shd w:val="clear" w:color="auto" w:fill="auto"/>
            <w:noWrap/>
            <w:vAlign w:val="center"/>
          </w:tcPr>
          <w:p w14:paraId="156D12EE">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eastAsia="宋体" w:cs="Times New Roman"/>
                <w:b w:val="0"/>
                <w:bCs w:val="0"/>
                <w:color w:val="auto"/>
                <w:kern w:val="0"/>
                <w:sz w:val="21"/>
                <w:szCs w:val="21"/>
                <w:highlight w:val="none"/>
              </w:rPr>
            </w:pPr>
            <w:r>
              <w:rPr>
                <w:rFonts w:hint="default" w:ascii="Times New Roman" w:hAnsi="Times New Roman" w:eastAsia="宋体" w:cs="Times New Roman"/>
                <w:color w:val="auto"/>
                <w:kern w:val="0"/>
                <w:sz w:val="21"/>
                <w:szCs w:val="21"/>
                <w:highlight w:val="none"/>
              </w:rPr>
              <w:t>688</w:t>
            </w:r>
          </w:p>
        </w:tc>
      </w:tr>
      <w:tr w14:paraId="49AC32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2132" w:type="dxa"/>
            <w:shd w:val="clear" w:color="auto" w:fill="auto"/>
            <w:noWrap/>
            <w:vAlign w:val="center"/>
          </w:tcPr>
          <w:p w14:paraId="323E250A">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cs="Times New Roman"/>
                <w:color w:val="auto"/>
                <w:kern w:val="0"/>
                <w:sz w:val="21"/>
                <w:szCs w:val="21"/>
                <w:highlight w:val="none"/>
              </w:rPr>
            </w:pPr>
            <w:r>
              <w:rPr>
                <w:rFonts w:hint="default" w:ascii="Times New Roman" w:hAnsi="Times New Roman" w:cs="Times New Roman"/>
                <w:color w:val="auto"/>
                <w:kern w:val="0"/>
                <w:sz w:val="21"/>
                <w:szCs w:val="21"/>
                <w:highlight w:val="none"/>
              </w:rPr>
              <w:t>样品3</w:t>
            </w:r>
          </w:p>
        </w:tc>
        <w:tc>
          <w:tcPr>
            <w:tcW w:w="2132" w:type="dxa"/>
            <w:shd w:val="clear" w:color="auto" w:fill="auto"/>
            <w:noWrap/>
            <w:vAlign w:val="center"/>
          </w:tcPr>
          <w:p w14:paraId="0B96ADB8">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eastAsia="宋体" w:cs="Times New Roman"/>
                <w:color w:val="auto"/>
                <w:kern w:val="0"/>
                <w:sz w:val="21"/>
                <w:szCs w:val="21"/>
                <w:highlight w:val="none"/>
              </w:rPr>
            </w:pPr>
            <w:r>
              <w:rPr>
                <w:rFonts w:hint="default" w:ascii="Times New Roman" w:hAnsi="Times New Roman" w:eastAsia="宋体" w:cs="Times New Roman"/>
                <w:color w:val="auto"/>
                <w:kern w:val="0"/>
                <w:sz w:val="21"/>
                <w:szCs w:val="21"/>
                <w:highlight w:val="none"/>
              </w:rPr>
              <w:t>508</w:t>
            </w:r>
          </w:p>
        </w:tc>
        <w:tc>
          <w:tcPr>
            <w:tcW w:w="2132" w:type="dxa"/>
            <w:shd w:val="clear" w:color="auto" w:fill="auto"/>
            <w:noWrap/>
            <w:vAlign w:val="center"/>
          </w:tcPr>
          <w:p w14:paraId="7E0D6E51">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eastAsia="宋体" w:cs="Times New Roman"/>
                <w:color w:val="auto"/>
                <w:kern w:val="0"/>
                <w:sz w:val="21"/>
                <w:szCs w:val="21"/>
                <w:highlight w:val="none"/>
              </w:rPr>
            </w:pPr>
            <w:r>
              <w:rPr>
                <w:rFonts w:hint="default" w:ascii="Times New Roman" w:hAnsi="Times New Roman" w:cs="Times New Roman"/>
                <w:color w:val="auto"/>
                <w:kern w:val="0"/>
                <w:sz w:val="21"/>
                <w:szCs w:val="21"/>
                <w:highlight w:val="none"/>
              </w:rPr>
              <w:t>样品9</w:t>
            </w:r>
          </w:p>
        </w:tc>
        <w:tc>
          <w:tcPr>
            <w:tcW w:w="2132" w:type="dxa"/>
            <w:shd w:val="clear" w:color="auto" w:fill="auto"/>
            <w:noWrap/>
            <w:vAlign w:val="center"/>
          </w:tcPr>
          <w:p w14:paraId="5D154833">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eastAsia="宋体" w:cs="Times New Roman"/>
                <w:color w:val="auto"/>
                <w:kern w:val="0"/>
                <w:sz w:val="21"/>
                <w:szCs w:val="21"/>
                <w:highlight w:val="none"/>
              </w:rPr>
            </w:pPr>
            <w:r>
              <w:rPr>
                <w:rFonts w:hint="default" w:ascii="Times New Roman" w:hAnsi="Times New Roman" w:eastAsia="宋体" w:cs="Times New Roman"/>
                <w:color w:val="auto"/>
                <w:kern w:val="0"/>
                <w:sz w:val="21"/>
                <w:szCs w:val="21"/>
                <w:highlight w:val="none"/>
              </w:rPr>
              <w:t>714</w:t>
            </w:r>
          </w:p>
        </w:tc>
      </w:tr>
      <w:tr w14:paraId="6681C9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2132" w:type="dxa"/>
            <w:shd w:val="clear" w:color="auto" w:fill="auto"/>
            <w:noWrap/>
            <w:vAlign w:val="center"/>
          </w:tcPr>
          <w:p w14:paraId="12D8752D">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cs="Times New Roman"/>
                <w:color w:val="auto"/>
                <w:kern w:val="0"/>
                <w:sz w:val="21"/>
                <w:szCs w:val="21"/>
                <w:highlight w:val="none"/>
              </w:rPr>
            </w:pPr>
            <w:r>
              <w:rPr>
                <w:rFonts w:hint="default" w:ascii="Times New Roman" w:hAnsi="Times New Roman" w:cs="Times New Roman"/>
                <w:color w:val="auto"/>
                <w:kern w:val="0"/>
                <w:sz w:val="21"/>
                <w:szCs w:val="21"/>
                <w:highlight w:val="none"/>
              </w:rPr>
              <w:t>样品4</w:t>
            </w:r>
          </w:p>
        </w:tc>
        <w:tc>
          <w:tcPr>
            <w:tcW w:w="2132" w:type="dxa"/>
            <w:shd w:val="clear" w:color="auto" w:fill="auto"/>
            <w:noWrap/>
            <w:vAlign w:val="center"/>
          </w:tcPr>
          <w:p w14:paraId="56CE45FE">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eastAsia="宋体" w:cs="Times New Roman"/>
                <w:color w:val="auto"/>
                <w:kern w:val="0"/>
                <w:sz w:val="21"/>
                <w:szCs w:val="21"/>
                <w:highlight w:val="none"/>
              </w:rPr>
            </w:pPr>
            <w:r>
              <w:rPr>
                <w:rFonts w:hint="default" w:ascii="Times New Roman" w:hAnsi="Times New Roman" w:eastAsia="宋体" w:cs="Times New Roman"/>
                <w:color w:val="auto"/>
                <w:kern w:val="0"/>
                <w:sz w:val="21"/>
                <w:szCs w:val="21"/>
                <w:highlight w:val="none"/>
              </w:rPr>
              <w:t>731</w:t>
            </w:r>
          </w:p>
        </w:tc>
        <w:tc>
          <w:tcPr>
            <w:tcW w:w="2132" w:type="dxa"/>
            <w:shd w:val="clear" w:color="auto" w:fill="auto"/>
            <w:noWrap/>
            <w:vAlign w:val="center"/>
          </w:tcPr>
          <w:p w14:paraId="707C7753">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eastAsia="宋体" w:cs="Times New Roman"/>
                <w:color w:val="auto"/>
                <w:kern w:val="0"/>
                <w:sz w:val="21"/>
                <w:szCs w:val="21"/>
                <w:highlight w:val="none"/>
              </w:rPr>
            </w:pPr>
            <w:r>
              <w:rPr>
                <w:rFonts w:hint="default" w:ascii="Times New Roman" w:hAnsi="Times New Roman" w:cs="Times New Roman"/>
                <w:color w:val="auto"/>
                <w:kern w:val="0"/>
                <w:sz w:val="21"/>
                <w:szCs w:val="21"/>
                <w:highlight w:val="none"/>
              </w:rPr>
              <w:t>样品10</w:t>
            </w:r>
          </w:p>
        </w:tc>
        <w:tc>
          <w:tcPr>
            <w:tcW w:w="2132" w:type="dxa"/>
            <w:shd w:val="clear" w:color="auto" w:fill="auto"/>
            <w:noWrap/>
            <w:vAlign w:val="center"/>
          </w:tcPr>
          <w:p w14:paraId="05F274C7">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eastAsia="宋体" w:cs="Times New Roman"/>
                <w:color w:val="auto"/>
                <w:kern w:val="0"/>
                <w:sz w:val="21"/>
                <w:szCs w:val="21"/>
                <w:highlight w:val="none"/>
              </w:rPr>
            </w:pPr>
            <w:r>
              <w:rPr>
                <w:rFonts w:hint="default" w:ascii="Times New Roman" w:hAnsi="Times New Roman" w:eastAsia="宋体" w:cs="Times New Roman"/>
                <w:b w:val="0"/>
                <w:bCs w:val="0"/>
                <w:color w:val="auto"/>
                <w:kern w:val="0"/>
                <w:sz w:val="21"/>
                <w:szCs w:val="21"/>
                <w:highlight w:val="none"/>
              </w:rPr>
              <w:t>801</w:t>
            </w:r>
          </w:p>
        </w:tc>
      </w:tr>
      <w:tr w14:paraId="06EC5B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2132" w:type="dxa"/>
            <w:shd w:val="clear" w:color="auto" w:fill="auto"/>
            <w:noWrap/>
            <w:vAlign w:val="center"/>
          </w:tcPr>
          <w:p w14:paraId="0AF20A94">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cs="Times New Roman"/>
                <w:color w:val="auto"/>
                <w:kern w:val="0"/>
                <w:sz w:val="21"/>
                <w:szCs w:val="21"/>
                <w:highlight w:val="none"/>
              </w:rPr>
            </w:pPr>
            <w:r>
              <w:rPr>
                <w:rFonts w:hint="default" w:ascii="Times New Roman" w:hAnsi="Times New Roman" w:cs="Times New Roman"/>
                <w:color w:val="auto"/>
                <w:kern w:val="0"/>
                <w:sz w:val="21"/>
                <w:szCs w:val="21"/>
                <w:highlight w:val="none"/>
              </w:rPr>
              <w:t>样品5</w:t>
            </w:r>
          </w:p>
        </w:tc>
        <w:tc>
          <w:tcPr>
            <w:tcW w:w="2132" w:type="dxa"/>
            <w:shd w:val="clear" w:color="auto" w:fill="auto"/>
            <w:noWrap/>
            <w:vAlign w:val="center"/>
          </w:tcPr>
          <w:p w14:paraId="42487732">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eastAsia="宋体" w:cs="Times New Roman"/>
                <w:color w:val="auto"/>
                <w:kern w:val="0"/>
                <w:sz w:val="21"/>
                <w:szCs w:val="21"/>
                <w:highlight w:val="none"/>
              </w:rPr>
            </w:pPr>
            <w:r>
              <w:rPr>
                <w:rFonts w:hint="default" w:ascii="Times New Roman" w:hAnsi="Times New Roman" w:eastAsia="宋体" w:cs="Times New Roman"/>
                <w:color w:val="auto"/>
                <w:kern w:val="0"/>
                <w:sz w:val="21"/>
                <w:szCs w:val="21"/>
                <w:highlight w:val="none"/>
              </w:rPr>
              <w:t>705</w:t>
            </w:r>
          </w:p>
        </w:tc>
        <w:tc>
          <w:tcPr>
            <w:tcW w:w="2132" w:type="dxa"/>
            <w:shd w:val="clear" w:color="auto" w:fill="auto"/>
            <w:noWrap/>
            <w:vAlign w:val="center"/>
          </w:tcPr>
          <w:p w14:paraId="4496DB2F">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eastAsia="宋体" w:cs="Times New Roman"/>
                <w:color w:val="auto"/>
                <w:kern w:val="0"/>
                <w:sz w:val="21"/>
                <w:szCs w:val="21"/>
                <w:highlight w:val="none"/>
              </w:rPr>
            </w:pPr>
            <w:r>
              <w:rPr>
                <w:rFonts w:hint="default" w:ascii="Times New Roman" w:hAnsi="Times New Roman" w:cs="Times New Roman"/>
                <w:color w:val="auto"/>
                <w:kern w:val="0"/>
                <w:sz w:val="21"/>
                <w:szCs w:val="21"/>
                <w:highlight w:val="none"/>
              </w:rPr>
              <w:t>样品11</w:t>
            </w:r>
          </w:p>
        </w:tc>
        <w:tc>
          <w:tcPr>
            <w:tcW w:w="2132" w:type="dxa"/>
            <w:shd w:val="clear" w:color="auto" w:fill="auto"/>
            <w:noWrap/>
            <w:vAlign w:val="center"/>
          </w:tcPr>
          <w:p w14:paraId="0EC64221">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eastAsia="宋体" w:cs="Times New Roman"/>
                <w:color w:val="auto"/>
                <w:kern w:val="0"/>
                <w:sz w:val="21"/>
                <w:szCs w:val="21"/>
                <w:highlight w:val="none"/>
              </w:rPr>
            </w:pPr>
            <w:r>
              <w:rPr>
                <w:rFonts w:hint="default" w:ascii="Times New Roman" w:hAnsi="Times New Roman" w:eastAsia="宋体" w:cs="Times New Roman"/>
                <w:b w:val="0"/>
                <w:bCs w:val="0"/>
                <w:color w:val="auto"/>
                <w:kern w:val="0"/>
                <w:sz w:val="21"/>
                <w:szCs w:val="21"/>
                <w:highlight w:val="none"/>
              </w:rPr>
              <w:t>791</w:t>
            </w:r>
          </w:p>
        </w:tc>
      </w:tr>
      <w:tr w14:paraId="562CCD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2132" w:type="dxa"/>
            <w:shd w:val="clear" w:color="auto" w:fill="auto"/>
            <w:noWrap/>
            <w:vAlign w:val="center"/>
          </w:tcPr>
          <w:p w14:paraId="5E73B437">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cs="Times New Roman"/>
                <w:color w:val="auto"/>
                <w:kern w:val="0"/>
                <w:sz w:val="21"/>
                <w:szCs w:val="21"/>
                <w:highlight w:val="none"/>
              </w:rPr>
            </w:pPr>
            <w:r>
              <w:rPr>
                <w:rFonts w:hint="default" w:ascii="Times New Roman" w:hAnsi="Times New Roman" w:cs="Times New Roman"/>
                <w:color w:val="auto"/>
                <w:kern w:val="0"/>
                <w:sz w:val="21"/>
                <w:szCs w:val="21"/>
                <w:highlight w:val="none"/>
              </w:rPr>
              <w:t>样品6</w:t>
            </w:r>
          </w:p>
        </w:tc>
        <w:tc>
          <w:tcPr>
            <w:tcW w:w="2132" w:type="dxa"/>
            <w:shd w:val="clear" w:color="auto" w:fill="auto"/>
            <w:noWrap/>
            <w:vAlign w:val="center"/>
          </w:tcPr>
          <w:p w14:paraId="7295DA73">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eastAsia="宋体" w:cs="Times New Roman"/>
                <w:color w:val="auto"/>
                <w:kern w:val="0"/>
                <w:sz w:val="21"/>
                <w:szCs w:val="21"/>
                <w:highlight w:val="none"/>
              </w:rPr>
            </w:pPr>
            <w:r>
              <w:rPr>
                <w:rFonts w:hint="default" w:ascii="Times New Roman" w:hAnsi="Times New Roman" w:eastAsia="宋体" w:cs="Times New Roman"/>
                <w:color w:val="auto"/>
                <w:kern w:val="0"/>
                <w:sz w:val="21"/>
                <w:szCs w:val="21"/>
                <w:highlight w:val="none"/>
              </w:rPr>
              <w:t>727</w:t>
            </w:r>
          </w:p>
        </w:tc>
        <w:tc>
          <w:tcPr>
            <w:tcW w:w="2132" w:type="dxa"/>
            <w:shd w:val="clear" w:color="auto" w:fill="auto"/>
            <w:noWrap/>
            <w:vAlign w:val="center"/>
          </w:tcPr>
          <w:p w14:paraId="1057F818">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eastAsia="宋体" w:cs="Times New Roman"/>
                <w:color w:val="auto"/>
                <w:kern w:val="0"/>
                <w:sz w:val="21"/>
                <w:szCs w:val="21"/>
                <w:highlight w:val="none"/>
              </w:rPr>
            </w:pPr>
          </w:p>
        </w:tc>
        <w:tc>
          <w:tcPr>
            <w:tcW w:w="2132" w:type="dxa"/>
            <w:shd w:val="clear" w:color="auto" w:fill="auto"/>
            <w:noWrap/>
            <w:vAlign w:val="center"/>
          </w:tcPr>
          <w:p w14:paraId="2071B42B">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eastAsia="宋体" w:cs="Times New Roman"/>
                <w:color w:val="auto"/>
                <w:kern w:val="0"/>
                <w:sz w:val="21"/>
                <w:szCs w:val="21"/>
                <w:highlight w:val="none"/>
              </w:rPr>
            </w:pPr>
          </w:p>
        </w:tc>
      </w:tr>
    </w:tbl>
    <w:p w14:paraId="4AE82BDC">
      <w:pPr>
        <w:keepNext/>
        <w:keepLines w:val="0"/>
        <w:pageBreakBefore w:val="0"/>
        <w:widowControl w:val="0"/>
        <w:kinsoku/>
        <w:wordWrap/>
        <w:autoSpaceDE/>
        <w:autoSpaceDN/>
        <w:bidi w:val="0"/>
        <w:spacing w:line="360" w:lineRule="auto"/>
        <w:ind w:firstLine="480" w:firstLineChars="200"/>
        <w:rPr>
          <w:rFonts w:hint="default" w:ascii="Times New Roman" w:hAnsi="Times New Roman" w:cs="Times New Roman"/>
          <w:kern w:val="0"/>
          <w:sz w:val="24"/>
          <w:highlight w:val="none"/>
        </w:rPr>
      </w:pPr>
      <w:r>
        <w:rPr>
          <w:rFonts w:hint="default" w:ascii="Times New Roman" w:hAnsi="Times New Roman" w:cs="Times New Roman"/>
          <w:kern w:val="0"/>
          <w:sz w:val="24"/>
          <w:highlight w:val="none"/>
          <w:lang w:eastAsia="zh-CN"/>
        </w:rPr>
        <w:t>（</w:t>
      </w:r>
      <w:r>
        <w:rPr>
          <w:rFonts w:hint="default" w:ascii="Times New Roman" w:hAnsi="Times New Roman" w:cs="Times New Roman"/>
          <w:kern w:val="0"/>
          <w:sz w:val="24"/>
          <w:highlight w:val="none"/>
          <w:lang w:val="en-US" w:eastAsia="zh-CN"/>
        </w:rPr>
        <w:t>3</w:t>
      </w:r>
      <w:r>
        <w:rPr>
          <w:rFonts w:hint="default" w:ascii="Times New Roman" w:hAnsi="Times New Roman" w:cs="Times New Roman"/>
          <w:kern w:val="0"/>
          <w:sz w:val="24"/>
          <w:highlight w:val="none"/>
          <w:lang w:eastAsia="zh-CN"/>
        </w:rPr>
        <w:t>）</w:t>
      </w:r>
      <w:r>
        <w:rPr>
          <w:rFonts w:hint="default" w:ascii="Times New Roman" w:hAnsi="Times New Roman" w:cs="Times New Roman"/>
          <w:kern w:val="0"/>
          <w:sz w:val="24"/>
          <w:highlight w:val="none"/>
        </w:rPr>
        <w:t>溶剂型清漆</w:t>
      </w:r>
      <w:r>
        <w:rPr>
          <w:rFonts w:hint="default" w:ascii="Times New Roman" w:hAnsi="Times New Roman" w:cs="Times New Roman"/>
          <w:kern w:val="0"/>
          <w:sz w:val="24"/>
          <w:highlight w:val="none"/>
          <w:lang w:eastAsia="zh-CN"/>
        </w:rPr>
        <w:t>。</w:t>
      </w:r>
      <w:r>
        <w:rPr>
          <w:rFonts w:hint="default" w:ascii="Times New Roman" w:hAnsi="Times New Roman" w:cs="Times New Roman"/>
          <w:kern w:val="0"/>
          <w:sz w:val="24"/>
          <w:highlight w:val="none"/>
        </w:rPr>
        <w:t>样品11个，整体浓度范围在345~587g/L，</w:t>
      </w:r>
      <w:r>
        <w:rPr>
          <w:rFonts w:hint="default" w:ascii="Times New Roman" w:hAnsi="Times New Roman" w:cs="Times New Roman"/>
          <w:kern w:val="0"/>
          <w:sz w:val="24"/>
          <w:highlight w:val="none"/>
          <w:lang w:eastAsia="zh-CN"/>
        </w:rPr>
        <w:t>含量均满足</w:t>
      </w:r>
      <w:r>
        <w:rPr>
          <w:rFonts w:hint="default" w:ascii="Times New Roman" w:hAnsi="Times New Roman" w:cs="Times New Roman"/>
          <w:highlight w:val="none"/>
        </w:rPr>
        <w:t>GB 24409</w:t>
      </w:r>
      <w:r>
        <w:rPr>
          <w:rFonts w:hint="default" w:ascii="Times New Roman" w:hAnsi="Times New Roman" w:cs="Times New Roman"/>
          <w:highlight w:val="none"/>
          <w:lang w:eastAsia="zh-CN"/>
        </w:rPr>
        <w:t>要求，且</w:t>
      </w:r>
      <w:r>
        <w:rPr>
          <w:rFonts w:hint="default" w:ascii="Times New Roman" w:hAnsi="Times New Roman" w:cs="Times New Roman"/>
          <w:highlight w:val="none"/>
          <w:lang w:val="en-US" w:eastAsia="zh-CN"/>
        </w:rPr>
        <w:t>82%的</w:t>
      </w:r>
      <w:r>
        <w:rPr>
          <w:rFonts w:hint="default" w:ascii="Times New Roman" w:hAnsi="Times New Roman" w:cs="Times New Roman"/>
          <w:highlight w:val="none"/>
          <w:lang w:eastAsia="zh-CN"/>
        </w:rPr>
        <w:t>样品达到了</w:t>
      </w:r>
      <w:r>
        <w:rPr>
          <w:rFonts w:hint="default" w:ascii="Times New Roman" w:hAnsi="Times New Roman" w:cs="Times New Roman"/>
          <w:highlight w:val="none"/>
        </w:rPr>
        <w:t>GB</w:t>
      </w:r>
      <w:r>
        <w:rPr>
          <w:rFonts w:hint="default" w:ascii="Times New Roman" w:hAnsi="Times New Roman" w:cs="Times New Roman"/>
          <w:highlight w:val="none"/>
          <w:lang w:val="en-US" w:eastAsia="zh-CN"/>
        </w:rPr>
        <w:t>/</w:t>
      </w:r>
      <w:r>
        <w:rPr>
          <w:rFonts w:hint="default" w:ascii="Times New Roman" w:hAnsi="Times New Roman" w:cs="Times New Roman"/>
          <w:highlight w:val="none"/>
        </w:rPr>
        <w:t>T 38597</w:t>
      </w:r>
      <w:r>
        <w:rPr>
          <w:rFonts w:hint="default" w:ascii="Times New Roman" w:hAnsi="Times New Roman" w:cs="Times New Roman"/>
          <w:highlight w:val="none"/>
          <w:lang w:eastAsia="zh-CN"/>
        </w:rPr>
        <w:t>（</w:t>
      </w:r>
      <w:r>
        <w:rPr>
          <w:rFonts w:hint="default" w:ascii="Times New Roman" w:hAnsi="Times New Roman" w:cs="Times New Roman"/>
          <w:kern w:val="0"/>
          <w:sz w:val="24"/>
          <w:highlight w:val="none"/>
        </w:rPr>
        <w:t>420 g/L</w:t>
      </w:r>
      <w:r>
        <w:rPr>
          <w:rFonts w:hint="default" w:ascii="Times New Roman" w:hAnsi="Times New Roman" w:cs="Times New Roman"/>
          <w:highlight w:val="none"/>
          <w:lang w:eastAsia="zh-CN"/>
        </w:rPr>
        <w:t>）要求。</w:t>
      </w:r>
    </w:p>
    <w:p w14:paraId="5C099F32">
      <w:pPr>
        <w:keepNext/>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kern w:val="0"/>
          <w:szCs w:val="21"/>
          <w:highlight w:val="none"/>
          <w:lang w:val="en-US" w:eastAsia="zh-CN"/>
        </w:rPr>
      </w:pPr>
      <w:r>
        <w:rPr>
          <w:rFonts w:hint="default" w:ascii="Times New Roman" w:hAnsi="Times New Roman" w:cs="Times New Roman"/>
          <w:kern w:val="0"/>
          <w:szCs w:val="21"/>
          <w:highlight w:val="none"/>
          <w:lang w:val="en-US" w:eastAsia="zh-CN"/>
        </w:rPr>
        <w:t>表</w:t>
      </w:r>
      <w:r>
        <w:rPr>
          <w:rFonts w:hint="eastAsia" w:cs="Times New Roman"/>
          <w:kern w:val="0"/>
          <w:szCs w:val="21"/>
          <w:highlight w:val="none"/>
          <w:lang w:val="en-US" w:eastAsia="zh-CN"/>
        </w:rPr>
        <w:t>7.4</w:t>
      </w:r>
      <w:r>
        <w:rPr>
          <w:rFonts w:hint="default" w:ascii="Times New Roman" w:hAnsi="Times New Roman" w:cs="Times New Roman"/>
          <w:kern w:val="0"/>
          <w:szCs w:val="21"/>
          <w:highlight w:val="none"/>
          <w:lang w:val="en-US" w:eastAsia="zh-CN"/>
        </w:rPr>
        <w:t>-</w:t>
      </w:r>
      <w:r>
        <w:rPr>
          <w:rFonts w:hint="eastAsia" w:cs="Times New Roman"/>
          <w:kern w:val="0"/>
          <w:szCs w:val="21"/>
          <w:highlight w:val="none"/>
          <w:lang w:val="en-US" w:eastAsia="zh-CN"/>
        </w:rPr>
        <w:t>4</w:t>
      </w:r>
      <w:r>
        <w:rPr>
          <w:rFonts w:hint="default" w:ascii="Times New Roman" w:hAnsi="Times New Roman" w:cs="Times New Roman"/>
          <w:kern w:val="0"/>
          <w:szCs w:val="21"/>
          <w:highlight w:val="none"/>
          <w:lang w:val="en-US" w:eastAsia="zh-CN"/>
        </w:rPr>
        <w:t xml:space="preserve"> 溶剂型清漆测试结果</w:t>
      </w:r>
    </w:p>
    <w:tbl>
      <w:tblPr>
        <w:tblStyle w:val="21"/>
        <w:tblW w:w="85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32"/>
        <w:gridCol w:w="2132"/>
        <w:gridCol w:w="2132"/>
        <w:gridCol w:w="2132"/>
      </w:tblGrid>
      <w:tr w14:paraId="1282A3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8" w:hRule="atLeast"/>
          <w:tblHeader/>
          <w:jc w:val="center"/>
        </w:trPr>
        <w:tc>
          <w:tcPr>
            <w:tcW w:w="2132" w:type="dxa"/>
            <w:shd w:val="clear" w:color="auto" w:fill="auto"/>
            <w:noWrap/>
            <w:vAlign w:val="center"/>
          </w:tcPr>
          <w:p w14:paraId="20DA0011">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cs="Times New Roman"/>
                <w:b/>
                <w:bCs/>
                <w:color w:val="auto"/>
                <w:kern w:val="0"/>
                <w:sz w:val="21"/>
                <w:szCs w:val="21"/>
                <w:highlight w:val="none"/>
              </w:rPr>
            </w:pPr>
            <w:r>
              <w:rPr>
                <w:rFonts w:hint="default" w:ascii="Times New Roman" w:hAnsi="Times New Roman" w:cs="Times New Roman"/>
                <w:b/>
                <w:bCs/>
                <w:color w:val="auto"/>
                <w:kern w:val="0"/>
                <w:sz w:val="21"/>
                <w:szCs w:val="21"/>
                <w:highlight w:val="none"/>
              </w:rPr>
              <w:t>企业编号</w:t>
            </w:r>
          </w:p>
        </w:tc>
        <w:tc>
          <w:tcPr>
            <w:tcW w:w="2132" w:type="dxa"/>
            <w:shd w:val="clear" w:color="auto" w:fill="auto"/>
            <w:noWrap/>
            <w:vAlign w:val="center"/>
          </w:tcPr>
          <w:p w14:paraId="2D2697F7">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cs="Times New Roman"/>
                <w:b/>
                <w:bCs/>
                <w:color w:val="auto"/>
                <w:kern w:val="0"/>
                <w:sz w:val="21"/>
                <w:szCs w:val="21"/>
                <w:highlight w:val="none"/>
              </w:rPr>
            </w:pPr>
            <w:r>
              <w:rPr>
                <w:rFonts w:hint="default" w:ascii="Times New Roman" w:hAnsi="Times New Roman" w:cs="Times New Roman"/>
                <w:b/>
                <w:bCs/>
                <w:color w:val="auto"/>
                <w:kern w:val="0"/>
                <w:sz w:val="21"/>
                <w:szCs w:val="21"/>
                <w:highlight w:val="none"/>
              </w:rPr>
              <w:t>浓度</w:t>
            </w:r>
            <w:r>
              <w:rPr>
                <w:rFonts w:hint="eastAsia" w:ascii="Times New Roman" w:hAnsi="Times New Roman" w:cs="Times New Roman"/>
                <w:b/>
                <w:bCs/>
                <w:kern w:val="0"/>
                <w:sz w:val="21"/>
                <w:szCs w:val="21"/>
                <w:highlight w:val="none"/>
                <w:lang w:eastAsia="zh-CN"/>
              </w:rPr>
              <w:t>（</w:t>
            </w:r>
            <w:r>
              <w:rPr>
                <w:rFonts w:hint="eastAsia" w:ascii="Times New Roman" w:hAnsi="Times New Roman" w:cs="Times New Roman"/>
                <w:b/>
                <w:bCs/>
                <w:kern w:val="0"/>
                <w:sz w:val="21"/>
                <w:szCs w:val="21"/>
                <w:highlight w:val="none"/>
                <w:lang w:val="en-US" w:eastAsia="zh-CN"/>
              </w:rPr>
              <w:t>g/L</w:t>
            </w:r>
            <w:r>
              <w:rPr>
                <w:rFonts w:hint="eastAsia" w:ascii="Times New Roman" w:hAnsi="Times New Roman" w:cs="Times New Roman"/>
                <w:b/>
                <w:bCs/>
                <w:kern w:val="0"/>
                <w:sz w:val="21"/>
                <w:szCs w:val="21"/>
                <w:highlight w:val="none"/>
                <w:lang w:eastAsia="zh-CN"/>
              </w:rPr>
              <w:t>）</w:t>
            </w:r>
          </w:p>
        </w:tc>
        <w:tc>
          <w:tcPr>
            <w:tcW w:w="2132" w:type="dxa"/>
            <w:shd w:val="clear" w:color="auto" w:fill="auto"/>
            <w:noWrap/>
            <w:vAlign w:val="center"/>
          </w:tcPr>
          <w:p w14:paraId="49A5F09A">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cs="Times New Roman"/>
                <w:color w:val="auto"/>
                <w:kern w:val="0"/>
                <w:sz w:val="21"/>
                <w:szCs w:val="21"/>
                <w:highlight w:val="none"/>
              </w:rPr>
            </w:pPr>
            <w:r>
              <w:rPr>
                <w:rFonts w:hint="default" w:ascii="Times New Roman" w:hAnsi="Times New Roman" w:cs="Times New Roman"/>
                <w:b/>
                <w:bCs/>
                <w:color w:val="auto"/>
                <w:kern w:val="0"/>
                <w:sz w:val="21"/>
                <w:szCs w:val="21"/>
                <w:highlight w:val="none"/>
              </w:rPr>
              <w:t>企业编号</w:t>
            </w:r>
          </w:p>
        </w:tc>
        <w:tc>
          <w:tcPr>
            <w:tcW w:w="2132" w:type="dxa"/>
            <w:shd w:val="clear" w:color="auto" w:fill="auto"/>
            <w:noWrap/>
            <w:vAlign w:val="center"/>
          </w:tcPr>
          <w:p w14:paraId="76D1243E">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cs="Times New Roman"/>
                <w:color w:val="auto"/>
                <w:kern w:val="0"/>
                <w:sz w:val="21"/>
                <w:szCs w:val="21"/>
                <w:highlight w:val="none"/>
              </w:rPr>
            </w:pPr>
            <w:r>
              <w:rPr>
                <w:rFonts w:hint="default" w:ascii="Times New Roman" w:hAnsi="Times New Roman" w:cs="Times New Roman"/>
                <w:b/>
                <w:bCs/>
                <w:color w:val="auto"/>
                <w:kern w:val="0"/>
                <w:sz w:val="21"/>
                <w:szCs w:val="21"/>
                <w:highlight w:val="none"/>
              </w:rPr>
              <w:t>浓度</w:t>
            </w:r>
            <w:r>
              <w:rPr>
                <w:rFonts w:hint="eastAsia" w:ascii="Times New Roman" w:hAnsi="Times New Roman" w:cs="Times New Roman"/>
                <w:b/>
                <w:bCs/>
                <w:kern w:val="0"/>
                <w:sz w:val="21"/>
                <w:szCs w:val="21"/>
                <w:highlight w:val="none"/>
                <w:lang w:eastAsia="zh-CN"/>
              </w:rPr>
              <w:t>（</w:t>
            </w:r>
            <w:r>
              <w:rPr>
                <w:rFonts w:hint="eastAsia" w:ascii="Times New Roman" w:hAnsi="Times New Roman" w:cs="Times New Roman"/>
                <w:b/>
                <w:bCs/>
                <w:kern w:val="0"/>
                <w:sz w:val="21"/>
                <w:szCs w:val="21"/>
                <w:highlight w:val="none"/>
                <w:lang w:val="en-US" w:eastAsia="zh-CN"/>
              </w:rPr>
              <w:t>g/L</w:t>
            </w:r>
            <w:r>
              <w:rPr>
                <w:rFonts w:hint="eastAsia" w:ascii="Times New Roman" w:hAnsi="Times New Roman" w:cs="Times New Roman"/>
                <w:b/>
                <w:bCs/>
                <w:kern w:val="0"/>
                <w:sz w:val="21"/>
                <w:szCs w:val="21"/>
                <w:highlight w:val="none"/>
                <w:lang w:eastAsia="zh-CN"/>
              </w:rPr>
              <w:t>）</w:t>
            </w:r>
          </w:p>
        </w:tc>
      </w:tr>
      <w:tr w14:paraId="1666C7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2132" w:type="dxa"/>
            <w:shd w:val="clear" w:color="auto" w:fill="auto"/>
            <w:noWrap/>
            <w:vAlign w:val="center"/>
          </w:tcPr>
          <w:p w14:paraId="2223C403">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cs="Times New Roman"/>
                <w:color w:val="auto"/>
                <w:kern w:val="0"/>
                <w:sz w:val="21"/>
                <w:szCs w:val="21"/>
                <w:highlight w:val="none"/>
              </w:rPr>
            </w:pPr>
            <w:r>
              <w:rPr>
                <w:rFonts w:hint="default" w:ascii="Times New Roman" w:hAnsi="Times New Roman" w:cs="Times New Roman"/>
                <w:color w:val="auto"/>
                <w:kern w:val="0"/>
                <w:sz w:val="21"/>
                <w:szCs w:val="21"/>
                <w:highlight w:val="none"/>
              </w:rPr>
              <w:t>样品1</w:t>
            </w:r>
          </w:p>
        </w:tc>
        <w:tc>
          <w:tcPr>
            <w:tcW w:w="2132" w:type="dxa"/>
            <w:shd w:val="clear" w:color="auto" w:fill="auto"/>
            <w:noWrap/>
            <w:vAlign w:val="center"/>
          </w:tcPr>
          <w:p w14:paraId="029F30E4">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cs="Times New Roman"/>
                <w:color w:val="auto"/>
                <w:kern w:val="0"/>
                <w:sz w:val="21"/>
                <w:szCs w:val="21"/>
                <w:highlight w:val="none"/>
              </w:rPr>
            </w:pPr>
            <w:r>
              <w:rPr>
                <w:rFonts w:hint="default" w:ascii="Times New Roman" w:hAnsi="Times New Roman" w:cs="Times New Roman"/>
                <w:color w:val="auto"/>
                <w:kern w:val="0"/>
                <w:sz w:val="21"/>
                <w:szCs w:val="21"/>
                <w:highlight w:val="none"/>
              </w:rPr>
              <w:t>345</w:t>
            </w:r>
          </w:p>
        </w:tc>
        <w:tc>
          <w:tcPr>
            <w:tcW w:w="2132" w:type="dxa"/>
            <w:shd w:val="clear" w:color="auto" w:fill="auto"/>
            <w:noWrap/>
            <w:vAlign w:val="center"/>
          </w:tcPr>
          <w:p w14:paraId="2C4B488F">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cs="Times New Roman"/>
                <w:color w:val="auto"/>
                <w:kern w:val="0"/>
                <w:sz w:val="21"/>
                <w:szCs w:val="21"/>
                <w:highlight w:val="none"/>
              </w:rPr>
            </w:pPr>
            <w:r>
              <w:rPr>
                <w:rFonts w:hint="default" w:ascii="Times New Roman" w:hAnsi="Times New Roman" w:cs="Times New Roman"/>
                <w:color w:val="auto"/>
                <w:kern w:val="0"/>
                <w:sz w:val="21"/>
                <w:szCs w:val="21"/>
                <w:highlight w:val="none"/>
              </w:rPr>
              <w:t>样品7</w:t>
            </w:r>
          </w:p>
        </w:tc>
        <w:tc>
          <w:tcPr>
            <w:tcW w:w="2132" w:type="dxa"/>
            <w:shd w:val="clear" w:color="auto" w:fill="auto"/>
            <w:noWrap/>
            <w:vAlign w:val="center"/>
          </w:tcPr>
          <w:p w14:paraId="55807AA1">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cs="Times New Roman"/>
                <w:color w:val="auto"/>
                <w:kern w:val="0"/>
                <w:sz w:val="21"/>
                <w:szCs w:val="21"/>
                <w:highlight w:val="none"/>
              </w:rPr>
            </w:pPr>
            <w:r>
              <w:rPr>
                <w:rFonts w:hint="default" w:ascii="Times New Roman" w:hAnsi="Times New Roman" w:cs="Times New Roman"/>
                <w:color w:val="auto"/>
                <w:kern w:val="0"/>
                <w:sz w:val="21"/>
                <w:szCs w:val="21"/>
                <w:highlight w:val="none"/>
              </w:rPr>
              <w:t>477</w:t>
            </w:r>
          </w:p>
        </w:tc>
      </w:tr>
      <w:tr w14:paraId="472C2F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2132" w:type="dxa"/>
            <w:shd w:val="clear" w:color="auto" w:fill="auto"/>
            <w:noWrap/>
            <w:vAlign w:val="center"/>
          </w:tcPr>
          <w:p w14:paraId="613E1F49">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cs="Times New Roman"/>
                <w:color w:val="auto"/>
                <w:kern w:val="0"/>
                <w:sz w:val="21"/>
                <w:szCs w:val="21"/>
                <w:highlight w:val="none"/>
              </w:rPr>
            </w:pPr>
            <w:r>
              <w:rPr>
                <w:rFonts w:hint="default" w:ascii="Times New Roman" w:hAnsi="Times New Roman" w:cs="Times New Roman"/>
                <w:color w:val="auto"/>
                <w:kern w:val="0"/>
                <w:sz w:val="21"/>
                <w:szCs w:val="21"/>
                <w:highlight w:val="none"/>
              </w:rPr>
              <w:t>样品2</w:t>
            </w:r>
          </w:p>
        </w:tc>
        <w:tc>
          <w:tcPr>
            <w:tcW w:w="2132" w:type="dxa"/>
            <w:shd w:val="clear" w:color="auto" w:fill="auto"/>
            <w:noWrap/>
            <w:vAlign w:val="center"/>
          </w:tcPr>
          <w:p w14:paraId="381870ED">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cs="Times New Roman"/>
                <w:color w:val="auto"/>
                <w:kern w:val="0"/>
                <w:sz w:val="21"/>
                <w:szCs w:val="21"/>
                <w:highlight w:val="none"/>
              </w:rPr>
            </w:pPr>
            <w:r>
              <w:rPr>
                <w:rFonts w:hint="default" w:ascii="Times New Roman" w:hAnsi="Times New Roman" w:cs="Times New Roman"/>
                <w:color w:val="auto"/>
                <w:kern w:val="0"/>
                <w:sz w:val="21"/>
                <w:szCs w:val="21"/>
                <w:highlight w:val="none"/>
              </w:rPr>
              <w:t>393</w:t>
            </w:r>
          </w:p>
        </w:tc>
        <w:tc>
          <w:tcPr>
            <w:tcW w:w="2132" w:type="dxa"/>
            <w:shd w:val="clear" w:color="auto" w:fill="auto"/>
            <w:noWrap/>
            <w:vAlign w:val="center"/>
          </w:tcPr>
          <w:p w14:paraId="14BB5696">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cs="Times New Roman"/>
                <w:color w:val="auto"/>
                <w:kern w:val="0"/>
                <w:sz w:val="21"/>
                <w:szCs w:val="21"/>
                <w:highlight w:val="none"/>
              </w:rPr>
            </w:pPr>
            <w:r>
              <w:rPr>
                <w:rFonts w:hint="default" w:ascii="Times New Roman" w:hAnsi="Times New Roman" w:cs="Times New Roman"/>
                <w:color w:val="auto"/>
                <w:kern w:val="0"/>
                <w:sz w:val="21"/>
                <w:szCs w:val="21"/>
                <w:highlight w:val="none"/>
              </w:rPr>
              <w:t>样品8</w:t>
            </w:r>
          </w:p>
        </w:tc>
        <w:tc>
          <w:tcPr>
            <w:tcW w:w="2132" w:type="dxa"/>
            <w:shd w:val="clear" w:color="auto" w:fill="auto"/>
            <w:noWrap/>
            <w:vAlign w:val="center"/>
          </w:tcPr>
          <w:p w14:paraId="5E971EF3">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cs="Times New Roman"/>
                <w:color w:val="auto"/>
                <w:kern w:val="0"/>
                <w:sz w:val="21"/>
                <w:szCs w:val="21"/>
                <w:highlight w:val="none"/>
              </w:rPr>
            </w:pPr>
            <w:r>
              <w:rPr>
                <w:rFonts w:hint="default" w:ascii="Times New Roman" w:hAnsi="Times New Roman" w:cs="Times New Roman"/>
                <w:color w:val="auto"/>
                <w:kern w:val="0"/>
                <w:sz w:val="21"/>
                <w:szCs w:val="21"/>
                <w:highlight w:val="none"/>
              </w:rPr>
              <w:t>493</w:t>
            </w:r>
          </w:p>
        </w:tc>
      </w:tr>
      <w:tr w14:paraId="670D06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2132" w:type="dxa"/>
            <w:shd w:val="clear" w:color="auto" w:fill="auto"/>
            <w:noWrap/>
            <w:vAlign w:val="center"/>
          </w:tcPr>
          <w:p w14:paraId="5C58B28F">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cs="Times New Roman"/>
                <w:color w:val="auto"/>
                <w:kern w:val="0"/>
                <w:sz w:val="21"/>
                <w:szCs w:val="21"/>
                <w:highlight w:val="none"/>
              </w:rPr>
            </w:pPr>
            <w:r>
              <w:rPr>
                <w:rFonts w:hint="default" w:ascii="Times New Roman" w:hAnsi="Times New Roman" w:cs="Times New Roman"/>
                <w:color w:val="auto"/>
                <w:kern w:val="0"/>
                <w:sz w:val="21"/>
                <w:szCs w:val="21"/>
                <w:highlight w:val="none"/>
              </w:rPr>
              <w:t>样品3</w:t>
            </w:r>
          </w:p>
        </w:tc>
        <w:tc>
          <w:tcPr>
            <w:tcW w:w="2132" w:type="dxa"/>
            <w:shd w:val="clear" w:color="auto" w:fill="auto"/>
            <w:noWrap/>
            <w:vAlign w:val="center"/>
          </w:tcPr>
          <w:p w14:paraId="31C7BE00">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cs="Times New Roman"/>
                <w:color w:val="auto"/>
                <w:kern w:val="0"/>
                <w:sz w:val="21"/>
                <w:szCs w:val="21"/>
                <w:highlight w:val="none"/>
              </w:rPr>
            </w:pPr>
            <w:r>
              <w:rPr>
                <w:rFonts w:hint="default" w:ascii="Times New Roman" w:hAnsi="Times New Roman" w:cs="Times New Roman"/>
                <w:color w:val="auto"/>
                <w:kern w:val="0"/>
                <w:sz w:val="21"/>
                <w:szCs w:val="21"/>
                <w:highlight w:val="none"/>
              </w:rPr>
              <w:t>447</w:t>
            </w:r>
          </w:p>
        </w:tc>
        <w:tc>
          <w:tcPr>
            <w:tcW w:w="2132" w:type="dxa"/>
            <w:shd w:val="clear" w:color="auto" w:fill="auto"/>
            <w:noWrap/>
            <w:vAlign w:val="center"/>
          </w:tcPr>
          <w:p w14:paraId="1FFE5589">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cs="Times New Roman"/>
                <w:color w:val="auto"/>
                <w:kern w:val="0"/>
                <w:sz w:val="21"/>
                <w:szCs w:val="21"/>
                <w:highlight w:val="none"/>
              </w:rPr>
            </w:pPr>
            <w:r>
              <w:rPr>
                <w:rFonts w:hint="default" w:ascii="Times New Roman" w:hAnsi="Times New Roman" w:cs="Times New Roman"/>
                <w:color w:val="auto"/>
                <w:kern w:val="0"/>
                <w:sz w:val="21"/>
                <w:szCs w:val="21"/>
                <w:highlight w:val="none"/>
              </w:rPr>
              <w:t>样品9</w:t>
            </w:r>
          </w:p>
        </w:tc>
        <w:tc>
          <w:tcPr>
            <w:tcW w:w="2132" w:type="dxa"/>
            <w:shd w:val="clear" w:color="auto" w:fill="auto"/>
            <w:noWrap/>
            <w:vAlign w:val="center"/>
          </w:tcPr>
          <w:p w14:paraId="5D0AD8FC">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cs="Times New Roman"/>
                <w:color w:val="auto"/>
                <w:kern w:val="0"/>
                <w:sz w:val="21"/>
                <w:szCs w:val="21"/>
                <w:highlight w:val="none"/>
              </w:rPr>
            </w:pPr>
            <w:r>
              <w:rPr>
                <w:rFonts w:hint="default" w:ascii="Times New Roman" w:hAnsi="Times New Roman" w:cs="Times New Roman"/>
                <w:color w:val="auto"/>
                <w:kern w:val="0"/>
                <w:sz w:val="21"/>
                <w:szCs w:val="21"/>
                <w:highlight w:val="none"/>
              </w:rPr>
              <w:t>494</w:t>
            </w:r>
          </w:p>
        </w:tc>
      </w:tr>
      <w:tr w14:paraId="0BE0A4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2132" w:type="dxa"/>
            <w:shd w:val="clear" w:color="auto" w:fill="auto"/>
            <w:noWrap/>
            <w:vAlign w:val="center"/>
          </w:tcPr>
          <w:p w14:paraId="12FA795F">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cs="Times New Roman"/>
                <w:color w:val="auto"/>
                <w:kern w:val="0"/>
                <w:sz w:val="21"/>
                <w:szCs w:val="21"/>
                <w:highlight w:val="none"/>
              </w:rPr>
            </w:pPr>
            <w:r>
              <w:rPr>
                <w:rFonts w:hint="default" w:ascii="Times New Roman" w:hAnsi="Times New Roman" w:cs="Times New Roman"/>
                <w:color w:val="auto"/>
                <w:kern w:val="0"/>
                <w:sz w:val="21"/>
                <w:szCs w:val="21"/>
                <w:highlight w:val="none"/>
              </w:rPr>
              <w:t>样品4</w:t>
            </w:r>
          </w:p>
        </w:tc>
        <w:tc>
          <w:tcPr>
            <w:tcW w:w="2132" w:type="dxa"/>
            <w:shd w:val="clear" w:color="auto" w:fill="auto"/>
            <w:noWrap/>
            <w:vAlign w:val="center"/>
          </w:tcPr>
          <w:p w14:paraId="1D5FDFB2">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cs="Times New Roman"/>
                <w:color w:val="auto"/>
                <w:kern w:val="0"/>
                <w:sz w:val="21"/>
                <w:szCs w:val="21"/>
                <w:highlight w:val="none"/>
              </w:rPr>
            </w:pPr>
            <w:r>
              <w:rPr>
                <w:rFonts w:hint="default" w:ascii="Times New Roman" w:hAnsi="Times New Roman" w:cs="Times New Roman"/>
                <w:color w:val="auto"/>
                <w:kern w:val="0"/>
                <w:sz w:val="21"/>
                <w:szCs w:val="21"/>
                <w:highlight w:val="none"/>
              </w:rPr>
              <w:t>457</w:t>
            </w:r>
          </w:p>
        </w:tc>
        <w:tc>
          <w:tcPr>
            <w:tcW w:w="2132" w:type="dxa"/>
            <w:shd w:val="clear" w:color="auto" w:fill="auto"/>
            <w:noWrap/>
            <w:vAlign w:val="center"/>
          </w:tcPr>
          <w:p w14:paraId="539B3582">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cs="Times New Roman"/>
                <w:color w:val="auto"/>
                <w:kern w:val="0"/>
                <w:sz w:val="21"/>
                <w:szCs w:val="21"/>
                <w:highlight w:val="none"/>
              </w:rPr>
            </w:pPr>
            <w:r>
              <w:rPr>
                <w:rFonts w:hint="default" w:ascii="Times New Roman" w:hAnsi="Times New Roman" w:cs="Times New Roman"/>
                <w:color w:val="auto"/>
                <w:kern w:val="0"/>
                <w:sz w:val="21"/>
                <w:szCs w:val="21"/>
                <w:highlight w:val="none"/>
              </w:rPr>
              <w:t>样品10</w:t>
            </w:r>
          </w:p>
        </w:tc>
        <w:tc>
          <w:tcPr>
            <w:tcW w:w="2132" w:type="dxa"/>
            <w:shd w:val="clear" w:color="auto" w:fill="auto"/>
            <w:noWrap/>
            <w:vAlign w:val="center"/>
          </w:tcPr>
          <w:p w14:paraId="512B26C3">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cs="Times New Roman"/>
                <w:color w:val="auto"/>
                <w:kern w:val="0"/>
                <w:sz w:val="21"/>
                <w:szCs w:val="21"/>
                <w:highlight w:val="none"/>
              </w:rPr>
            </w:pPr>
            <w:r>
              <w:rPr>
                <w:rFonts w:hint="default" w:ascii="Times New Roman" w:hAnsi="Times New Roman" w:cs="Times New Roman"/>
                <w:color w:val="auto"/>
                <w:kern w:val="0"/>
                <w:sz w:val="21"/>
                <w:szCs w:val="21"/>
                <w:highlight w:val="none"/>
              </w:rPr>
              <w:t>499</w:t>
            </w:r>
          </w:p>
        </w:tc>
      </w:tr>
      <w:tr w14:paraId="2206C2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2132" w:type="dxa"/>
            <w:shd w:val="clear" w:color="auto" w:fill="auto"/>
            <w:noWrap/>
            <w:vAlign w:val="center"/>
          </w:tcPr>
          <w:p w14:paraId="5112A3BD">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cs="Times New Roman"/>
                <w:color w:val="auto"/>
                <w:kern w:val="0"/>
                <w:sz w:val="21"/>
                <w:szCs w:val="21"/>
                <w:highlight w:val="none"/>
              </w:rPr>
            </w:pPr>
            <w:r>
              <w:rPr>
                <w:rFonts w:hint="default" w:ascii="Times New Roman" w:hAnsi="Times New Roman" w:cs="Times New Roman"/>
                <w:color w:val="auto"/>
                <w:kern w:val="0"/>
                <w:sz w:val="21"/>
                <w:szCs w:val="21"/>
                <w:highlight w:val="none"/>
              </w:rPr>
              <w:t>样品5</w:t>
            </w:r>
          </w:p>
        </w:tc>
        <w:tc>
          <w:tcPr>
            <w:tcW w:w="2132" w:type="dxa"/>
            <w:shd w:val="clear" w:color="auto" w:fill="auto"/>
            <w:noWrap/>
            <w:vAlign w:val="center"/>
          </w:tcPr>
          <w:p w14:paraId="1A11AF69">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cs="Times New Roman"/>
                <w:color w:val="auto"/>
                <w:kern w:val="0"/>
                <w:sz w:val="21"/>
                <w:szCs w:val="21"/>
                <w:highlight w:val="none"/>
              </w:rPr>
            </w:pPr>
            <w:r>
              <w:rPr>
                <w:rFonts w:hint="default" w:ascii="Times New Roman" w:hAnsi="Times New Roman" w:cs="Times New Roman"/>
                <w:color w:val="auto"/>
                <w:kern w:val="0"/>
                <w:sz w:val="21"/>
                <w:szCs w:val="21"/>
                <w:highlight w:val="none"/>
              </w:rPr>
              <w:t>462</w:t>
            </w:r>
          </w:p>
        </w:tc>
        <w:tc>
          <w:tcPr>
            <w:tcW w:w="2132" w:type="dxa"/>
            <w:shd w:val="clear" w:color="auto" w:fill="auto"/>
            <w:noWrap/>
            <w:vAlign w:val="center"/>
          </w:tcPr>
          <w:p w14:paraId="21BCAEC0">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cs="Times New Roman"/>
                <w:color w:val="auto"/>
                <w:kern w:val="0"/>
                <w:sz w:val="21"/>
                <w:szCs w:val="21"/>
                <w:highlight w:val="none"/>
              </w:rPr>
            </w:pPr>
            <w:r>
              <w:rPr>
                <w:rFonts w:hint="default" w:ascii="Times New Roman" w:hAnsi="Times New Roman" w:cs="Times New Roman"/>
                <w:color w:val="auto"/>
                <w:kern w:val="0"/>
                <w:sz w:val="21"/>
                <w:szCs w:val="21"/>
                <w:highlight w:val="none"/>
              </w:rPr>
              <w:t>样品11</w:t>
            </w:r>
          </w:p>
        </w:tc>
        <w:tc>
          <w:tcPr>
            <w:tcW w:w="2132" w:type="dxa"/>
            <w:shd w:val="clear" w:color="auto" w:fill="auto"/>
            <w:noWrap/>
            <w:vAlign w:val="center"/>
          </w:tcPr>
          <w:p w14:paraId="28CED697">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cs="Times New Roman"/>
                <w:color w:val="auto"/>
                <w:kern w:val="0"/>
                <w:sz w:val="21"/>
                <w:szCs w:val="21"/>
                <w:highlight w:val="none"/>
              </w:rPr>
            </w:pPr>
            <w:r>
              <w:rPr>
                <w:rFonts w:hint="default" w:ascii="Times New Roman" w:hAnsi="Times New Roman" w:cs="Times New Roman"/>
                <w:color w:val="auto"/>
                <w:kern w:val="0"/>
                <w:sz w:val="21"/>
                <w:szCs w:val="21"/>
                <w:highlight w:val="none"/>
              </w:rPr>
              <w:t>587</w:t>
            </w:r>
          </w:p>
        </w:tc>
      </w:tr>
      <w:tr w14:paraId="22E479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2132" w:type="dxa"/>
            <w:shd w:val="clear" w:color="auto" w:fill="auto"/>
            <w:noWrap/>
            <w:vAlign w:val="center"/>
          </w:tcPr>
          <w:p w14:paraId="76FFEB1E">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cs="Times New Roman"/>
                <w:color w:val="auto"/>
                <w:kern w:val="0"/>
                <w:sz w:val="21"/>
                <w:szCs w:val="21"/>
                <w:highlight w:val="none"/>
              </w:rPr>
            </w:pPr>
            <w:r>
              <w:rPr>
                <w:rFonts w:hint="default" w:ascii="Times New Roman" w:hAnsi="Times New Roman" w:cs="Times New Roman"/>
                <w:color w:val="auto"/>
                <w:kern w:val="0"/>
                <w:sz w:val="21"/>
                <w:szCs w:val="21"/>
                <w:highlight w:val="none"/>
              </w:rPr>
              <w:t>样品6</w:t>
            </w:r>
          </w:p>
        </w:tc>
        <w:tc>
          <w:tcPr>
            <w:tcW w:w="2132" w:type="dxa"/>
            <w:shd w:val="clear" w:color="auto" w:fill="auto"/>
            <w:noWrap/>
            <w:vAlign w:val="center"/>
          </w:tcPr>
          <w:p w14:paraId="39A1477A">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cs="Times New Roman"/>
                <w:color w:val="auto"/>
                <w:kern w:val="0"/>
                <w:sz w:val="21"/>
                <w:szCs w:val="21"/>
                <w:highlight w:val="none"/>
              </w:rPr>
            </w:pPr>
            <w:r>
              <w:rPr>
                <w:rFonts w:hint="default" w:ascii="Times New Roman" w:hAnsi="Times New Roman" w:cs="Times New Roman"/>
                <w:color w:val="auto"/>
                <w:kern w:val="0"/>
                <w:sz w:val="21"/>
                <w:szCs w:val="21"/>
                <w:highlight w:val="none"/>
              </w:rPr>
              <w:t>470</w:t>
            </w:r>
          </w:p>
        </w:tc>
        <w:tc>
          <w:tcPr>
            <w:tcW w:w="2132" w:type="dxa"/>
            <w:shd w:val="clear" w:color="auto" w:fill="auto"/>
            <w:noWrap/>
            <w:vAlign w:val="center"/>
          </w:tcPr>
          <w:p w14:paraId="61FFB13D">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cs="Times New Roman"/>
                <w:color w:val="auto"/>
                <w:kern w:val="0"/>
                <w:sz w:val="21"/>
                <w:szCs w:val="21"/>
                <w:highlight w:val="none"/>
              </w:rPr>
            </w:pPr>
          </w:p>
        </w:tc>
        <w:tc>
          <w:tcPr>
            <w:tcW w:w="2132" w:type="dxa"/>
            <w:shd w:val="clear" w:color="auto" w:fill="auto"/>
            <w:noWrap/>
            <w:vAlign w:val="center"/>
          </w:tcPr>
          <w:p w14:paraId="3EDC7E99">
            <w:pPr>
              <w:keepNext/>
              <w:keepLines w:val="0"/>
              <w:pageBreakBefore w:val="0"/>
              <w:widowControl w:val="0"/>
              <w:kinsoku/>
              <w:wordWrap/>
              <w:overflowPunct/>
              <w:topLinePunct w:val="0"/>
              <w:autoSpaceDE/>
              <w:autoSpaceDN/>
              <w:bidi w:val="0"/>
              <w:adjustRightInd/>
              <w:snapToGrid/>
              <w:spacing w:line="240" w:lineRule="exact"/>
              <w:ind w:firstLine="0" w:firstLineChars="0"/>
              <w:jc w:val="center"/>
              <w:textAlignment w:val="auto"/>
              <w:rPr>
                <w:rFonts w:hint="default" w:ascii="Times New Roman" w:hAnsi="Times New Roman" w:cs="Times New Roman"/>
                <w:color w:val="auto"/>
                <w:kern w:val="0"/>
                <w:sz w:val="21"/>
                <w:szCs w:val="21"/>
                <w:highlight w:val="none"/>
              </w:rPr>
            </w:pPr>
          </w:p>
        </w:tc>
      </w:tr>
    </w:tbl>
    <w:p w14:paraId="56817F70">
      <w:pPr>
        <w:keepNext/>
        <w:keepLines w:val="0"/>
        <w:pageBreakBefore w:val="0"/>
        <w:widowControl w:val="0"/>
        <w:numPr>
          <w:ilvl w:val="0"/>
          <w:numId w:val="5"/>
        </w:numPr>
        <w:kinsoku/>
        <w:wordWrap/>
        <w:autoSpaceDE/>
        <w:autoSpaceDN/>
        <w:bidi w:val="0"/>
        <w:spacing w:line="360" w:lineRule="auto"/>
        <w:ind w:firstLine="480" w:firstLineChars="200"/>
        <w:rPr>
          <w:rFonts w:hint="default" w:ascii="Times New Roman" w:hAnsi="Times New Roman" w:eastAsia="宋体" w:cs="Times New Roman"/>
          <w:color w:val="000000"/>
          <w:sz w:val="24"/>
          <w:szCs w:val="24"/>
          <w:highlight w:val="none"/>
        </w:rPr>
      </w:pPr>
      <w:r>
        <w:rPr>
          <w:rFonts w:hint="default" w:ascii="Times New Roman" w:hAnsi="Times New Roman" w:eastAsia="宋体" w:cs="Times New Roman"/>
          <w:color w:val="000000"/>
          <w:sz w:val="24"/>
          <w:szCs w:val="24"/>
          <w:highlight w:val="none"/>
        </w:rPr>
        <w:t>水性底色漆和本色面漆</w:t>
      </w:r>
      <w:r>
        <w:rPr>
          <w:rFonts w:hint="default" w:ascii="Times New Roman" w:hAnsi="Times New Roman" w:cs="Times New Roman"/>
          <w:color w:val="000000"/>
          <w:sz w:val="24"/>
          <w:szCs w:val="24"/>
          <w:highlight w:val="none"/>
          <w:lang w:eastAsia="zh-CN"/>
        </w:rPr>
        <w:t>。获取</w:t>
      </w:r>
      <w:r>
        <w:rPr>
          <w:rFonts w:hint="default" w:ascii="Times New Roman" w:hAnsi="Times New Roman" w:eastAsia="宋体" w:cs="Times New Roman"/>
          <w:color w:val="000000"/>
          <w:sz w:val="24"/>
          <w:szCs w:val="24"/>
          <w:highlight w:val="none"/>
        </w:rPr>
        <w:t>10</w:t>
      </w:r>
      <w:r>
        <w:rPr>
          <w:rFonts w:hint="default" w:ascii="Times New Roman" w:hAnsi="Times New Roman" w:cs="Times New Roman"/>
          <w:color w:val="000000"/>
          <w:sz w:val="24"/>
          <w:szCs w:val="24"/>
          <w:highlight w:val="none"/>
          <w:lang w:eastAsia="zh-CN"/>
        </w:rPr>
        <w:t>个</w:t>
      </w:r>
      <w:r>
        <w:rPr>
          <w:rFonts w:hint="default" w:ascii="Times New Roman" w:hAnsi="Times New Roman" w:eastAsia="宋体" w:cs="Times New Roman"/>
          <w:color w:val="000000"/>
          <w:sz w:val="24"/>
          <w:szCs w:val="24"/>
          <w:highlight w:val="none"/>
        </w:rPr>
        <w:t>样品</w:t>
      </w:r>
      <w:r>
        <w:rPr>
          <w:rFonts w:hint="default" w:ascii="Times New Roman" w:hAnsi="Times New Roman" w:cs="Times New Roman"/>
          <w:color w:val="000000"/>
          <w:sz w:val="24"/>
          <w:szCs w:val="24"/>
          <w:highlight w:val="none"/>
          <w:lang w:eastAsia="zh-CN"/>
        </w:rPr>
        <w:t>，</w:t>
      </w:r>
      <w:r>
        <w:rPr>
          <w:rFonts w:hint="default" w:ascii="Times New Roman" w:hAnsi="Times New Roman" w:eastAsia="宋体" w:cs="Times New Roman"/>
          <w:color w:val="000000"/>
          <w:sz w:val="24"/>
          <w:szCs w:val="24"/>
          <w:highlight w:val="none"/>
        </w:rPr>
        <w:t>水性本色面漆VOCs浓度范围在142~275</w:t>
      </w:r>
      <w:r>
        <w:rPr>
          <w:rFonts w:hint="default" w:ascii="Times New Roman" w:hAnsi="Times New Roman" w:cs="Times New Roman"/>
          <w:kern w:val="0"/>
          <w:sz w:val="24"/>
          <w:highlight w:val="none"/>
        </w:rPr>
        <w:t xml:space="preserve"> g/L</w:t>
      </w:r>
      <w:r>
        <w:rPr>
          <w:rFonts w:hint="default" w:ascii="Times New Roman" w:hAnsi="Times New Roman" w:cs="Times New Roman"/>
          <w:color w:val="000000"/>
          <w:sz w:val="24"/>
          <w:szCs w:val="24"/>
          <w:highlight w:val="none"/>
          <w:lang w:eastAsia="zh-CN"/>
        </w:rPr>
        <w:t>，</w:t>
      </w:r>
      <w:r>
        <w:rPr>
          <w:rFonts w:hint="default" w:ascii="Times New Roman" w:hAnsi="Times New Roman" w:eastAsia="宋体" w:cs="Times New Roman"/>
          <w:color w:val="000000"/>
          <w:sz w:val="24"/>
          <w:szCs w:val="24"/>
          <w:highlight w:val="none"/>
        </w:rPr>
        <w:t>底色漆的浓度在104~249</w:t>
      </w:r>
      <w:r>
        <w:rPr>
          <w:rFonts w:hint="default" w:ascii="Times New Roman" w:hAnsi="Times New Roman" w:cs="Times New Roman"/>
          <w:kern w:val="0"/>
          <w:sz w:val="24"/>
          <w:highlight w:val="none"/>
        </w:rPr>
        <w:t xml:space="preserve"> g/L</w:t>
      </w:r>
      <w:r>
        <w:rPr>
          <w:rFonts w:hint="default" w:ascii="Times New Roman" w:hAnsi="Times New Roman" w:cs="Times New Roman"/>
          <w:color w:val="000000"/>
          <w:sz w:val="24"/>
          <w:szCs w:val="24"/>
          <w:highlight w:val="none"/>
          <w:lang w:eastAsia="zh-CN"/>
        </w:rPr>
        <w:t>，</w:t>
      </w:r>
      <w:r>
        <w:rPr>
          <w:rFonts w:hint="default" w:ascii="Times New Roman" w:hAnsi="Times New Roman" w:eastAsia="宋体" w:cs="Times New Roman"/>
          <w:color w:val="000000"/>
          <w:sz w:val="24"/>
          <w:szCs w:val="24"/>
          <w:highlight w:val="none"/>
        </w:rPr>
        <w:t>含量</w:t>
      </w:r>
      <w:r>
        <w:rPr>
          <w:rFonts w:hint="default" w:ascii="Times New Roman" w:hAnsi="Times New Roman" w:cs="Times New Roman"/>
          <w:color w:val="000000"/>
          <w:sz w:val="24"/>
          <w:szCs w:val="24"/>
          <w:highlight w:val="none"/>
          <w:lang w:eastAsia="zh-CN"/>
        </w:rPr>
        <w:t>均明显</w:t>
      </w:r>
      <w:r>
        <w:rPr>
          <w:rFonts w:hint="default" w:ascii="Times New Roman" w:hAnsi="Times New Roman" w:eastAsia="宋体" w:cs="Times New Roman"/>
          <w:color w:val="000000"/>
          <w:sz w:val="24"/>
          <w:szCs w:val="24"/>
          <w:highlight w:val="none"/>
        </w:rPr>
        <w:t>低于GB 24409</w:t>
      </w:r>
      <w:r>
        <w:rPr>
          <w:rFonts w:hint="default" w:ascii="Times New Roman" w:hAnsi="Times New Roman" w:cs="Times New Roman"/>
          <w:color w:val="000000"/>
          <w:sz w:val="24"/>
          <w:szCs w:val="24"/>
          <w:highlight w:val="none"/>
          <w:lang w:eastAsia="zh-CN"/>
        </w:rPr>
        <w:t>和</w:t>
      </w:r>
      <w:r>
        <w:rPr>
          <w:rFonts w:hint="default" w:ascii="Times New Roman" w:hAnsi="Times New Roman" w:cs="Times New Roman"/>
          <w:highlight w:val="none"/>
        </w:rPr>
        <w:t>GB</w:t>
      </w:r>
      <w:r>
        <w:rPr>
          <w:rFonts w:hint="default" w:ascii="Times New Roman" w:hAnsi="Times New Roman" w:cs="Times New Roman"/>
          <w:highlight w:val="none"/>
          <w:lang w:val="en-US" w:eastAsia="zh-CN"/>
        </w:rPr>
        <w:t>/</w:t>
      </w:r>
      <w:r>
        <w:rPr>
          <w:rFonts w:hint="default" w:ascii="Times New Roman" w:hAnsi="Times New Roman" w:cs="Times New Roman"/>
          <w:highlight w:val="none"/>
        </w:rPr>
        <w:t>T 38597</w:t>
      </w:r>
      <w:r>
        <w:rPr>
          <w:rFonts w:hint="default" w:ascii="Times New Roman" w:hAnsi="Times New Roman" w:eastAsia="宋体" w:cs="Times New Roman"/>
          <w:color w:val="000000"/>
          <w:sz w:val="24"/>
          <w:szCs w:val="24"/>
          <w:highlight w:val="none"/>
        </w:rPr>
        <w:t>中对水性底色漆和本色面漆要求。</w:t>
      </w:r>
    </w:p>
    <w:p w14:paraId="0B36BD13">
      <w:pPr>
        <w:keepNext/>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kern w:val="0"/>
          <w:szCs w:val="21"/>
          <w:highlight w:val="none"/>
          <w:lang w:val="en-US" w:eastAsia="zh-CN"/>
        </w:rPr>
      </w:pPr>
      <w:r>
        <w:rPr>
          <w:rFonts w:hint="default" w:ascii="Times New Roman" w:hAnsi="Times New Roman" w:cs="Times New Roman"/>
          <w:kern w:val="0"/>
          <w:szCs w:val="21"/>
          <w:highlight w:val="none"/>
          <w:lang w:val="en-US" w:eastAsia="zh-CN"/>
        </w:rPr>
        <w:t>表</w:t>
      </w:r>
      <w:r>
        <w:rPr>
          <w:rFonts w:hint="eastAsia" w:cs="Times New Roman"/>
          <w:kern w:val="0"/>
          <w:szCs w:val="21"/>
          <w:highlight w:val="none"/>
          <w:lang w:val="en-US" w:eastAsia="zh-CN"/>
        </w:rPr>
        <w:t>7.4</w:t>
      </w:r>
      <w:r>
        <w:rPr>
          <w:rFonts w:hint="default" w:ascii="Times New Roman" w:hAnsi="Times New Roman" w:cs="Times New Roman"/>
          <w:kern w:val="0"/>
          <w:szCs w:val="21"/>
          <w:highlight w:val="none"/>
          <w:lang w:val="en-US" w:eastAsia="zh-CN"/>
        </w:rPr>
        <w:t>-</w:t>
      </w:r>
      <w:r>
        <w:rPr>
          <w:rFonts w:hint="eastAsia" w:cs="Times New Roman"/>
          <w:kern w:val="0"/>
          <w:szCs w:val="21"/>
          <w:highlight w:val="none"/>
          <w:lang w:val="en-US" w:eastAsia="zh-CN"/>
        </w:rPr>
        <w:t>5</w:t>
      </w:r>
      <w:r>
        <w:rPr>
          <w:rFonts w:hint="default" w:ascii="Times New Roman" w:hAnsi="Times New Roman" w:cs="Times New Roman"/>
          <w:kern w:val="0"/>
          <w:szCs w:val="21"/>
          <w:highlight w:val="none"/>
          <w:lang w:val="en-US" w:eastAsia="zh-CN"/>
        </w:rPr>
        <w:t xml:space="preserve"> 水性涂料测试结果    </w:t>
      </w:r>
    </w:p>
    <w:tbl>
      <w:tblPr>
        <w:tblStyle w:val="21"/>
        <w:tblW w:w="8278"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651"/>
        <w:gridCol w:w="3325"/>
        <w:gridCol w:w="1651"/>
        <w:gridCol w:w="1651"/>
      </w:tblGrid>
      <w:tr w14:paraId="2F431D8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3" w:hRule="atLeast"/>
          <w:tblHeader/>
          <w:jc w:val="center"/>
        </w:trPr>
        <w:tc>
          <w:tcPr>
            <w:tcW w:w="16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A910D7">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21"/>
                <w:szCs w:val="21"/>
                <w:highlight w:val="none"/>
                <w:u w:val="none"/>
              </w:rPr>
            </w:pPr>
            <w:r>
              <w:rPr>
                <w:rFonts w:hint="default" w:ascii="Times New Roman" w:hAnsi="Times New Roman" w:eastAsia="宋体" w:cs="Times New Roman"/>
                <w:b/>
                <w:bCs/>
                <w:i w:val="0"/>
                <w:iCs w:val="0"/>
                <w:color w:val="000000"/>
                <w:kern w:val="0"/>
                <w:sz w:val="21"/>
                <w:szCs w:val="21"/>
                <w:highlight w:val="none"/>
                <w:u w:val="none"/>
                <w:lang w:val="en-US" w:eastAsia="zh-CN" w:bidi="ar"/>
              </w:rPr>
              <w:t>编号</w:t>
            </w:r>
          </w:p>
        </w:tc>
        <w:tc>
          <w:tcPr>
            <w:tcW w:w="33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E5BE4B">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21"/>
                <w:szCs w:val="21"/>
                <w:highlight w:val="none"/>
                <w:u w:val="none"/>
              </w:rPr>
            </w:pPr>
            <w:r>
              <w:rPr>
                <w:rFonts w:hint="default" w:ascii="Times New Roman" w:hAnsi="Times New Roman" w:eastAsia="宋体" w:cs="Times New Roman"/>
                <w:b/>
                <w:bCs/>
                <w:i w:val="0"/>
                <w:iCs w:val="0"/>
                <w:color w:val="000000"/>
                <w:kern w:val="0"/>
                <w:sz w:val="21"/>
                <w:szCs w:val="21"/>
                <w:highlight w:val="none"/>
                <w:u w:val="none"/>
                <w:lang w:val="en-US" w:eastAsia="zh-CN" w:bidi="ar"/>
              </w:rPr>
              <w:t>修补用漆类别</w:t>
            </w:r>
          </w:p>
        </w:tc>
        <w:tc>
          <w:tcPr>
            <w:tcW w:w="16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AB4B03">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21"/>
                <w:szCs w:val="21"/>
                <w:highlight w:val="none"/>
                <w:u w:val="none"/>
              </w:rPr>
            </w:pPr>
            <w:r>
              <w:rPr>
                <w:rFonts w:hint="default" w:ascii="Times New Roman" w:hAnsi="Times New Roman" w:eastAsia="宋体" w:cs="Times New Roman"/>
                <w:b/>
                <w:bCs/>
                <w:i w:val="0"/>
                <w:iCs w:val="0"/>
                <w:color w:val="000000"/>
                <w:kern w:val="0"/>
                <w:sz w:val="21"/>
                <w:szCs w:val="21"/>
                <w:highlight w:val="none"/>
                <w:u w:val="none"/>
                <w:lang w:val="en-US" w:eastAsia="zh-CN" w:bidi="ar"/>
              </w:rPr>
              <w:t>溶剂类别</w:t>
            </w:r>
          </w:p>
        </w:tc>
        <w:tc>
          <w:tcPr>
            <w:tcW w:w="16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91A150">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21"/>
                <w:szCs w:val="21"/>
                <w:highlight w:val="none"/>
                <w:u w:val="none"/>
              </w:rPr>
            </w:pPr>
            <w:r>
              <w:rPr>
                <w:rFonts w:hint="default" w:ascii="Times New Roman" w:hAnsi="Times New Roman" w:eastAsia="宋体" w:cs="Times New Roman"/>
                <w:b/>
                <w:bCs/>
                <w:i w:val="0"/>
                <w:iCs w:val="0"/>
                <w:color w:val="000000"/>
                <w:kern w:val="0"/>
                <w:sz w:val="21"/>
                <w:szCs w:val="21"/>
                <w:highlight w:val="none"/>
                <w:u w:val="none"/>
                <w:lang w:val="en-US" w:eastAsia="zh-CN" w:bidi="ar"/>
              </w:rPr>
              <w:t>检测值</w:t>
            </w:r>
            <w:r>
              <w:rPr>
                <w:rFonts w:hint="eastAsia" w:ascii="Times New Roman" w:hAnsi="Times New Roman" w:cs="Times New Roman"/>
                <w:b/>
                <w:bCs/>
                <w:kern w:val="0"/>
                <w:sz w:val="21"/>
                <w:szCs w:val="21"/>
                <w:highlight w:val="none"/>
                <w:lang w:eastAsia="zh-CN"/>
              </w:rPr>
              <w:t>（</w:t>
            </w:r>
            <w:r>
              <w:rPr>
                <w:rFonts w:hint="eastAsia" w:ascii="Times New Roman" w:hAnsi="Times New Roman" w:cs="Times New Roman"/>
                <w:b/>
                <w:bCs/>
                <w:kern w:val="0"/>
                <w:sz w:val="21"/>
                <w:szCs w:val="21"/>
                <w:highlight w:val="none"/>
                <w:lang w:val="en-US" w:eastAsia="zh-CN"/>
              </w:rPr>
              <w:t>g/L</w:t>
            </w:r>
            <w:r>
              <w:rPr>
                <w:rFonts w:hint="eastAsia" w:ascii="Times New Roman" w:hAnsi="Times New Roman" w:cs="Times New Roman"/>
                <w:b/>
                <w:bCs/>
                <w:kern w:val="0"/>
                <w:sz w:val="21"/>
                <w:szCs w:val="21"/>
                <w:highlight w:val="none"/>
                <w:lang w:eastAsia="zh-CN"/>
              </w:rPr>
              <w:t>）</w:t>
            </w:r>
          </w:p>
        </w:tc>
      </w:tr>
      <w:tr w14:paraId="180F1C6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3" w:hRule="atLeast"/>
          <w:jc w:val="center"/>
        </w:trPr>
        <w:tc>
          <w:tcPr>
            <w:tcW w:w="16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A41254">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样品1</w:t>
            </w:r>
          </w:p>
        </w:tc>
        <w:tc>
          <w:tcPr>
            <w:tcW w:w="33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0391E6">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本色面漆（水性白色）</w:t>
            </w:r>
          </w:p>
        </w:tc>
        <w:tc>
          <w:tcPr>
            <w:tcW w:w="16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C64790">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水性</w:t>
            </w:r>
          </w:p>
        </w:tc>
        <w:tc>
          <w:tcPr>
            <w:tcW w:w="16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9E01E2">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251</w:t>
            </w:r>
          </w:p>
        </w:tc>
      </w:tr>
      <w:tr w14:paraId="6C73185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3" w:hRule="atLeast"/>
          <w:jc w:val="center"/>
        </w:trPr>
        <w:tc>
          <w:tcPr>
            <w:tcW w:w="16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0C58D2">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样品2</w:t>
            </w:r>
          </w:p>
        </w:tc>
        <w:tc>
          <w:tcPr>
            <w:tcW w:w="33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B537BF">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本色面漆（水性蓝银）</w:t>
            </w:r>
          </w:p>
        </w:tc>
        <w:tc>
          <w:tcPr>
            <w:tcW w:w="16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BA473F">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水性</w:t>
            </w:r>
          </w:p>
        </w:tc>
        <w:tc>
          <w:tcPr>
            <w:tcW w:w="16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A23033">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275</w:t>
            </w:r>
          </w:p>
        </w:tc>
      </w:tr>
      <w:tr w14:paraId="38C0F94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1" w:hRule="atLeast"/>
          <w:jc w:val="center"/>
        </w:trPr>
        <w:tc>
          <w:tcPr>
            <w:tcW w:w="16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CE26F5">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样品3</w:t>
            </w:r>
          </w:p>
        </w:tc>
        <w:tc>
          <w:tcPr>
            <w:tcW w:w="33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28480E">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本色面漆（水性珍珠白）</w:t>
            </w:r>
          </w:p>
        </w:tc>
        <w:tc>
          <w:tcPr>
            <w:tcW w:w="16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D7D43A">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水性</w:t>
            </w:r>
          </w:p>
        </w:tc>
        <w:tc>
          <w:tcPr>
            <w:tcW w:w="16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0670A5">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142</w:t>
            </w:r>
          </w:p>
        </w:tc>
      </w:tr>
      <w:tr w14:paraId="7010F4A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3" w:hRule="atLeast"/>
          <w:jc w:val="center"/>
        </w:trPr>
        <w:tc>
          <w:tcPr>
            <w:tcW w:w="16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65CCE4">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样品4</w:t>
            </w:r>
          </w:p>
        </w:tc>
        <w:tc>
          <w:tcPr>
            <w:tcW w:w="33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695E48">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本色面漆（水性中黄）</w:t>
            </w:r>
          </w:p>
        </w:tc>
        <w:tc>
          <w:tcPr>
            <w:tcW w:w="16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BC1E84">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水性</w:t>
            </w:r>
          </w:p>
        </w:tc>
        <w:tc>
          <w:tcPr>
            <w:tcW w:w="16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7A2105">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250</w:t>
            </w:r>
          </w:p>
        </w:tc>
      </w:tr>
      <w:tr w14:paraId="7C6A659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3" w:hRule="atLeast"/>
          <w:jc w:val="center"/>
        </w:trPr>
        <w:tc>
          <w:tcPr>
            <w:tcW w:w="16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0A9503">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样品5</w:t>
            </w:r>
          </w:p>
        </w:tc>
        <w:tc>
          <w:tcPr>
            <w:tcW w:w="33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77C7C2">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底漆（水性灰色）</w:t>
            </w:r>
          </w:p>
        </w:tc>
        <w:tc>
          <w:tcPr>
            <w:tcW w:w="16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728AD5">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水性</w:t>
            </w:r>
          </w:p>
        </w:tc>
        <w:tc>
          <w:tcPr>
            <w:tcW w:w="16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4D322E">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168</w:t>
            </w:r>
          </w:p>
        </w:tc>
      </w:tr>
      <w:tr w14:paraId="511CD76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3" w:hRule="atLeast"/>
          <w:jc w:val="center"/>
        </w:trPr>
        <w:tc>
          <w:tcPr>
            <w:tcW w:w="16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F0B1CC">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样品6</w:t>
            </w:r>
          </w:p>
        </w:tc>
        <w:tc>
          <w:tcPr>
            <w:tcW w:w="33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4F69D4">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底色漆（灰色）</w:t>
            </w:r>
          </w:p>
        </w:tc>
        <w:tc>
          <w:tcPr>
            <w:tcW w:w="16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825D85">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水性</w:t>
            </w:r>
          </w:p>
        </w:tc>
        <w:tc>
          <w:tcPr>
            <w:tcW w:w="16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0DFC1E">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249</w:t>
            </w:r>
          </w:p>
        </w:tc>
      </w:tr>
      <w:tr w14:paraId="623C73E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3" w:hRule="atLeast"/>
          <w:jc w:val="center"/>
        </w:trPr>
        <w:tc>
          <w:tcPr>
            <w:tcW w:w="16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2BEC62">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样品7</w:t>
            </w:r>
          </w:p>
        </w:tc>
        <w:tc>
          <w:tcPr>
            <w:tcW w:w="33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FC888E">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底色漆（水性白）</w:t>
            </w:r>
          </w:p>
        </w:tc>
        <w:tc>
          <w:tcPr>
            <w:tcW w:w="16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2020AE">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水性</w:t>
            </w:r>
          </w:p>
        </w:tc>
        <w:tc>
          <w:tcPr>
            <w:tcW w:w="16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AF8A1C">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168</w:t>
            </w:r>
          </w:p>
        </w:tc>
      </w:tr>
      <w:tr w14:paraId="1EECB97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3" w:hRule="atLeast"/>
          <w:jc w:val="center"/>
        </w:trPr>
        <w:tc>
          <w:tcPr>
            <w:tcW w:w="16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755B4F">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样品8</w:t>
            </w:r>
          </w:p>
        </w:tc>
        <w:tc>
          <w:tcPr>
            <w:tcW w:w="33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CE5B5D">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底色漆（水性淡红）</w:t>
            </w:r>
          </w:p>
        </w:tc>
        <w:tc>
          <w:tcPr>
            <w:tcW w:w="16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1646A4">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水性</w:t>
            </w:r>
          </w:p>
        </w:tc>
        <w:tc>
          <w:tcPr>
            <w:tcW w:w="16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0B0934">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146</w:t>
            </w:r>
          </w:p>
        </w:tc>
      </w:tr>
      <w:tr w14:paraId="0E2D10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3" w:hRule="atLeast"/>
          <w:jc w:val="center"/>
        </w:trPr>
        <w:tc>
          <w:tcPr>
            <w:tcW w:w="16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C844D9">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样品9</w:t>
            </w:r>
          </w:p>
        </w:tc>
        <w:tc>
          <w:tcPr>
            <w:tcW w:w="33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699714">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底色漆（水性黑）</w:t>
            </w:r>
          </w:p>
        </w:tc>
        <w:tc>
          <w:tcPr>
            <w:tcW w:w="16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792E26">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水性</w:t>
            </w:r>
          </w:p>
        </w:tc>
        <w:tc>
          <w:tcPr>
            <w:tcW w:w="16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897F84">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211</w:t>
            </w:r>
          </w:p>
        </w:tc>
      </w:tr>
      <w:tr w14:paraId="3CF7E36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7" w:hRule="atLeast"/>
          <w:jc w:val="center"/>
        </w:trPr>
        <w:tc>
          <w:tcPr>
            <w:tcW w:w="16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4605FA">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样品10</w:t>
            </w:r>
          </w:p>
        </w:tc>
        <w:tc>
          <w:tcPr>
            <w:tcW w:w="33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F1E70A">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底色漆（水性氧化黄）</w:t>
            </w:r>
          </w:p>
        </w:tc>
        <w:tc>
          <w:tcPr>
            <w:tcW w:w="16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E7C97B">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水性</w:t>
            </w:r>
          </w:p>
        </w:tc>
        <w:tc>
          <w:tcPr>
            <w:tcW w:w="16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717093">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104</w:t>
            </w:r>
          </w:p>
        </w:tc>
      </w:tr>
    </w:tbl>
    <w:p w14:paraId="1C98B461">
      <w:pPr>
        <w:keepNext/>
        <w:keepLines w:val="0"/>
        <w:pageBreakBefore w:val="0"/>
        <w:widowControl w:val="0"/>
        <w:kinsoku/>
        <w:wordWrap/>
        <w:autoSpaceDE/>
        <w:autoSpaceDN/>
        <w:bidi w:val="0"/>
        <w:rPr>
          <w:rFonts w:hint="default" w:ascii="Times New Roman" w:hAnsi="Times New Roman" w:cs="Times New Roman"/>
          <w:color w:val="000000"/>
          <w:sz w:val="24"/>
          <w:szCs w:val="24"/>
          <w:highlight w:val="none"/>
          <w:lang w:val="en-US" w:eastAsia="zh-CN"/>
        </w:rPr>
      </w:pPr>
      <w:r>
        <w:rPr>
          <w:rFonts w:hint="default" w:ascii="Times New Roman" w:hAnsi="Times New Roman" w:cs="Times New Roman"/>
          <w:color w:val="000000"/>
          <w:sz w:val="24"/>
          <w:szCs w:val="24"/>
          <w:highlight w:val="none"/>
          <w:lang w:eastAsia="zh-CN"/>
        </w:rPr>
        <w:t>综上，根据现场实测，各涉</w:t>
      </w:r>
      <w:r>
        <w:rPr>
          <w:rFonts w:hint="default" w:ascii="Times New Roman" w:hAnsi="Times New Roman" w:cs="Times New Roman"/>
          <w:color w:val="000000"/>
          <w:sz w:val="24"/>
          <w:szCs w:val="24"/>
          <w:highlight w:val="none"/>
          <w:lang w:val="en-US" w:eastAsia="zh-CN"/>
        </w:rPr>
        <w:t>VOCs</w:t>
      </w:r>
      <w:r>
        <w:rPr>
          <w:rFonts w:hint="default" w:ascii="Times New Roman" w:hAnsi="Times New Roman" w:cs="Times New Roman"/>
          <w:color w:val="000000"/>
          <w:sz w:val="24"/>
          <w:szCs w:val="24"/>
          <w:highlight w:val="none"/>
          <w:lang w:eastAsia="zh-CN"/>
        </w:rPr>
        <w:t>原辅料中，溶剂性中涂和溶剂性色漆仍有</w:t>
      </w:r>
      <w:r>
        <w:rPr>
          <w:rFonts w:hint="default" w:ascii="Times New Roman" w:hAnsi="Times New Roman" w:cs="Times New Roman"/>
          <w:color w:val="000000"/>
          <w:sz w:val="24"/>
          <w:szCs w:val="24"/>
          <w:highlight w:val="none"/>
          <w:lang w:val="en-US" w:eastAsia="zh-CN"/>
        </w:rPr>
        <w:t>14%和27%</w:t>
      </w:r>
      <w:r>
        <w:rPr>
          <w:rFonts w:hint="default" w:ascii="Times New Roman" w:hAnsi="Times New Roman" w:cs="Times New Roman"/>
          <w:color w:val="000000"/>
          <w:sz w:val="24"/>
          <w:szCs w:val="24"/>
          <w:highlight w:val="none"/>
          <w:lang w:eastAsia="zh-CN"/>
        </w:rPr>
        <w:t>超出现行标准</w:t>
      </w:r>
      <w:r>
        <w:rPr>
          <w:rFonts w:hint="default" w:ascii="Times New Roman" w:hAnsi="Times New Roman" w:eastAsia="宋体" w:cs="Times New Roman"/>
          <w:color w:val="000000"/>
          <w:sz w:val="24"/>
          <w:szCs w:val="24"/>
          <w:highlight w:val="none"/>
        </w:rPr>
        <w:t>GB 24409</w:t>
      </w:r>
      <w:r>
        <w:rPr>
          <w:rFonts w:hint="default" w:ascii="Times New Roman" w:hAnsi="Times New Roman" w:cs="Times New Roman"/>
          <w:color w:val="000000"/>
          <w:sz w:val="24"/>
          <w:szCs w:val="24"/>
          <w:highlight w:val="none"/>
          <w:lang w:eastAsia="zh-CN"/>
        </w:rPr>
        <w:t>，溶剂性清漆均满足现行标准，水性底色漆和本色漆均已达到了低</w:t>
      </w:r>
      <w:r>
        <w:rPr>
          <w:rFonts w:hint="default" w:ascii="Times New Roman" w:hAnsi="Times New Roman" w:cs="Times New Roman"/>
          <w:color w:val="000000"/>
          <w:sz w:val="24"/>
          <w:szCs w:val="24"/>
          <w:highlight w:val="none"/>
          <w:lang w:val="en-US" w:eastAsia="zh-CN"/>
        </w:rPr>
        <w:t>VOCs标准。</w:t>
      </w:r>
    </w:p>
    <w:p w14:paraId="14E9B2CD">
      <w:pPr>
        <w:keepNext/>
        <w:keepLines w:val="0"/>
        <w:pageBreakBefore w:val="0"/>
        <w:widowControl w:val="0"/>
        <w:kinsoku/>
        <w:wordWrap/>
        <w:autoSpaceDE/>
        <w:autoSpaceDN/>
        <w:bidi w:val="0"/>
        <w:rPr>
          <w:rFonts w:hint="default" w:ascii="Times New Roman" w:hAnsi="Times New Roman" w:cs="Times New Roman"/>
          <w:b/>
          <w:bCs/>
          <w:color w:val="auto"/>
          <w:highlight w:val="none"/>
          <w:lang w:val="en-US" w:eastAsia="zh-CN"/>
        </w:rPr>
      </w:pPr>
      <w:r>
        <w:rPr>
          <w:rFonts w:hint="eastAsia" w:cs="Times New Roman"/>
          <w:highlight w:val="none"/>
          <w:lang w:val="en-US" w:eastAsia="zh-CN"/>
        </w:rPr>
        <w:t>此外，省外标准调研了解到，目前</w:t>
      </w:r>
      <w:r>
        <w:rPr>
          <w:rFonts w:hint="default" w:ascii="Times New Roman" w:hAnsi="Times New Roman" w:cs="Times New Roman"/>
          <w:highlight w:val="none"/>
          <w:lang w:val="en-US" w:eastAsia="zh-CN"/>
        </w:rPr>
        <w:t>安徽、江苏、上海、</w:t>
      </w:r>
      <w:r>
        <w:rPr>
          <w:rFonts w:hint="eastAsia" w:cs="Times New Roman"/>
          <w:highlight w:val="none"/>
          <w:lang w:val="en-US" w:eastAsia="zh-CN"/>
        </w:rPr>
        <w:t>北京、</w:t>
      </w:r>
      <w:r>
        <w:rPr>
          <w:rFonts w:hint="default" w:ascii="Times New Roman" w:hAnsi="Times New Roman" w:cs="Times New Roman"/>
          <w:highlight w:val="none"/>
          <w:lang w:val="en-US" w:eastAsia="zh-CN"/>
        </w:rPr>
        <w:t>广东（送审稿）等地汽修涂料VOCs含量限值均已执行GB/T38597或更严标准，</w:t>
      </w:r>
      <w:r>
        <w:rPr>
          <w:rFonts w:hint="eastAsia" w:cs="Times New Roman"/>
          <w:highlight w:val="none"/>
          <w:lang w:val="en-US" w:eastAsia="zh-CN"/>
        </w:rPr>
        <w:t>说明现行低VOCs含量涂</w:t>
      </w:r>
      <w:r>
        <w:rPr>
          <w:rFonts w:hint="eastAsia" w:cs="Times New Roman"/>
          <w:b w:val="0"/>
          <w:bCs w:val="0"/>
          <w:highlight w:val="none"/>
          <w:lang w:val="en-US" w:eastAsia="zh-CN"/>
        </w:rPr>
        <w:t>料替代技术已成熟。国家最新发布的《涂料中有害物质限量第2部分：工业涂料》（</w:t>
      </w:r>
      <w:r>
        <w:rPr>
          <w:rFonts w:hint="default" w:ascii="Times New Roman" w:hAnsi="Times New Roman" w:cs="Times New Roman"/>
          <w:b w:val="0"/>
          <w:bCs w:val="0"/>
          <w:color w:val="auto"/>
          <w:highlight w:val="none"/>
          <w:lang w:val="en-US" w:eastAsia="zh-CN"/>
        </w:rPr>
        <w:t>GB 30981.2</w:t>
      </w:r>
      <w:r>
        <w:rPr>
          <w:rFonts w:hint="eastAsia" w:cs="Times New Roman"/>
          <w:b w:val="0"/>
          <w:bCs w:val="0"/>
          <w:color w:val="auto"/>
          <w:highlight w:val="none"/>
          <w:lang w:val="en-US" w:eastAsia="zh-CN"/>
        </w:rPr>
        <w:t>-2025</w:t>
      </w:r>
      <w:r>
        <w:rPr>
          <w:rFonts w:hint="eastAsia" w:cs="Times New Roman"/>
          <w:b w:val="0"/>
          <w:bCs w:val="0"/>
          <w:highlight w:val="none"/>
          <w:lang w:val="en-US" w:eastAsia="zh-CN"/>
        </w:rPr>
        <w:t>）将替代GB24409等标准并于2026年6月1日实施，</w:t>
      </w:r>
      <w:r>
        <w:rPr>
          <w:rFonts w:hint="default" w:ascii="Times New Roman" w:hAnsi="Times New Roman" w:cs="Times New Roman"/>
          <w:b w:val="0"/>
          <w:bCs w:val="0"/>
          <w:color w:val="000000"/>
          <w:sz w:val="24"/>
          <w:szCs w:val="24"/>
          <w:highlight w:val="none"/>
          <w:lang w:val="en-US" w:eastAsia="zh-CN"/>
        </w:rPr>
        <w:t>为强化源头管控，</w:t>
      </w:r>
      <w:r>
        <w:rPr>
          <w:rFonts w:hint="eastAsia" w:cs="Times New Roman"/>
          <w:b w:val="0"/>
          <w:bCs w:val="0"/>
          <w:color w:val="000000"/>
          <w:sz w:val="24"/>
          <w:szCs w:val="24"/>
          <w:highlight w:val="none"/>
          <w:lang w:val="en-US" w:eastAsia="zh-CN"/>
        </w:rPr>
        <w:t>有力</w:t>
      </w:r>
      <w:r>
        <w:rPr>
          <w:rFonts w:hint="default" w:ascii="Times New Roman" w:hAnsi="Times New Roman" w:cs="Times New Roman"/>
          <w:b w:val="0"/>
          <w:bCs w:val="0"/>
          <w:color w:val="000000"/>
          <w:sz w:val="24"/>
          <w:szCs w:val="24"/>
          <w:highlight w:val="none"/>
          <w:lang w:val="en-US" w:eastAsia="zh-CN"/>
        </w:rPr>
        <w:t>推动低VOCs源头替代，</w:t>
      </w:r>
      <w:r>
        <w:rPr>
          <w:rFonts w:hint="eastAsia" w:cs="Times New Roman"/>
          <w:b w:val="0"/>
          <w:bCs w:val="0"/>
          <w:color w:val="000000"/>
          <w:sz w:val="24"/>
          <w:szCs w:val="24"/>
          <w:highlight w:val="none"/>
          <w:lang w:val="en-US" w:eastAsia="zh-CN"/>
        </w:rPr>
        <w:t>结合上述分析情况，</w:t>
      </w:r>
      <w:r>
        <w:rPr>
          <w:rFonts w:hint="default" w:ascii="Times New Roman" w:hAnsi="Times New Roman" w:cs="Times New Roman"/>
          <w:b w:val="0"/>
          <w:bCs w:val="0"/>
          <w:color w:val="000000"/>
          <w:sz w:val="24"/>
          <w:szCs w:val="24"/>
          <w:highlight w:val="none"/>
          <w:lang w:val="en-US" w:eastAsia="zh-CN"/>
        </w:rPr>
        <w:t>本</w:t>
      </w:r>
      <w:r>
        <w:rPr>
          <w:rFonts w:hint="eastAsia" w:cs="Times New Roman"/>
          <w:b w:val="0"/>
          <w:bCs w:val="0"/>
          <w:color w:val="000000"/>
          <w:sz w:val="24"/>
          <w:szCs w:val="24"/>
          <w:highlight w:val="none"/>
          <w:lang w:val="en-US" w:eastAsia="zh-CN"/>
        </w:rPr>
        <w:t>标准</w:t>
      </w:r>
      <w:r>
        <w:rPr>
          <w:rFonts w:hint="default" w:ascii="Times New Roman" w:hAnsi="Times New Roman" w:cs="Times New Roman"/>
          <w:b w:val="0"/>
          <w:bCs w:val="0"/>
          <w:color w:val="000000"/>
          <w:sz w:val="24"/>
          <w:szCs w:val="24"/>
          <w:highlight w:val="none"/>
          <w:lang w:val="en-US" w:eastAsia="zh-CN"/>
        </w:rPr>
        <w:t>提出</w:t>
      </w:r>
      <w:r>
        <w:rPr>
          <w:rFonts w:hint="eastAsia" w:cs="Times New Roman"/>
          <w:b w:val="0"/>
          <w:bCs w:val="0"/>
          <w:color w:val="000000"/>
          <w:sz w:val="24"/>
          <w:szCs w:val="24"/>
          <w:highlight w:val="none"/>
          <w:lang w:val="en-US" w:eastAsia="zh-CN"/>
        </w:rPr>
        <w:t>：</w:t>
      </w:r>
      <w:r>
        <w:rPr>
          <w:rFonts w:hint="default" w:ascii="Times New Roman" w:hAnsi="Times New Roman" w:cs="Times New Roman"/>
          <w:b w:val="0"/>
          <w:bCs w:val="0"/>
          <w:color w:val="auto"/>
          <w:highlight w:val="none"/>
          <w:lang w:val="en-US" w:eastAsia="zh-CN"/>
        </w:rPr>
        <w:t>汽车维修过程中使用的处于施工状态下涂料中VOCs含量限值应符合GB/T 38597规定的要求，GB/T 38597中未做规定的，应符合GB 30981.2等强制性标准规定的要求。</w:t>
      </w:r>
    </w:p>
    <w:p w14:paraId="6F16D103">
      <w:pPr>
        <w:pStyle w:val="3"/>
        <w:keepNext/>
        <w:keepLines w:val="0"/>
        <w:pageBreakBefore w:val="0"/>
        <w:widowControl w:val="0"/>
        <w:kinsoku/>
        <w:wordWrap/>
        <w:autoSpaceDE/>
        <w:autoSpaceDN/>
        <w:bidi w:val="0"/>
        <w:rPr>
          <w:rFonts w:hint="eastAsia"/>
          <w:highlight w:val="none"/>
          <w:lang w:val="en-US" w:eastAsia="zh-CN"/>
        </w:rPr>
      </w:pPr>
      <w:bookmarkStart w:id="111" w:name="_Toc3115"/>
      <w:bookmarkStart w:id="112" w:name="_Toc21132"/>
      <w:bookmarkStart w:id="113" w:name="_Toc4120"/>
      <w:r>
        <w:rPr>
          <w:rFonts w:hint="eastAsia"/>
          <w:highlight w:val="none"/>
          <w:lang w:val="en-US" w:eastAsia="zh-CN"/>
        </w:rPr>
        <w:t>有组织排放控制要求</w:t>
      </w:r>
      <w:bookmarkEnd w:id="111"/>
      <w:bookmarkEnd w:id="112"/>
      <w:bookmarkEnd w:id="113"/>
    </w:p>
    <w:p w14:paraId="031F3664">
      <w:pPr>
        <w:pStyle w:val="4"/>
        <w:keepNext/>
        <w:keepLines w:val="0"/>
        <w:pageBreakBefore w:val="0"/>
        <w:widowControl w:val="0"/>
        <w:numPr>
          <w:ilvl w:val="2"/>
          <w:numId w:val="1"/>
        </w:numPr>
        <w:kinsoku/>
        <w:wordWrap/>
        <w:autoSpaceDE/>
        <w:autoSpaceDN/>
        <w:bidi w:val="0"/>
        <w:rPr>
          <w:rFonts w:hint="default" w:cs="Times New Roman"/>
          <w:highlight w:val="none"/>
          <w:lang w:val="en-US" w:eastAsia="zh-CN"/>
        </w:rPr>
      </w:pPr>
      <w:bookmarkStart w:id="114" w:name="_Toc23705"/>
      <w:bookmarkStart w:id="115" w:name="_Toc17362"/>
      <w:bookmarkStart w:id="116" w:name="_Toc203"/>
      <w:r>
        <w:rPr>
          <w:rFonts w:hint="default" w:cs="Times New Roman"/>
          <w:highlight w:val="none"/>
          <w:lang w:val="en-US" w:eastAsia="zh-CN"/>
        </w:rPr>
        <w:t>污染物有组织排放限值</w:t>
      </w:r>
      <w:r>
        <w:rPr>
          <w:rFonts w:hint="eastAsia" w:cs="Times New Roman"/>
          <w:highlight w:val="none"/>
          <w:lang w:val="en-US" w:eastAsia="zh-CN"/>
        </w:rPr>
        <w:t>要求及其</w:t>
      </w:r>
      <w:r>
        <w:rPr>
          <w:rFonts w:hint="default" w:cs="Times New Roman"/>
          <w:highlight w:val="none"/>
          <w:lang w:val="en-US" w:eastAsia="zh-CN"/>
        </w:rPr>
        <w:t>确定</w:t>
      </w:r>
      <w:bookmarkEnd w:id="114"/>
      <w:bookmarkEnd w:id="115"/>
    </w:p>
    <w:p w14:paraId="1639C0A5">
      <w:pPr>
        <w:keepNext/>
        <w:keepLines w:val="0"/>
        <w:pageBreakBefore w:val="0"/>
        <w:widowControl w:val="0"/>
        <w:kinsoku/>
        <w:wordWrap/>
        <w:overflowPunct/>
        <w:topLinePunct w:val="0"/>
        <w:autoSpaceDE/>
        <w:autoSpaceDN/>
        <w:bidi w:val="0"/>
        <w:adjustRightInd/>
        <w:snapToGrid/>
        <w:ind w:left="0" w:leftChars="0" w:firstLine="480" w:firstLineChars="200"/>
        <w:jc w:val="left"/>
        <w:textAlignment w:val="auto"/>
        <w:rPr>
          <w:rFonts w:hint="eastAsia" w:cs="Times New Roman"/>
          <w:kern w:val="0"/>
          <w:szCs w:val="21"/>
          <w:highlight w:val="none"/>
          <w:lang w:val="en-US" w:eastAsia="zh-CN"/>
        </w:rPr>
      </w:pPr>
      <w:r>
        <w:rPr>
          <w:rFonts w:hint="eastAsia" w:cs="Times New Roman"/>
          <w:kern w:val="0"/>
          <w:szCs w:val="21"/>
          <w:highlight w:val="none"/>
          <w:lang w:val="en-US" w:eastAsia="zh-CN"/>
        </w:rPr>
        <w:t>本标准提出汽车维修企业车间或生产设施排气筒的大气污染物有组织排放限值如下所示。</w:t>
      </w:r>
    </w:p>
    <w:p w14:paraId="787CE03A">
      <w:pPr>
        <w:keepNext/>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kern w:val="0"/>
          <w:szCs w:val="21"/>
          <w:highlight w:val="none"/>
          <w:lang w:val="en-US" w:eastAsia="zh-CN"/>
        </w:rPr>
      </w:pPr>
      <w:r>
        <w:rPr>
          <w:rFonts w:hint="eastAsia" w:cs="Times New Roman"/>
          <w:kern w:val="0"/>
          <w:szCs w:val="21"/>
          <w:highlight w:val="none"/>
          <w:lang w:val="en-US" w:eastAsia="zh-CN"/>
        </w:rPr>
        <w:t>表</w:t>
      </w:r>
      <w:r>
        <w:rPr>
          <w:rFonts w:hint="eastAsia" w:ascii="Times New Roman" w:hAnsi="Times New Roman" w:cs="Times New Roman"/>
          <w:kern w:val="0"/>
          <w:szCs w:val="21"/>
          <w:highlight w:val="none"/>
          <w:lang w:val="en-US" w:eastAsia="zh-CN"/>
        </w:rPr>
        <w:t>7.</w:t>
      </w:r>
      <w:r>
        <w:rPr>
          <w:rFonts w:hint="eastAsia" w:cs="Times New Roman"/>
          <w:kern w:val="0"/>
          <w:szCs w:val="21"/>
          <w:highlight w:val="none"/>
          <w:lang w:val="en-US" w:eastAsia="zh-CN"/>
        </w:rPr>
        <w:t>5</w:t>
      </w:r>
      <w:r>
        <w:rPr>
          <w:rFonts w:hint="eastAsia" w:ascii="Times New Roman" w:hAnsi="Times New Roman" w:cs="Times New Roman"/>
          <w:kern w:val="0"/>
          <w:szCs w:val="21"/>
          <w:highlight w:val="none"/>
          <w:lang w:val="en-US" w:eastAsia="zh-CN"/>
        </w:rPr>
        <w:t>-1 大气污染物有组织排放限值</w:t>
      </w:r>
    </w:p>
    <w:p w14:paraId="48EB767A">
      <w:pPr>
        <w:keepNext/>
        <w:keepLines w:val="0"/>
        <w:pageBreakBefore w:val="0"/>
        <w:widowControl w:val="0"/>
        <w:kinsoku/>
        <w:wordWrap/>
        <w:overflowPunct/>
        <w:topLinePunct w:val="0"/>
        <w:autoSpaceDE/>
        <w:autoSpaceDN/>
        <w:bidi w:val="0"/>
        <w:adjustRightInd/>
        <w:snapToGrid/>
        <w:ind w:firstLine="0" w:firstLineChars="0"/>
        <w:jc w:val="right"/>
        <w:textAlignment w:val="auto"/>
        <w:rPr>
          <w:rFonts w:hint="default" w:ascii="Times New Roman" w:hAnsi="Times New Roman" w:cs="Times New Roman"/>
          <w:kern w:val="0"/>
          <w:szCs w:val="21"/>
          <w:highlight w:val="none"/>
          <w:lang w:val="en-US" w:eastAsia="zh-CN"/>
        </w:rPr>
      </w:pPr>
      <w:r>
        <w:rPr>
          <w:rFonts w:hint="eastAsia" w:ascii="Times New Roman" w:hAnsi="Times New Roman" w:cs="Times New Roman"/>
          <w:kern w:val="0"/>
          <w:szCs w:val="21"/>
          <w:highlight w:val="none"/>
          <w:lang w:val="en-US" w:eastAsia="zh-CN"/>
        </w:rPr>
        <w:t>单位：</w:t>
      </w:r>
      <w:r>
        <w:rPr>
          <w:rFonts w:hint="default" w:ascii="Times New Roman" w:hAnsi="Times New Roman" w:cs="Times New Roman"/>
          <w:kern w:val="0"/>
          <w:szCs w:val="21"/>
          <w:highlight w:val="none"/>
          <w:lang w:val="en-US" w:eastAsia="zh-CN"/>
        </w:rPr>
        <w:t>mg/m</w:t>
      </w:r>
      <w:r>
        <w:rPr>
          <w:rFonts w:hint="default" w:ascii="Times New Roman" w:hAnsi="Times New Roman" w:cs="Times New Roman"/>
          <w:kern w:val="0"/>
          <w:szCs w:val="21"/>
          <w:highlight w:val="none"/>
          <w:vertAlign w:val="superscript"/>
          <w:lang w:val="en-US" w:eastAsia="zh-CN"/>
        </w:rPr>
        <w:t>3</w:t>
      </w:r>
    </w:p>
    <w:tbl>
      <w:tblPr>
        <w:tblStyle w:val="22"/>
        <w:tblW w:w="4994"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791"/>
        <w:gridCol w:w="1701"/>
        <w:gridCol w:w="2024"/>
        <w:gridCol w:w="3002"/>
      </w:tblGrid>
      <w:tr w14:paraId="10EE9C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40" w:hRule="atLeast"/>
          <w:tblHeader/>
          <w:jc w:val="center"/>
        </w:trPr>
        <w:tc>
          <w:tcPr>
            <w:tcW w:w="1051" w:type="pct"/>
            <w:vMerge w:val="restart"/>
            <w:vAlign w:val="center"/>
          </w:tcPr>
          <w:p w14:paraId="664F0A5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rPr>
            </w:pPr>
            <w:r>
              <w:rPr>
                <w:rFonts w:hint="default" w:ascii="Times New Roman" w:hAnsi="Times New Roman" w:cs="Times New Roman"/>
                <w:b/>
                <w:bCs/>
                <w:color w:val="000000"/>
                <w:kern w:val="0"/>
                <w:sz w:val="21"/>
                <w:szCs w:val="21"/>
                <w:highlight w:val="none"/>
              </w:rPr>
              <w:t>污染物项目</w:t>
            </w:r>
          </w:p>
        </w:tc>
        <w:tc>
          <w:tcPr>
            <w:tcW w:w="2186" w:type="pct"/>
            <w:gridSpan w:val="2"/>
            <w:vAlign w:val="center"/>
          </w:tcPr>
          <w:p w14:paraId="730C22C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cs="Times New Roman"/>
                <w:b/>
                <w:bCs/>
                <w:color w:val="000000"/>
                <w:kern w:val="0"/>
                <w:sz w:val="21"/>
                <w:szCs w:val="21"/>
                <w:highlight w:val="none"/>
                <w:lang w:val="en-US" w:eastAsia="zh-CN"/>
              </w:rPr>
            </w:pPr>
            <w:r>
              <w:rPr>
                <w:rFonts w:hint="default" w:ascii="Times New Roman" w:hAnsi="Times New Roman" w:cs="Times New Roman"/>
                <w:b/>
                <w:bCs/>
                <w:color w:val="000000"/>
                <w:kern w:val="0"/>
                <w:sz w:val="21"/>
                <w:szCs w:val="21"/>
                <w:highlight w:val="none"/>
              </w:rPr>
              <w:t>排放限值</w:t>
            </w:r>
          </w:p>
        </w:tc>
        <w:tc>
          <w:tcPr>
            <w:tcW w:w="1762" w:type="pct"/>
            <w:vMerge w:val="restart"/>
            <w:vAlign w:val="center"/>
          </w:tcPr>
          <w:p w14:paraId="2536177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lang w:val="en-US" w:eastAsia="zh-CN"/>
              </w:rPr>
            </w:pPr>
            <w:r>
              <w:rPr>
                <w:rFonts w:hint="eastAsia" w:ascii="Times New Roman" w:hAnsi="Times New Roman" w:cs="Times New Roman"/>
                <w:b/>
                <w:bCs/>
                <w:color w:val="000000"/>
                <w:kern w:val="0"/>
                <w:sz w:val="21"/>
                <w:szCs w:val="21"/>
                <w:highlight w:val="none"/>
                <w:lang w:val="en-US" w:eastAsia="zh-CN"/>
              </w:rPr>
              <w:t>监控位置</w:t>
            </w:r>
          </w:p>
        </w:tc>
      </w:tr>
      <w:tr w14:paraId="3BC785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40" w:hRule="atLeast"/>
          <w:tblHeader/>
          <w:jc w:val="center"/>
        </w:trPr>
        <w:tc>
          <w:tcPr>
            <w:tcW w:w="1051" w:type="pct"/>
            <w:vMerge w:val="continue"/>
            <w:vAlign w:val="center"/>
          </w:tcPr>
          <w:p w14:paraId="07D0D57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c>
          <w:tcPr>
            <w:tcW w:w="998" w:type="pct"/>
            <w:vAlign w:val="center"/>
          </w:tcPr>
          <w:p w14:paraId="7675F14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b/>
                <w:bCs/>
                <w:color w:val="000000"/>
                <w:kern w:val="0"/>
                <w:sz w:val="21"/>
                <w:szCs w:val="21"/>
                <w:highlight w:val="none"/>
                <w:lang w:eastAsia="zh-CN"/>
              </w:rPr>
            </w:pPr>
            <w:r>
              <w:rPr>
                <w:rFonts w:hint="eastAsia" w:cs="Times New Roman"/>
                <w:b/>
                <w:bCs/>
                <w:color w:val="000000"/>
                <w:kern w:val="0"/>
                <w:sz w:val="21"/>
                <w:szCs w:val="21"/>
                <w:highlight w:val="none"/>
                <w:lang w:val="en-US" w:eastAsia="zh-CN"/>
              </w:rPr>
              <w:t>控制区</w:t>
            </w:r>
          </w:p>
        </w:tc>
        <w:tc>
          <w:tcPr>
            <w:tcW w:w="1187" w:type="pct"/>
            <w:vAlign w:val="center"/>
          </w:tcPr>
          <w:p w14:paraId="5C96FE6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rPr>
            </w:pPr>
            <w:r>
              <w:rPr>
                <w:rFonts w:hint="default" w:ascii="Times New Roman" w:hAnsi="Times New Roman" w:cs="Times New Roman"/>
                <w:b/>
                <w:bCs/>
                <w:color w:val="000000"/>
                <w:kern w:val="0"/>
                <w:sz w:val="21"/>
                <w:szCs w:val="21"/>
                <w:highlight w:val="none"/>
              </w:rPr>
              <w:t>其他区</w:t>
            </w:r>
          </w:p>
        </w:tc>
        <w:tc>
          <w:tcPr>
            <w:tcW w:w="1762" w:type="pct"/>
            <w:vMerge w:val="continue"/>
            <w:vAlign w:val="center"/>
          </w:tcPr>
          <w:p w14:paraId="55E7886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r>
      <w:tr w14:paraId="73D520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40" w:hRule="atLeast"/>
          <w:jc w:val="center"/>
        </w:trPr>
        <w:tc>
          <w:tcPr>
            <w:tcW w:w="1051" w:type="pct"/>
            <w:vAlign w:val="center"/>
          </w:tcPr>
          <w:p w14:paraId="7BF1A4F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苯</w:t>
            </w:r>
          </w:p>
        </w:tc>
        <w:tc>
          <w:tcPr>
            <w:tcW w:w="2186" w:type="pct"/>
            <w:gridSpan w:val="2"/>
            <w:vAlign w:val="center"/>
          </w:tcPr>
          <w:p w14:paraId="2A0F5F8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0.5</w:t>
            </w:r>
          </w:p>
        </w:tc>
        <w:tc>
          <w:tcPr>
            <w:tcW w:w="1762" w:type="pct"/>
            <w:vMerge w:val="restart"/>
            <w:vAlign w:val="center"/>
          </w:tcPr>
          <w:p w14:paraId="5950E08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eastAsia" w:ascii="Times New Roman" w:hAnsi="Times New Roman" w:cs="Times New Roman"/>
                <w:color w:val="000000"/>
                <w:kern w:val="0"/>
                <w:sz w:val="21"/>
                <w:szCs w:val="21"/>
                <w:highlight w:val="none"/>
              </w:rPr>
              <w:t>车间或生产设施排气筒</w:t>
            </w:r>
          </w:p>
        </w:tc>
      </w:tr>
      <w:tr w14:paraId="24FCFE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40" w:hRule="atLeast"/>
          <w:jc w:val="center"/>
        </w:trPr>
        <w:tc>
          <w:tcPr>
            <w:tcW w:w="1051" w:type="pct"/>
            <w:vAlign w:val="center"/>
          </w:tcPr>
          <w:p w14:paraId="2A2A556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kern w:val="0"/>
                <w:sz w:val="21"/>
                <w:szCs w:val="21"/>
                <w:highlight w:val="none"/>
              </w:rPr>
            </w:pPr>
            <w:r>
              <w:rPr>
                <w:rFonts w:hint="eastAsia" w:ascii="Times New Roman" w:hAnsi="Times New Roman" w:cs="Times New Roman"/>
                <w:color w:val="000000"/>
                <w:kern w:val="0"/>
                <w:sz w:val="21"/>
                <w:szCs w:val="21"/>
                <w:highlight w:val="none"/>
                <w:lang w:val="en-US" w:eastAsia="zh-CN"/>
              </w:rPr>
              <w:t>苯系物</w:t>
            </w:r>
          </w:p>
        </w:tc>
        <w:tc>
          <w:tcPr>
            <w:tcW w:w="2186" w:type="pct"/>
            <w:gridSpan w:val="2"/>
            <w:vAlign w:val="center"/>
          </w:tcPr>
          <w:p w14:paraId="5F6B6E0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1</w:t>
            </w:r>
            <w:r>
              <w:rPr>
                <w:rFonts w:hint="eastAsia" w:ascii="Times New Roman" w:hAnsi="Times New Roman" w:cs="Times New Roman"/>
                <w:color w:val="000000"/>
                <w:kern w:val="0"/>
                <w:sz w:val="21"/>
                <w:szCs w:val="21"/>
                <w:highlight w:val="none"/>
                <w:lang w:val="en-US" w:eastAsia="zh-CN"/>
              </w:rPr>
              <w:t>0</w:t>
            </w:r>
          </w:p>
        </w:tc>
        <w:tc>
          <w:tcPr>
            <w:tcW w:w="1762" w:type="pct"/>
            <w:vMerge w:val="continue"/>
            <w:vAlign w:val="center"/>
          </w:tcPr>
          <w:p w14:paraId="575C1E3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r>
      <w:tr w14:paraId="02BA0F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40" w:hRule="atLeast"/>
          <w:jc w:val="center"/>
        </w:trPr>
        <w:tc>
          <w:tcPr>
            <w:tcW w:w="1051" w:type="pct"/>
            <w:vAlign w:val="center"/>
          </w:tcPr>
          <w:p w14:paraId="7254C5D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kern w:val="0"/>
                <w:sz w:val="21"/>
                <w:szCs w:val="21"/>
                <w:highlight w:val="none"/>
                <w:lang w:eastAsia="zh-CN"/>
              </w:rPr>
            </w:pPr>
            <w:r>
              <w:rPr>
                <w:rFonts w:hint="eastAsia" w:ascii="Times New Roman" w:hAnsi="Times New Roman" w:cs="Times New Roman"/>
                <w:color w:val="000000"/>
                <w:kern w:val="0"/>
                <w:sz w:val="21"/>
                <w:szCs w:val="21"/>
                <w:highlight w:val="none"/>
                <w:lang w:val="en-US" w:eastAsia="zh-CN"/>
              </w:rPr>
              <w:t>NMHC</w:t>
            </w:r>
          </w:p>
        </w:tc>
        <w:tc>
          <w:tcPr>
            <w:tcW w:w="2186" w:type="pct"/>
            <w:gridSpan w:val="2"/>
            <w:vAlign w:val="center"/>
          </w:tcPr>
          <w:p w14:paraId="2A5BBD2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20</w:t>
            </w:r>
          </w:p>
        </w:tc>
        <w:tc>
          <w:tcPr>
            <w:tcW w:w="1762" w:type="pct"/>
            <w:vMerge w:val="continue"/>
            <w:vAlign w:val="center"/>
          </w:tcPr>
          <w:p w14:paraId="0C49ACD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r>
      <w:tr w14:paraId="54DE4B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47" w:hRule="atLeast"/>
          <w:jc w:val="center"/>
        </w:trPr>
        <w:tc>
          <w:tcPr>
            <w:tcW w:w="1051" w:type="pct"/>
            <w:vAlign w:val="center"/>
          </w:tcPr>
          <w:p w14:paraId="02D626E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颗粒物</w:t>
            </w:r>
          </w:p>
        </w:tc>
        <w:tc>
          <w:tcPr>
            <w:tcW w:w="998" w:type="pct"/>
            <w:vAlign w:val="center"/>
          </w:tcPr>
          <w:p w14:paraId="00CA684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10</w:t>
            </w:r>
          </w:p>
        </w:tc>
        <w:tc>
          <w:tcPr>
            <w:tcW w:w="1187" w:type="pct"/>
            <w:vAlign w:val="center"/>
          </w:tcPr>
          <w:p w14:paraId="6FC7B9D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20</w:t>
            </w:r>
          </w:p>
        </w:tc>
        <w:tc>
          <w:tcPr>
            <w:tcW w:w="1762" w:type="pct"/>
            <w:vMerge w:val="continue"/>
            <w:vAlign w:val="center"/>
          </w:tcPr>
          <w:p w14:paraId="16C4264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r>
      <w:bookmarkEnd w:id="116"/>
    </w:tbl>
    <w:p w14:paraId="13F5CBA3">
      <w:pPr>
        <w:keepNext/>
        <w:keepLines w:val="0"/>
        <w:pageBreakBefore w:val="0"/>
        <w:widowControl w:val="0"/>
        <w:numPr>
          <w:ilvl w:val="0"/>
          <w:numId w:val="0"/>
        </w:numPr>
        <w:kinsoku/>
        <w:wordWrap/>
        <w:autoSpaceDE/>
        <w:autoSpaceDN/>
        <w:bidi w:val="0"/>
        <w:ind w:firstLine="480" w:firstLineChars="200"/>
        <w:rPr>
          <w:rFonts w:hint="default" w:ascii="Times New Roman" w:hAnsi="Times New Roman" w:cs="Times New Roman"/>
          <w:highlight w:val="none"/>
          <w:lang w:val="en-US" w:eastAsia="zh-CN"/>
        </w:rPr>
      </w:pPr>
      <w:r>
        <w:rPr>
          <w:rFonts w:hint="default" w:ascii="Times New Roman" w:hAnsi="Times New Roman" w:cs="Times New Roman"/>
          <w:kern w:val="0"/>
          <w:sz w:val="24"/>
          <w:highlight w:val="none"/>
        </w:rPr>
        <w:t>本研究选取喷烤漆房有组织苯、苯系物、非甲烷总烃、颗粒物等指标排放浓度进行监测分析。</w:t>
      </w:r>
      <w:bookmarkStart w:id="117" w:name="_Toc1339"/>
      <w:r>
        <w:rPr>
          <w:rFonts w:hint="eastAsia" w:cs="Times New Roman"/>
          <w:kern w:val="0"/>
          <w:sz w:val="24"/>
          <w:highlight w:val="none"/>
          <w:lang w:eastAsia="zh-CN"/>
        </w:rPr>
        <w:t>现场</w:t>
      </w:r>
      <w:r>
        <w:rPr>
          <w:rFonts w:hint="default" w:ascii="Times New Roman" w:hAnsi="Times New Roman" w:cs="Times New Roman"/>
          <w:highlight w:val="none"/>
          <w:lang w:val="en-US" w:eastAsia="zh-CN"/>
        </w:rPr>
        <w:t>调研了260</w:t>
      </w:r>
      <w:r>
        <w:rPr>
          <w:rFonts w:hint="default" w:ascii="Times New Roman" w:hAnsi="Times New Roman" w:cs="Times New Roman"/>
          <w:highlight w:val="none"/>
        </w:rPr>
        <w:t>家</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企业</w:t>
      </w:r>
      <w:r>
        <w:rPr>
          <w:rFonts w:hint="default" w:ascii="Times New Roman" w:hAnsi="Times New Roman" w:cs="Times New Roman"/>
          <w:highlight w:val="none"/>
          <w:lang w:val="en-US" w:eastAsia="zh-CN"/>
        </w:rPr>
        <w:t>315</w:t>
      </w:r>
      <w:r>
        <w:rPr>
          <w:rFonts w:hint="default" w:ascii="Times New Roman" w:hAnsi="Times New Roman" w:cs="Times New Roman"/>
          <w:highlight w:val="none"/>
        </w:rPr>
        <w:t>条排气筒</w:t>
      </w:r>
      <w:r>
        <w:rPr>
          <w:rFonts w:hint="default" w:ascii="Times New Roman" w:hAnsi="Times New Roman" w:cs="Times New Roman"/>
          <w:highlight w:val="none"/>
          <w:lang w:eastAsia="zh-CN"/>
        </w:rPr>
        <w:t>监测信息</w:t>
      </w:r>
      <w:r>
        <w:rPr>
          <w:rFonts w:hint="default" w:ascii="Times New Roman" w:hAnsi="Times New Roman" w:cs="Times New Roman"/>
          <w:highlight w:val="none"/>
        </w:rPr>
        <w:t>，</w:t>
      </w:r>
      <w:r>
        <w:rPr>
          <w:rFonts w:hint="default" w:ascii="Times New Roman" w:hAnsi="Times New Roman" w:cs="Times New Roman"/>
          <w:highlight w:val="none"/>
          <w:lang w:val="en-US" w:eastAsia="zh-CN"/>
        </w:rPr>
        <w:t>其中74家企业（74条排气筒）为编制组实测，148家企业（212条排气筒）为企业自行监测报告，29家企业（29条排气筒）为在线监测</w:t>
      </w:r>
      <w:r>
        <w:rPr>
          <w:rFonts w:hint="default" w:ascii="Times New Roman" w:hAnsi="Times New Roman" w:cs="Times New Roman"/>
          <w:highlight w:val="none"/>
        </w:rPr>
        <w:t>。</w:t>
      </w:r>
      <w:r>
        <w:rPr>
          <w:rFonts w:hint="default" w:ascii="Times New Roman" w:hAnsi="Times New Roman" w:cs="Times New Roman"/>
          <w:highlight w:val="none"/>
          <w:lang w:eastAsia="zh-CN"/>
        </w:rPr>
        <w:t>从市（州）分布看，</w:t>
      </w:r>
      <w:r>
        <w:rPr>
          <w:rFonts w:hint="default" w:ascii="Times New Roman" w:hAnsi="Times New Roman" w:cs="Times New Roman"/>
          <w:highlight w:val="none"/>
        </w:rPr>
        <w:t>成都市</w:t>
      </w:r>
      <w:r>
        <w:rPr>
          <w:rFonts w:hint="default" w:ascii="Times New Roman" w:hAnsi="Times New Roman" w:cs="Times New Roman"/>
          <w:highlight w:val="none"/>
          <w:lang w:val="en-US" w:eastAsia="zh-CN"/>
        </w:rPr>
        <w:t>109</w:t>
      </w:r>
      <w:r>
        <w:rPr>
          <w:rFonts w:hint="default" w:ascii="Times New Roman" w:hAnsi="Times New Roman" w:cs="Times New Roman"/>
          <w:highlight w:val="none"/>
        </w:rPr>
        <w:t>条</w:t>
      </w:r>
      <w:r>
        <w:rPr>
          <w:rFonts w:hint="default" w:ascii="Times New Roman" w:hAnsi="Times New Roman" w:cs="Times New Roman"/>
          <w:highlight w:val="none"/>
          <w:lang w:eastAsia="zh-CN"/>
        </w:rPr>
        <w:t>、</w:t>
      </w:r>
      <w:r>
        <w:rPr>
          <w:rFonts w:hint="default" w:ascii="Times New Roman" w:hAnsi="Times New Roman" w:cs="Times New Roman"/>
          <w:highlight w:val="none"/>
          <w:lang w:val="en-US" w:eastAsia="zh-CN"/>
        </w:rPr>
        <w:t>泸州市65条、宜宾市50条、自贡市42条</w:t>
      </w:r>
      <w:r>
        <w:rPr>
          <w:rFonts w:hint="default" w:ascii="Times New Roman" w:hAnsi="Times New Roman" w:cs="Times New Roman"/>
          <w:highlight w:val="none"/>
          <w:lang w:eastAsia="zh-CN"/>
        </w:rPr>
        <w:t>、</w:t>
      </w:r>
      <w:r>
        <w:rPr>
          <w:rFonts w:hint="default" w:ascii="Times New Roman" w:hAnsi="Times New Roman" w:cs="Times New Roman"/>
          <w:highlight w:val="none"/>
        </w:rPr>
        <w:t>乐山市16条、广元市9条、西昌市9条</w:t>
      </w:r>
      <w:r>
        <w:rPr>
          <w:rFonts w:hint="default" w:ascii="Times New Roman" w:hAnsi="Times New Roman" w:cs="Times New Roman"/>
          <w:highlight w:val="none"/>
          <w:lang w:eastAsia="zh-CN"/>
        </w:rPr>
        <w:t>、</w:t>
      </w:r>
      <w:r>
        <w:rPr>
          <w:rFonts w:hint="default" w:ascii="Times New Roman" w:hAnsi="Times New Roman" w:cs="Times New Roman"/>
          <w:highlight w:val="none"/>
          <w:lang w:val="en-US" w:eastAsia="zh-CN"/>
        </w:rPr>
        <w:t>德阳市8条、眉山市6条、内江市1条</w:t>
      </w:r>
      <w:r>
        <w:rPr>
          <w:rFonts w:hint="default" w:ascii="Times New Roman" w:hAnsi="Times New Roman" w:cs="Times New Roman"/>
          <w:highlight w:val="none"/>
        </w:rPr>
        <w:t>。</w:t>
      </w:r>
      <w:r>
        <w:rPr>
          <w:rFonts w:hint="default" w:ascii="Times New Roman" w:hAnsi="Times New Roman" w:cs="Times New Roman"/>
          <w:highlight w:val="none"/>
          <w:lang w:eastAsia="zh-CN"/>
        </w:rPr>
        <w:t>企业类型看，</w:t>
      </w:r>
      <w:r>
        <w:rPr>
          <w:rFonts w:hint="default" w:ascii="Times New Roman" w:hAnsi="Times New Roman" w:cs="Times New Roman"/>
          <w:highlight w:val="none"/>
          <w:lang w:val="en-US" w:eastAsia="zh-CN"/>
        </w:rPr>
        <w:t>一类企业76家，占比29%，二类企业151家，占比58%，三类企业33家，占比13%。治理设施分布看，59%为UV光氧+活性炭或二级活性炭，31%为燃烧法，5%为单一UV光氧（均为2022年采样企业），详细的治理技术占比见</w:t>
      </w:r>
      <w:r>
        <w:rPr>
          <w:rFonts w:hint="eastAsia" w:cs="Times New Roman"/>
          <w:highlight w:val="none"/>
          <w:lang w:val="en-US" w:eastAsia="zh-CN"/>
        </w:rPr>
        <w:t>7.5</w:t>
      </w:r>
      <w:r>
        <w:rPr>
          <w:rFonts w:hint="default" w:ascii="Times New Roman" w:hAnsi="Times New Roman" w:cs="Times New Roman"/>
          <w:highlight w:val="none"/>
          <w:lang w:val="en-US" w:eastAsia="zh-CN"/>
        </w:rPr>
        <w:t>-</w:t>
      </w:r>
      <w:r>
        <w:rPr>
          <w:rFonts w:hint="eastAsia" w:ascii="Times New Roman" w:hAnsi="Times New Roman" w:cs="Times New Roman"/>
          <w:highlight w:val="none"/>
          <w:lang w:val="en-US" w:eastAsia="zh-CN"/>
        </w:rPr>
        <w:t>1</w:t>
      </w:r>
      <w:r>
        <w:rPr>
          <w:rFonts w:hint="default" w:ascii="Times New Roman" w:hAnsi="Times New Roman" w:cs="Times New Roman"/>
          <w:highlight w:val="none"/>
          <w:lang w:val="en-US" w:eastAsia="zh-CN"/>
        </w:rPr>
        <w:t>，图</w:t>
      </w:r>
      <w:r>
        <w:rPr>
          <w:rFonts w:hint="eastAsia" w:cs="Times New Roman"/>
          <w:highlight w:val="none"/>
          <w:lang w:val="en-US" w:eastAsia="zh-CN"/>
        </w:rPr>
        <w:t>7.5</w:t>
      </w:r>
      <w:r>
        <w:rPr>
          <w:rFonts w:hint="default" w:ascii="Times New Roman" w:hAnsi="Times New Roman" w:cs="Times New Roman"/>
          <w:highlight w:val="none"/>
          <w:lang w:val="en-US" w:eastAsia="zh-CN"/>
        </w:rPr>
        <w:t>-</w:t>
      </w:r>
      <w:r>
        <w:rPr>
          <w:rFonts w:hint="eastAsia" w:ascii="Times New Roman" w:hAnsi="Times New Roman" w:cs="Times New Roman"/>
          <w:highlight w:val="none"/>
          <w:lang w:val="en-US" w:eastAsia="zh-CN"/>
        </w:rPr>
        <w:t>2</w:t>
      </w:r>
      <w:r>
        <w:rPr>
          <w:rFonts w:hint="default" w:ascii="Times New Roman" w:hAnsi="Times New Roman" w:cs="Times New Roman"/>
          <w:highlight w:val="none"/>
          <w:lang w:val="en-US" w:eastAsia="zh-CN"/>
        </w:rPr>
        <w:t>为现场采样监测图。</w:t>
      </w:r>
    </w:p>
    <w:p w14:paraId="48B73ABA">
      <w:pPr>
        <w:keepNext/>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highlight w:val="none"/>
          <w:lang w:val="en-US" w:eastAsia="zh-CN"/>
        </w:rPr>
      </w:pPr>
      <w:r>
        <w:rPr>
          <w:rFonts w:hint="default" w:ascii="Times New Roman" w:hAnsi="Times New Roman" w:cs="Times New Roman"/>
          <w:highlight w:val="none"/>
          <w:lang w:val="en-US" w:eastAsia="zh-CN"/>
        </w:rPr>
        <w:drawing>
          <wp:inline distT="0" distB="0" distL="114300" distR="114300">
            <wp:extent cx="5256530" cy="2988310"/>
            <wp:effectExtent l="5080" t="4445" r="11430" b="9525"/>
            <wp:docPr id="6" name="图表 6"/>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0D3B0602">
      <w:pPr>
        <w:keepNext/>
        <w:keepLines w:val="0"/>
        <w:pageBreakBefore w:val="0"/>
        <w:widowControl w:val="0"/>
        <w:kinsoku/>
        <w:wordWrap/>
        <w:autoSpaceDE/>
        <w:autoSpaceDN/>
        <w:bidi w:val="0"/>
        <w:ind w:left="0" w:leftChars="0" w:firstLine="0" w:firstLineChars="0"/>
        <w:jc w:val="center"/>
        <w:rPr>
          <w:rFonts w:hint="default" w:ascii="Times New Roman" w:hAnsi="Times New Roman" w:cs="Times New Roman"/>
          <w:highlight w:val="none"/>
          <w:lang w:val="en-US" w:eastAsia="zh-CN"/>
        </w:rPr>
      </w:pPr>
      <w:r>
        <w:rPr>
          <w:rFonts w:hint="default" w:ascii="Times New Roman" w:hAnsi="Times New Roman" w:cs="Times New Roman"/>
          <w:highlight w:val="none"/>
          <w:lang w:val="en-US" w:eastAsia="zh-CN"/>
        </w:rPr>
        <w:t>图</w:t>
      </w:r>
      <w:r>
        <w:rPr>
          <w:rFonts w:hint="eastAsia" w:cs="Times New Roman"/>
          <w:highlight w:val="none"/>
          <w:lang w:val="en-US" w:eastAsia="zh-CN"/>
        </w:rPr>
        <w:t>7.5</w:t>
      </w:r>
      <w:r>
        <w:rPr>
          <w:rFonts w:hint="default" w:ascii="Times New Roman" w:hAnsi="Times New Roman" w:cs="Times New Roman"/>
          <w:highlight w:val="none"/>
          <w:lang w:val="en-US" w:eastAsia="zh-CN"/>
        </w:rPr>
        <w:t>-</w:t>
      </w:r>
      <w:r>
        <w:rPr>
          <w:rFonts w:hint="eastAsia" w:ascii="Times New Roman" w:hAnsi="Times New Roman" w:cs="Times New Roman"/>
          <w:highlight w:val="none"/>
          <w:lang w:val="en-US" w:eastAsia="zh-CN"/>
        </w:rPr>
        <w:t>1</w:t>
      </w:r>
      <w:r>
        <w:rPr>
          <w:rFonts w:hint="default" w:ascii="Times New Roman" w:hAnsi="Times New Roman" w:cs="Times New Roman"/>
          <w:highlight w:val="none"/>
          <w:lang w:val="en-US" w:eastAsia="zh-CN"/>
        </w:rPr>
        <w:t xml:space="preserve"> 排气筒治理设施分布图</w:t>
      </w:r>
    </w:p>
    <w:p w14:paraId="44FB14FC">
      <w:pPr>
        <w:keepNext/>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cs="Times New Roman"/>
          <w:highlight w:val="none"/>
        </w:rPr>
      </w:pPr>
      <w:r>
        <w:rPr>
          <w:rFonts w:hint="default" w:ascii="Times New Roman" w:hAnsi="Times New Roman" w:cs="Times New Roman"/>
          <w:highlight w:val="none"/>
        </w:rPr>
        <w:drawing>
          <wp:inline distT="0" distB="0" distL="0" distR="0">
            <wp:extent cx="5200650" cy="2150110"/>
            <wp:effectExtent l="0" t="0" r="11430" b="1397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41" cstate="print">
                      <a:extLst>
                        <a:ext uri="{28A0092B-C50C-407E-A947-70E740481C1C}">
                          <a14:useLocalDpi xmlns:a14="http://schemas.microsoft.com/office/drawing/2010/main" val="0"/>
                        </a:ext>
                      </a:extLst>
                    </a:blip>
                    <a:srcRect l="874" t="1600" r="874" b="2826"/>
                    <a:stretch>
                      <a:fillRect/>
                    </a:stretch>
                  </pic:blipFill>
                  <pic:spPr>
                    <a:xfrm>
                      <a:off x="0" y="0"/>
                      <a:ext cx="5216795" cy="2157118"/>
                    </a:xfrm>
                    <a:prstGeom prst="rect">
                      <a:avLst/>
                    </a:prstGeom>
                    <a:noFill/>
                    <a:ln>
                      <a:noFill/>
                    </a:ln>
                  </pic:spPr>
                </pic:pic>
              </a:graphicData>
            </a:graphic>
          </wp:inline>
        </w:drawing>
      </w:r>
    </w:p>
    <w:p w14:paraId="7C2DDBAE">
      <w:pPr>
        <w:keepNext/>
        <w:keepLines w:val="0"/>
        <w:pageBreakBefore w:val="0"/>
        <w:widowControl w:val="0"/>
        <w:kinsoku/>
        <w:wordWrap/>
        <w:autoSpaceDE/>
        <w:autoSpaceDN/>
        <w:bidi w:val="0"/>
        <w:ind w:left="0" w:leftChars="0" w:firstLine="0" w:firstLineChars="0"/>
        <w:jc w:val="center"/>
        <w:rPr>
          <w:rFonts w:hint="default" w:ascii="Times New Roman" w:hAnsi="Times New Roman" w:cs="Times New Roman"/>
          <w:highlight w:val="none"/>
          <w:lang w:val="en-US" w:eastAsia="zh-CN"/>
        </w:rPr>
      </w:pPr>
      <w:r>
        <w:rPr>
          <w:rFonts w:hint="default" w:ascii="Times New Roman" w:hAnsi="Times New Roman" w:cs="Times New Roman"/>
          <w:highlight w:val="none"/>
          <w:lang w:val="en-US" w:eastAsia="zh-CN"/>
        </w:rPr>
        <w:t>图</w:t>
      </w:r>
      <w:r>
        <w:rPr>
          <w:rFonts w:hint="eastAsia" w:cs="Times New Roman"/>
          <w:highlight w:val="none"/>
          <w:lang w:val="en-US" w:eastAsia="zh-CN"/>
        </w:rPr>
        <w:t>7.5</w:t>
      </w:r>
      <w:r>
        <w:rPr>
          <w:rFonts w:hint="default" w:ascii="Times New Roman" w:hAnsi="Times New Roman" w:cs="Times New Roman"/>
          <w:highlight w:val="none"/>
          <w:lang w:val="en-US" w:eastAsia="zh-CN"/>
        </w:rPr>
        <w:t>-</w:t>
      </w:r>
      <w:r>
        <w:rPr>
          <w:rFonts w:hint="eastAsia" w:ascii="Times New Roman" w:hAnsi="Times New Roman" w:cs="Times New Roman"/>
          <w:highlight w:val="none"/>
          <w:lang w:val="en-US" w:eastAsia="zh-CN"/>
        </w:rPr>
        <w:t>2</w:t>
      </w:r>
      <w:r>
        <w:rPr>
          <w:rFonts w:hint="default" w:ascii="Times New Roman" w:hAnsi="Times New Roman" w:cs="Times New Roman"/>
          <w:highlight w:val="none"/>
          <w:lang w:val="en-US" w:eastAsia="zh-CN"/>
        </w:rPr>
        <w:t xml:space="preserve"> 测试采样现场</w:t>
      </w:r>
    </w:p>
    <w:p w14:paraId="19B4384C">
      <w:pPr>
        <w:pStyle w:val="5"/>
        <w:keepNext/>
        <w:keepLines w:val="0"/>
        <w:pageBreakBefore w:val="0"/>
        <w:widowControl w:val="0"/>
        <w:kinsoku/>
        <w:wordWrap/>
        <w:autoSpaceDE/>
        <w:autoSpaceDN/>
        <w:bidi w:val="0"/>
        <w:rPr>
          <w:rFonts w:hint="default"/>
          <w:highlight w:val="none"/>
        </w:rPr>
      </w:pPr>
      <w:r>
        <w:rPr>
          <w:rFonts w:hint="default"/>
          <w:highlight w:val="none"/>
        </w:rPr>
        <w:t>苯</w:t>
      </w:r>
      <w:bookmarkEnd w:id="117"/>
      <w:r>
        <w:rPr>
          <w:rFonts w:hint="default"/>
          <w:highlight w:val="none"/>
        </w:rPr>
        <w:t xml:space="preserve"> </w:t>
      </w:r>
    </w:p>
    <w:p w14:paraId="4B3A88AB">
      <w:pPr>
        <w:keepNext/>
        <w:keepLines w:val="0"/>
        <w:pageBreakBefore w:val="0"/>
        <w:widowControl w:val="0"/>
        <w:kinsoku/>
        <w:wordWrap/>
        <w:autoSpaceDE/>
        <w:autoSpaceDN/>
        <w:bidi w:val="0"/>
        <w:spacing w:line="360" w:lineRule="auto"/>
        <w:ind w:firstLine="480" w:firstLineChars="200"/>
        <w:rPr>
          <w:rFonts w:hint="default" w:ascii="Times New Roman" w:hAnsi="Times New Roman" w:cs="Times New Roman"/>
          <w:kern w:val="0"/>
          <w:sz w:val="24"/>
          <w:highlight w:val="none"/>
        </w:rPr>
      </w:pPr>
      <w:r>
        <w:rPr>
          <w:rFonts w:hint="default" w:ascii="Times New Roman" w:hAnsi="Times New Roman" w:cs="Times New Roman"/>
          <w:kern w:val="0"/>
          <w:sz w:val="24"/>
          <w:highlight w:val="none"/>
        </w:rPr>
        <w:t>苯具有强致癌性，因此在本标准控制指标筛选中优先选择此物种进行排放浓度监测。</w:t>
      </w:r>
    </w:p>
    <w:p w14:paraId="70D46742">
      <w:pPr>
        <w:keepNext/>
        <w:keepLines w:val="0"/>
        <w:pageBreakBefore w:val="0"/>
        <w:widowControl w:val="0"/>
        <w:kinsoku/>
        <w:wordWrap/>
        <w:autoSpaceDE/>
        <w:autoSpaceDN/>
        <w:bidi w:val="0"/>
        <w:spacing w:line="360" w:lineRule="auto"/>
        <w:ind w:firstLine="482" w:firstLineChars="200"/>
        <w:rPr>
          <w:rFonts w:hint="default" w:ascii="Times New Roman" w:hAnsi="Times New Roman" w:eastAsia="宋体" w:cs="Times New Roman"/>
          <w:b/>
          <w:bCs/>
          <w:kern w:val="0"/>
          <w:sz w:val="24"/>
          <w:highlight w:val="none"/>
          <w:lang w:val="en-US" w:eastAsia="zh-CN"/>
        </w:rPr>
      </w:pPr>
      <w:r>
        <w:rPr>
          <w:rFonts w:hint="default" w:ascii="Times New Roman" w:hAnsi="Times New Roman" w:cs="Times New Roman"/>
          <w:b/>
          <w:bCs/>
          <w:kern w:val="0"/>
          <w:sz w:val="24"/>
          <w:highlight w:val="none"/>
          <w:lang w:eastAsia="zh-CN"/>
        </w:rPr>
        <w:t>（</w:t>
      </w:r>
      <w:r>
        <w:rPr>
          <w:rFonts w:hint="default" w:ascii="Times New Roman" w:hAnsi="Times New Roman" w:cs="Times New Roman"/>
          <w:b/>
          <w:bCs/>
          <w:kern w:val="0"/>
          <w:sz w:val="24"/>
          <w:highlight w:val="none"/>
          <w:lang w:val="en-US" w:eastAsia="zh-CN"/>
        </w:rPr>
        <w:t>1</w:t>
      </w:r>
      <w:r>
        <w:rPr>
          <w:rFonts w:hint="default" w:ascii="Times New Roman" w:hAnsi="Times New Roman" w:cs="Times New Roman"/>
          <w:b/>
          <w:bCs/>
          <w:kern w:val="0"/>
          <w:sz w:val="24"/>
          <w:highlight w:val="none"/>
          <w:lang w:eastAsia="zh-CN"/>
        </w:rPr>
        <w:t>）</w:t>
      </w:r>
      <w:r>
        <w:rPr>
          <w:rFonts w:hint="default" w:ascii="Times New Roman" w:hAnsi="Times New Roman" w:cs="Times New Roman"/>
          <w:b/>
          <w:bCs/>
          <w:kern w:val="0"/>
          <w:sz w:val="24"/>
          <w:highlight w:val="none"/>
          <w:lang w:val="en-US" w:eastAsia="zh-CN"/>
        </w:rPr>
        <w:t>调研实测</w:t>
      </w:r>
    </w:p>
    <w:p w14:paraId="2B7412E1">
      <w:pPr>
        <w:keepNext/>
        <w:keepLines w:val="0"/>
        <w:pageBreakBefore w:val="0"/>
        <w:widowControl w:val="0"/>
        <w:kinsoku/>
        <w:wordWrap/>
        <w:autoSpaceDE/>
        <w:autoSpaceDN/>
        <w:bidi w:val="0"/>
        <w:spacing w:line="360" w:lineRule="auto"/>
        <w:ind w:firstLine="480" w:firstLineChars="200"/>
        <w:rPr>
          <w:rFonts w:hint="default" w:ascii="Times New Roman" w:hAnsi="Times New Roman" w:cs="Times New Roman"/>
          <w:color w:val="000000"/>
          <w:kern w:val="0"/>
          <w:sz w:val="24"/>
          <w:highlight w:val="none"/>
          <w:vertAlign w:val="baseline"/>
          <w:lang w:val="en-US" w:eastAsia="zh-CN"/>
        </w:rPr>
      </w:pPr>
      <w:r>
        <w:rPr>
          <w:rFonts w:hint="default" w:ascii="Times New Roman" w:hAnsi="Times New Roman" w:cs="Times New Roman"/>
          <w:kern w:val="0"/>
          <w:sz w:val="24"/>
          <w:highlight w:val="none"/>
          <w:lang w:val="en-US" w:eastAsia="zh-CN"/>
        </w:rPr>
        <w:t>下表</w:t>
      </w:r>
      <w:r>
        <w:rPr>
          <w:rFonts w:hint="default" w:ascii="Times New Roman" w:hAnsi="Times New Roman" w:cs="Times New Roman"/>
          <w:kern w:val="0"/>
          <w:sz w:val="24"/>
          <w:highlight w:val="none"/>
        </w:rPr>
        <w:t>为喷烤漆房有组织废气中苯的排放浓度情况，</w:t>
      </w:r>
      <w:r>
        <w:rPr>
          <w:rFonts w:hint="default" w:ascii="Times New Roman" w:hAnsi="Times New Roman" w:cs="Times New Roman"/>
          <w:kern w:val="0"/>
          <w:sz w:val="24"/>
          <w:highlight w:val="none"/>
          <w:lang w:val="en-US" w:eastAsia="zh-CN"/>
        </w:rPr>
        <w:t>74个排气筒</w:t>
      </w:r>
      <w:r>
        <w:rPr>
          <w:rFonts w:hint="default" w:ascii="Times New Roman" w:hAnsi="Times New Roman" w:cs="Times New Roman"/>
          <w:kern w:val="0"/>
          <w:sz w:val="24"/>
          <w:highlight w:val="none"/>
        </w:rPr>
        <w:t>数据均来自于</w:t>
      </w:r>
      <w:r>
        <w:rPr>
          <w:rFonts w:hint="default" w:ascii="Times New Roman" w:hAnsi="Times New Roman" w:cs="Times New Roman"/>
          <w:kern w:val="0"/>
          <w:sz w:val="24"/>
          <w:highlight w:val="none"/>
          <w:lang w:eastAsia="zh-CN"/>
        </w:rPr>
        <w:t>编制组</w:t>
      </w:r>
      <w:r>
        <w:rPr>
          <w:rFonts w:hint="default" w:ascii="Times New Roman" w:hAnsi="Times New Roman" w:cs="Times New Roman"/>
          <w:kern w:val="0"/>
          <w:sz w:val="24"/>
          <w:highlight w:val="none"/>
        </w:rPr>
        <w:t>实测</w:t>
      </w:r>
      <w:r>
        <w:rPr>
          <w:rFonts w:hint="default" w:ascii="Times New Roman" w:hAnsi="Times New Roman" w:cs="Times New Roman"/>
          <w:kern w:val="0"/>
          <w:sz w:val="24"/>
          <w:highlight w:val="none"/>
          <w:lang w:eastAsia="zh-CN"/>
        </w:rPr>
        <w:t>。</w:t>
      </w:r>
      <w:r>
        <w:rPr>
          <w:rFonts w:hint="default" w:ascii="Times New Roman" w:hAnsi="Times New Roman" w:cs="Times New Roman"/>
          <w:sz w:val="24"/>
          <w:highlight w:val="none"/>
        </w:rPr>
        <w:t>浓度</w:t>
      </w:r>
      <w:r>
        <w:rPr>
          <w:rFonts w:hint="default" w:ascii="Times New Roman" w:hAnsi="Times New Roman" w:cs="Times New Roman"/>
          <w:sz w:val="24"/>
          <w:highlight w:val="none"/>
          <w:lang w:eastAsia="zh-CN"/>
        </w:rPr>
        <w:t>分布在</w:t>
      </w:r>
      <w:r>
        <w:rPr>
          <w:rFonts w:hint="default" w:ascii="Times New Roman" w:hAnsi="Times New Roman" w:cs="Times New Roman"/>
          <w:sz w:val="24"/>
          <w:highlight w:val="none"/>
          <w:lang w:val="en-US" w:eastAsia="zh-CN"/>
        </w:rPr>
        <w:t>未检出（＜0.0015）</w:t>
      </w:r>
      <w:r>
        <w:rPr>
          <w:rFonts w:hint="default" w:ascii="Times New Roman" w:hAnsi="Times New Roman" w:cs="Times New Roman"/>
          <w:sz w:val="24"/>
          <w:highlight w:val="none"/>
        </w:rPr>
        <w:t>~0.</w:t>
      </w:r>
      <w:r>
        <w:rPr>
          <w:rFonts w:hint="default" w:ascii="Times New Roman" w:hAnsi="Times New Roman" w:cs="Times New Roman"/>
          <w:sz w:val="24"/>
          <w:highlight w:val="none"/>
          <w:lang w:val="en-US" w:eastAsia="zh-CN"/>
        </w:rPr>
        <w:t>126</w:t>
      </w:r>
      <w:r>
        <w:rPr>
          <w:rFonts w:hint="eastAsia" w:cs="Times New Roman"/>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color w:val="000000"/>
          <w:kern w:val="0"/>
          <w:sz w:val="24"/>
          <w:highlight w:val="none"/>
          <w:lang w:val="en-US" w:eastAsia="zh-CN"/>
        </w:rPr>
        <w:t>平均</w:t>
      </w:r>
      <w:r>
        <w:rPr>
          <w:rFonts w:hint="eastAsia" w:ascii="Times New Roman" w:hAnsi="Times New Roman" w:cs="Times New Roman"/>
          <w:color w:val="000000"/>
          <w:kern w:val="0"/>
          <w:sz w:val="24"/>
          <w:highlight w:val="none"/>
          <w:lang w:val="en-US" w:eastAsia="zh-CN"/>
        </w:rPr>
        <w:t>浓度</w:t>
      </w:r>
      <w:r>
        <w:rPr>
          <w:rFonts w:hint="default" w:ascii="Times New Roman" w:hAnsi="Times New Roman" w:cs="Times New Roman"/>
          <w:color w:val="000000"/>
          <w:kern w:val="0"/>
          <w:sz w:val="24"/>
          <w:highlight w:val="none"/>
          <w:lang w:val="en-US" w:eastAsia="zh-CN"/>
        </w:rPr>
        <w:t>为0.029±0.025</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vertAlign w:val="baseline"/>
          <w:lang w:eastAsia="zh-CN"/>
        </w:rPr>
        <w:t>，</w:t>
      </w:r>
      <w:r>
        <w:rPr>
          <w:rFonts w:hint="default" w:ascii="Times New Roman" w:hAnsi="Times New Roman" w:cs="Times New Roman"/>
          <w:sz w:val="24"/>
          <w:highlight w:val="none"/>
        </w:rPr>
        <w:t>所有</w:t>
      </w:r>
      <w:r>
        <w:rPr>
          <w:rFonts w:hint="default" w:ascii="Times New Roman" w:hAnsi="Times New Roman" w:cs="Times New Roman"/>
          <w:sz w:val="24"/>
          <w:highlight w:val="none"/>
          <w:lang w:val="en-US" w:eastAsia="zh-CN"/>
        </w:rPr>
        <w:t>排气筒</w:t>
      </w:r>
      <w:r>
        <w:rPr>
          <w:rFonts w:hint="default" w:ascii="Times New Roman" w:hAnsi="Times New Roman" w:cs="Times New Roman"/>
          <w:sz w:val="24"/>
          <w:highlight w:val="none"/>
        </w:rPr>
        <w:t>有组织废气苯的排放浓度均小于</w:t>
      </w:r>
      <w:r>
        <w:rPr>
          <w:rFonts w:hint="default" w:ascii="Times New Roman" w:hAnsi="Times New Roman" w:cs="Times New Roman"/>
          <w:sz w:val="24"/>
          <w:highlight w:val="none"/>
          <w:lang w:val="en-US" w:eastAsia="zh-CN"/>
        </w:rPr>
        <w:t>四川省现执行的</w:t>
      </w:r>
      <w:r>
        <w:rPr>
          <w:rFonts w:hint="default" w:ascii="Times New Roman" w:hAnsi="Times New Roman" w:cs="Times New Roman"/>
          <w:sz w:val="24"/>
          <w:highlight w:val="none"/>
        </w:rPr>
        <w:t>《四川省固定源大气挥发性有机物排放标准》（DB51/2377</w:t>
      </w:r>
      <w:r>
        <w:rPr>
          <w:rFonts w:hint="eastAsia" w:ascii="Times New Roman" w:hAnsi="Times New Roman" w:cs="Times New Roman"/>
          <w:sz w:val="24"/>
          <w:highlight w:val="none"/>
          <w:lang w:eastAsia="zh-CN"/>
        </w:rPr>
        <w:t>—</w:t>
      </w:r>
      <w:r>
        <w:rPr>
          <w:rFonts w:hint="default" w:ascii="Times New Roman" w:hAnsi="Times New Roman" w:cs="Times New Roman"/>
          <w:sz w:val="24"/>
          <w:highlight w:val="none"/>
        </w:rPr>
        <w:t>20</w:t>
      </w:r>
      <w:r>
        <w:rPr>
          <w:rFonts w:hint="default" w:ascii="Times New Roman" w:hAnsi="Times New Roman" w:cs="Times New Roman"/>
          <w:sz w:val="24"/>
          <w:highlight w:val="none"/>
          <w:lang w:val="en-US" w:eastAsia="zh-CN"/>
        </w:rPr>
        <w:t>17</w:t>
      </w:r>
      <w:r>
        <w:rPr>
          <w:rFonts w:hint="default" w:ascii="Times New Roman" w:hAnsi="Times New Roman" w:cs="Times New Roman"/>
          <w:sz w:val="24"/>
          <w:highlight w:val="none"/>
        </w:rPr>
        <w:t>）</w:t>
      </w:r>
      <w:r>
        <w:rPr>
          <w:rFonts w:hint="default" w:ascii="Times New Roman" w:hAnsi="Times New Roman" w:cs="Times New Roman"/>
          <w:sz w:val="24"/>
          <w:highlight w:val="none"/>
          <w:lang w:eastAsia="zh-CN"/>
        </w:rPr>
        <w:t>，</w:t>
      </w:r>
      <w:r>
        <w:rPr>
          <w:rFonts w:hint="default" w:ascii="Times New Roman" w:hAnsi="Times New Roman" w:cs="Times New Roman"/>
          <w:color w:val="000000"/>
          <w:kern w:val="0"/>
          <w:sz w:val="24"/>
          <w:highlight w:val="none"/>
          <w:lang w:val="en-US" w:eastAsia="zh-CN"/>
        </w:rPr>
        <w:t>达标率100%。</w:t>
      </w:r>
      <w:r>
        <w:rPr>
          <w:rFonts w:hint="default" w:ascii="Times New Roman" w:hAnsi="Times New Roman" w:cs="Times New Roman"/>
          <w:sz w:val="24"/>
          <w:highlight w:val="none"/>
          <w:lang w:val="en-US" w:eastAsia="zh-CN"/>
        </w:rPr>
        <w:t>仅1个排气筒浓度超过0.1</w:t>
      </w:r>
      <w:r>
        <w:rPr>
          <w:rFonts w:hint="eastAsia" w:cs="Times New Roman"/>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vertAlign w:val="baseline"/>
          <w:lang w:eastAsia="zh-CN"/>
        </w:rPr>
        <w:t>，</w:t>
      </w:r>
      <w:r>
        <w:rPr>
          <w:rFonts w:hint="default" w:ascii="Times New Roman" w:hAnsi="Times New Roman" w:cs="Times New Roman"/>
          <w:color w:val="000000"/>
          <w:kern w:val="0"/>
          <w:sz w:val="24"/>
          <w:highlight w:val="none"/>
          <w:vertAlign w:val="baseline"/>
          <w:lang w:val="en-US" w:eastAsia="zh-CN"/>
        </w:rPr>
        <w:t>实测浓度为0.126</w:t>
      </w:r>
      <w:r>
        <w:rPr>
          <w:rFonts w:hint="eastAsia" w:cs="Times New Roman"/>
          <w:color w:val="000000"/>
          <w:kern w:val="0"/>
          <w:sz w:val="24"/>
          <w:highlight w:val="none"/>
          <w:vertAlign w:val="baseli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vertAlign w:val="baseline"/>
          <w:lang w:eastAsia="zh-CN"/>
        </w:rPr>
        <w:t>，</w:t>
      </w:r>
      <w:r>
        <w:rPr>
          <w:rFonts w:hint="default" w:ascii="Times New Roman" w:hAnsi="Times New Roman" w:cs="Times New Roman"/>
          <w:color w:val="000000"/>
          <w:kern w:val="0"/>
          <w:sz w:val="24"/>
          <w:highlight w:val="none"/>
          <w:vertAlign w:val="baseline"/>
          <w:lang w:val="en-US" w:eastAsia="zh-CN"/>
        </w:rPr>
        <w:t>该企业为一类汽车维修，治理设施为二级活性炭；其余排口浓度均低于</w:t>
      </w:r>
      <w:r>
        <w:rPr>
          <w:rFonts w:hint="default" w:ascii="Times New Roman" w:hAnsi="Times New Roman" w:cs="Times New Roman"/>
          <w:sz w:val="24"/>
          <w:highlight w:val="none"/>
          <w:lang w:val="en-US" w:eastAsia="zh-CN"/>
        </w:rPr>
        <w:t>0.1</w:t>
      </w:r>
      <w:r>
        <w:rPr>
          <w:rFonts w:hint="eastAsia" w:cs="Times New Roman"/>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vertAlign w:val="baseline"/>
          <w:lang w:eastAsia="zh-CN"/>
        </w:rPr>
        <w:t>，</w:t>
      </w:r>
      <w:r>
        <w:rPr>
          <w:rFonts w:hint="default" w:ascii="Times New Roman" w:hAnsi="Times New Roman" w:cs="Times New Roman"/>
          <w:color w:val="000000"/>
          <w:kern w:val="0"/>
          <w:sz w:val="24"/>
          <w:highlight w:val="none"/>
          <w:vertAlign w:val="baseline"/>
          <w:lang w:val="en-US" w:eastAsia="zh-CN"/>
        </w:rPr>
        <w:t>浓度范围为未检出~0.071</w:t>
      </w:r>
      <w:r>
        <w:rPr>
          <w:rFonts w:hint="eastAsia" w:cs="Times New Roman"/>
          <w:color w:val="000000"/>
          <w:kern w:val="0"/>
          <w:sz w:val="24"/>
          <w:highlight w:val="none"/>
          <w:vertAlign w:val="baseli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vertAlign w:val="baseline"/>
          <w:lang w:eastAsia="zh-CN"/>
        </w:rPr>
        <w:t>，</w:t>
      </w:r>
      <w:r>
        <w:rPr>
          <w:rFonts w:hint="default" w:ascii="Times New Roman" w:hAnsi="Times New Roman" w:cs="Times New Roman"/>
          <w:color w:val="000000"/>
          <w:kern w:val="0"/>
          <w:sz w:val="24"/>
          <w:highlight w:val="none"/>
          <w:vertAlign w:val="baseline"/>
          <w:lang w:val="en-US" w:eastAsia="zh-CN"/>
        </w:rPr>
        <w:t>其中80%企业治理设施采用UV光氧+活性炭或二级活性炭</w:t>
      </w:r>
      <w:r>
        <w:rPr>
          <w:rFonts w:hint="default" w:ascii="Times New Roman" w:hAnsi="Times New Roman" w:cs="Times New Roman"/>
          <w:color w:val="000000"/>
          <w:kern w:val="0"/>
          <w:sz w:val="24"/>
          <w:highlight w:val="none"/>
          <w:vertAlign w:val="baseline"/>
          <w:lang w:eastAsia="zh-CN"/>
        </w:rPr>
        <w:t>。</w:t>
      </w:r>
    </w:p>
    <w:p w14:paraId="42E45A23">
      <w:pPr>
        <w:keepNext/>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kern w:val="0"/>
          <w:szCs w:val="21"/>
          <w:highlight w:val="none"/>
          <w:lang w:val="en-US" w:eastAsia="zh-CN"/>
        </w:rPr>
      </w:pPr>
      <w:r>
        <w:rPr>
          <w:rFonts w:hint="eastAsia" w:cs="Times New Roman"/>
          <w:kern w:val="0"/>
          <w:szCs w:val="21"/>
          <w:highlight w:val="none"/>
          <w:lang w:val="en-US" w:eastAsia="zh-CN"/>
        </w:rPr>
        <w:t>表7.5</w:t>
      </w:r>
      <w:r>
        <w:rPr>
          <w:rFonts w:hint="default" w:ascii="Times New Roman" w:hAnsi="Times New Roman" w:cs="Times New Roman"/>
          <w:kern w:val="0"/>
          <w:szCs w:val="21"/>
          <w:highlight w:val="none"/>
          <w:lang w:val="en-US" w:eastAsia="zh-CN"/>
        </w:rPr>
        <w:t>-</w:t>
      </w:r>
      <w:r>
        <w:rPr>
          <w:rFonts w:hint="eastAsia" w:cs="Times New Roman"/>
          <w:kern w:val="0"/>
          <w:szCs w:val="21"/>
          <w:highlight w:val="none"/>
          <w:lang w:val="en-US" w:eastAsia="zh-CN"/>
        </w:rPr>
        <w:t>2</w:t>
      </w:r>
      <w:r>
        <w:rPr>
          <w:rFonts w:hint="default" w:ascii="Times New Roman" w:hAnsi="Times New Roman" w:cs="Times New Roman"/>
          <w:kern w:val="0"/>
          <w:szCs w:val="21"/>
          <w:highlight w:val="none"/>
          <w:lang w:val="en-US" w:eastAsia="zh-CN"/>
        </w:rPr>
        <w:t xml:space="preserve"> 调研实测有组织废气苯的排放浓度测试结果</w:t>
      </w:r>
    </w:p>
    <w:tbl>
      <w:tblPr>
        <w:tblStyle w:val="21"/>
        <w:tblW w:w="4998" w:type="pct"/>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313"/>
        <w:gridCol w:w="1562"/>
        <w:gridCol w:w="1314"/>
        <w:gridCol w:w="1563"/>
        <w:gridCol w:w="1314"/>
        <w:gridCol w:w="1459"/>
      </w:tblGrid>
      <w:tr w14:paraId="65FC1D9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33" w:hRule="atLeast"/>
          <w:tblHeader/>
          <w:jc w:val="center"/>
        </w:trPr>
        <w:tc>
          <w:tcPr>
            <w:tcW w:w="7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266493">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21"/>
                <w:szCs w:val="21"/>
                <w:highlight w:val="none"/>
                <w:u w:val="none"/>
                <w:lang w:val="en-US" w:eastAsia="zh-CN" w:bidi="ar"/>
              </w:rPr>
            </w:pPr>
            <w:r>
              <w:rPr>
                <w:rFonts w:hint="default" w:ascii="Times New Roman" w:hAnsi="Times New Roman" w:eastAsia="宋体" w:cs="Times New Roman"/>
                <w:b/>
                <w:bCs/>
                <w:i w:val="0"/>
                <w:iCs w:val="0"/>
                <w:color w:val="000000"/>
                <w:kern w:val="0"/>
                <w:sz w:val="21"/>
                <w:szCs w:val="21"/>
                <w:highlight w:val="none"/>
                <w:u w:val="none"/>
                <w:lang w:val="en-US" w:eastAsia="zh-CN" w:bidi="ar"/>
              </w:rPr>
              <w:t>序号</w:t>
            </w:r>
          </w:p>
        </w:tc>
        <w:tc>
          <w:tcPr>
            <w:tcW w:w="9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1442C8">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21"/>
                <w:szCs w:val="21"/>
                <w:highlight w:val="none"/>
                <w:u w:val="none"/>
                <w:lang w:val="en-US" w:eastAsia="zh-CN" w:bidi="ar"/>
              </w:rPr>
            </w:pPr>
            <w:r>
              <w:rPr>
                <w:rFonts w:hint="default" w:ascii="Times New Roman" w:hAnsi="Times New Roman" w:eastAsia="宋体" w:cs="Times New Roman"/>
                <w:b/>
                <w:bCs/>
                <w:i w:val="0"/>
                <w:iCs w:val="0"/>
                <w:color w:val="000000"/>
                <w:kern w:val="0"/>
                <w:sz w:val="21"/>
                <w:szCs w:val="21"/>
                <w:highlight w:val="none"/>
                <w:u w:val="none"/>
                <w:lang w:val="en-US" w:eastAsia="zh-CN" w:bidi="ar"/>
              </w:rPr>
              <w:t>苯浓度（mg/m</w:t>
            </w:r>
            <w:r>
              <w:rPr>
                <w:rFonts w:hint="default" w:ascii="Times New Roman" w:hAnsi="Times New Roman" w:eastAsia="宋体" w:cs="Times New Roman"/>
                <w:b/>
                <w:bCs/>
                <w:i w:val="0"/>
                <w:iCs w:val="0"/>
                <w:color w:val="000000"/>
                <w:kern w:val="0"/>
                <w:sz w:val="21"/>
                <w:szCs w:val="21"/>
                <w:highlight w:val="none"/>
                <w:u w:val="none"/>
                <w:vertAlign w:val="superscript"/>
                <w:lang w:val="en-US" w:eastAsia="zh-CN" w:bidi="ar"/>
              </w:rPr>
              <w:t>3</w:t>
            </w:r>
            <w:r>
              <w:rPr>
                <w:rFonts w:hint="default" w:ascii="Times New Roman" w:hAnsi="Times New Roman" w:eastAsia="宋体" w:cs="Times New Roman"/>
                <w:b/>
                <w:bCs/>
                <w:i w:val="0"/>
                <w:iCs w:val="0"/>
                <w:color w:val="000000"/>
                <w:kern w:val="0"/>
                <w:sz w:val="21"/>
                <w:szCs w:val="21"/>
                <w:highlight w:val="none"/>
                <w:u w:val="none"/>
                <w:lang w:val="en-US" w:eastAsia="zh-CN" w:bidi="ar"/>
              </w:rPr>
              <w:t>）</w:t>
            </w:r>
          </w:p>
        </w:tc>
        <w:tc>
          <w:tcPr>
            <w:tcW w:w="7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CFDE5B">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21"/>
                <w:szCs w:val="21"/>
                <w:highlight w:val="none"/>
                <w:u w:val="none"/>
                <w:lang w:val="en-US" w:eastAsia="zh-CN" w:bidi="ar"/>
              </w:rPr>
            </w:pPr>
            <w:r>
              <w:rPr>
                <w:rFonts w:hint="default" w:ascii="Times New Roman" w:hAnsi="Times New Roman" w:eastAsia="宋体" w:cs="Times New Roman"/>
                <w:b/>
                <w:bCs/>
                <w:i w:val="0"/>
                <w:iCs w:val="0"/>
                <w:color w:val="000000"/>
                <w:kern w:val="0"/>
                <w:sz w:val="21"/>
                <w:szCs w:val="21"/>
                <w:highlight w:val="none"/>
                <w:u w:val="none"/>
                <w:lang w:val="en-US" w:eastAsia="zh-CN" w:bidi="ar"/>
              </w:rPr>
              <w:t>序号</w:t>
            </w:r>
          </w:p>
        </w:tc>
        <w:tc>
          <w:tcPr>
            <w:tcW w:w="9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5FFBDD">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21"/>
                <w:szCs w:val="21"/>
                <w:highlight w:val="none"/>
                <w:u w:val="none"/>
                <w:lang w:val="en-US" w:eastAsia="zh-CN" w:bidi="ar"/>
              </w:rPr>
            </w:pPr>
            <w:r>
              <w:rPr>
                <w:rFonts w:hint="default" w:ascii="Times New Roman" w:hAnsi="Times New Roman" w:eastAsia="宋体" w:cs="Times New Roman"/>
                <w:b/>
                <w:bCs/>
                <w:i w:val="0"/>
                <w:iCs w:val="0"/>
                <w:color w:val="000000"/>
                <w:kern w:val="0"/>
                <w:sz w:val="21"/>
                <w:szCs w:val="21"/>
                <w:highlight w:val="none"/>
                <w:u w:val="none"/>
                <w:lang w:val="en-US" w:eastAsia="zh-CN" w:bidi="ar"/>
              </w:rPr>
              <w:t>苯浓度（mg/m</w:t>
            </w:r>
            <w:r>
              <w:rPr>
                <w:rFonts w:hint="default" w:ascii="Times New Roman" w:hAnsi="Times New Roman" w:eastAsia="宋体" w:cs="Times New Roman"/>
                <w:b/>
                <w:bCs/>
                <w:i w:val="0"/>
                <w:iCs w:val="0"/>
                <w:color w:val="000000"/>
                <w:kern w:val="0"/>
                <w:sz w:val="21"/>
                <w:szCs w:val="21"/>
                <w:highlight w:val="none"/>
                <w:u w:val="none"/>
                <w:vertAlign w:val="superscript"/>
                <w:lang w:val="en-US" w:eastAsia="zh-CN" w:bidi="ar"/>
              </w:rPr>
              <w:t>3</w:t>
            </w:r>
            <w:r>
              <w:rPr>
                <w:rFonts w:hint="default" w:ascii="Times New Roman" w:hAnsi="Times New Roman" w:eastAsia="宋体" w:cs="Times New Roman"/>
                <w:b/>
                <w:bCs/>
                <w:i w:val="0"/>
                <w:iCs w:val="0"/>
                <w:color w:val="000000"/>
                <w:kern w:val="0"/>
                <w:sz w:val="21"/>
                <w:szCs w:val="21"/>
                <w:highlight w:val="none"/>
                <w:u w:val="none"/>
                <w:lang w:val="en-US" w:eastAsia="zh-CN" w:bidi="ar"/>
              </w:rPr>
              <w:t>）</w:t>
            </w:r>
          </w:p>
        </w:tc>
        <w:tc>
          <w:tcPr>
            <w:tcW w:w="7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241460">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21"/>
                <w:szCs w:val="21"/>
                <w:highlight w:val="none"/>
                <w:u w:val="none"/>
                <w:lang w:val="en-US" w:eastAsia="zh-CN" w:bidi="ar"/>
              </w:rPr>
            </w:pPr>
            <w:r>
              <w:rPr>
                <w:rFonts w:hint="default" w:ascii="Times New Roman" w:hAnsi="Times New Roman" w:eastAsia="宋体" w:cs="Times New Roman"/>
                <w:b/>
                <w:bCs/>
                <w:i w:val="0"/>
                <w:iCs w:val="0"/>
                <w:color w:val="000000"/>
                <w:kern w:val="0"/>
                <w:sz w:val="21"/>
                <w:szCs w:val="21"/>
                <w:highlight w:val="none"/>
                <w:u w:val="none"/>
                <w:lang w:val="en-US" w:eastAsia="zh-CN" w:bidi="ar"/>
              </w:rPr>
              <w:t>序号</w:t>
            </w:r>
          </w:p>
        </w:tc>
        <w:tc>
          <w:tcPr>
            <w:tcW w:w="85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93103C">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21"/>
                <w:szCs w:val="21"/>
                <w:highlight w:val="none"/>
                <w:u w:val="none"/>
                <w:lang w:val="en-US" w:eastAsia="zh-CN" w:bidi="ar"/>
              </w:rPr>
            </w:pPr>
            <w:r>
              <w:rPr>
                <w:rFonts w:hint="default" w:ascii="Times New Roman" w:hAnsi="Times New Roman" w:eastAsia="宋体" w:cs="Times New Roman"/>
                <w:b/>
                <w:bCs/>
                <w:i w:val="0"/>
                <w:iCs w:val="0"/>
                <w:color w:val="000000"/>
                <w:kern w:val="0"/>
                <w:sz w:val="21"/>
                <w:szCs w:val="21"/>
                <w:highlight w:val="none"/>
                <w:u w:val="none"/>
                <w:lang w:val="en-US" w:eastAsia="zh-CN" w:bidi="ar"/>
              </w:rPr>
              <w:t>苯浓度（mg/m</w:t>
            </w:r>
            <w:r>
              <w:rPr>
                <w:rFonts w:hint="default" w:ascii="Times New Roman" w:hAnsi="Times New Roman" w:eastAsia="宋体" w:cs="Times New Roman"/>
                <w:b/>
                <w:bCs/>
                <w:i w:val="0"/>
                <w:iCs w:val="0"/>
                <w:color w:val="000000"/>
                <w:kern w:val="0"/>
                <w:sz w:val="21"/>
                <w:szCs w:val="21"/>
                <w:highlight w:val="none"/>
                <w:u w:val="none"/>
                <w:vertAlign w:val="superscript"/>
                <w:lang w:val="en-US" w:eastAsia="zh-CN" w:bidi="ar"/>
              </w:rPr>
              <w:t>3</w:t>
            </w:r>
            <w:r>
              <w:rPr>
                <w:rFonts w:hint="default" w:ascii="Times New Roman" w:hAnsi="Times New Roman" w:eastAsia="宋体" w:cs="Times New Roman"/>
                <w:b/>
                <w:bCs/>
                <w:i w:val="0"/>
                <w:iCs w:val="0"/>
                <w:color w:val="000000"/>
                <w:kern w:val="0"/>
                <w:sz w:val="21"/>
                <w:szCs w:val="21"/>
                <w:highlight w:val="none"/>
                <w:u w:val="none"/>
                <w:lang w:val="en-US" w:eastAsia="zh-CN" w:bidi="ar"/>
              </w:rPr>
              <w:t>）</w:t>
            </w:r>
          </w:p>
        </w:tc>
      </w:tr>
      <w:tr w14:paraId="3E790D8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7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DC735B">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排气筒1</w:t>
            </w:r>
          </w:p>
        </w:tc>
        <w:tc>
          <w:tcPr>
            <w:tcW w:w="156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A04D5D">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DBFAE6">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排气筒26</w:t>
            </w:r>
          </w:p>
        </w:tc>
        <w:tc>
          <w:tcPr>
            <w:tcW w:w="15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802DDB">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0.005 </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9C4FBF">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排气筒51</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544262">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0.071 </w:t>
            </w:r>
          </w:p>
        </w:tc>
      </w:tr>
      <w:tr w14:paraId="452D5EB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7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CB1697">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排气筒2</w:t>
            </w:r>
          </w:p>
        </w:tc>
        <w:tc>
          <w:tcPr>
            <w:tcW w:w="156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A9EB31">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87E0E8">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排气筒27</w:t>
            </w:r>
          </w:p>
        </w:tc>
        <w:tc>
          <w:tcPr>
            <w:tcW w:w="15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74A5CF">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0.004 </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3792D1">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排气筒52</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F4669E">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0.126 </w:t>
            </w:r>
          </w:p>
        </w:tc>
      </w:tr>
      <w:tr w14:paraId="049A4E4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7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AF7BCF">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排气筒3</w:t>
            </w:r>
          </w:p>
        </w:tc>
        <w:tc>
          <w:tcPr>
            <w:tcW w:w="156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8EA26A">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706E70">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排气筒28</w:t>
            </w:r>
          </w:p>
        </w:tc>
        <w:tc>
          <w:tcPr>
            <w:tcW w:w="15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A278F6">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084A3F">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排气筒53</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3283D8">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r>
      <w:tr w14:paraId="66C0020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7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945585">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排气筒4</w:t>
            </w:r>
          </w:p>
        </w:tc>
        <w:tc>
          <w:tcPr>
            <w:tcW w:w="156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1C5AF2">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0.012 </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10E280">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排气筒29</w:t>
            </w:r>
          </w:p>
        </w:tc>
        <w:tc>
          <w:tcPr>
            <w:tcW w:w="15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316A6B">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0.009 </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3E0E66">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排气筒54</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62B000">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0.025 </w:t>
            </w:r>
          </w:p>
        </w:tc>
      </w:tr>
      <w:tr w14:paraId="28A72D9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7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E98ABA">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排气筒5</w:t>
            </w:r>
          </w:p>
        </w:tc>
        <w:tc>
          <w:tcPr>
            <w:tcW w:w="156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AA2F6D">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B386CB">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排气筒30</w:t>
            </w:r>
          </w:p>
        </w:tc>
        <w:tc>
          <w:tcPr>
            <w:tcW w:w="15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996D6A">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F8DA88">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排气筒55</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F83061">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0.067 </w:t>
            </w:r>
          </w:p>
        </w:tc>
      </w:tr>
      <w:tr w14:paraId="546466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7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60B78A">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排气筒6</w:t>
            </w:r>
          </w:p>
        </w:tc>
        <w:tc>
          <w:tcPr>
            <w:tcW w:w="156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AB1081">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E2909C">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排气筒31</w:t>
            </w:r>
          </w:p>
        </w:tc>
        <w:tc>
          <w:tcPr>
            <w:tcW w:w="15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F900A8">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1ADBCF">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排气筒56</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E437CA">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0.031 </w:t>
            </w:r>
          </w:p>
        </w:tc>
      </w:tr>
      <w:tr w14:paraId="480C8B6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7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700F43">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排气筒7</w:t>
            </w:r>
          </w:p>
        </w:tc>
        <w:tc>
          <w:tcPr>
            <w:tcW w:w="156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2D2314">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9CE353">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排气筒32</w:t>
            </w:r>
          </w:p>
        </w:tc>
        <w:tc>
          <w:tcPr>
            <w:tcW w:w="15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31C263">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0.004 </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3F0CB5">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排气筒57</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E22FC2">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0.009 </w:t>
            </w:r>
          </w:p>
        </w:tc>
      </w:tr>
      <w:tr w14:paraId="6B6E01F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7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CA22AE">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排气筒8</w:t>
            </w:r>
          </w:p>
        </w:tc>
        <w:tc>
          <w:tcPr>
            <w:tcW w:w="156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F5B1C1">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0.004 </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17300A">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排气筒33</w:t>
            </w:r>
          </w:p>
        </w:tc>
        <w:tc>
          <w:tcPr>
            <w:tcW w:w="15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E2854E">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495688">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排气筒58</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7B2A66">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r>
      <w:tr w14:paraId="2A0E8E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7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AA3A61">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排气筒9</w:t>
            </w:r>
          </w:p>
        </w:tc>
        <w:tc>
          <w:tcPr>
            <w:tcW w:w="156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81D97E">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A72C07">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排气筒34</w:t>
            </w:r>
          </w:p>
        </w:tc>
        <w:tc>
          <w:tcPr>
            <w:tcW w:w="15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2099BE">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A90F3F">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排气筒59</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9C0093">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0.050 </w:t>
            </w:r>
          </w:p>
        </w:tc>
      </w:tr>
      <w:tr w14:paraId="3E79FE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jc w:val="center"/>
        </w:trPr>
        <w:tc>
          <w:tcPr>
            <w:tcW w:w="7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5C5CC9">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排气筒10</w:t>
            </w:r>
          </w:p>
        </w:tc>
        <w:tc>
          <w:tcPr>
            <w:tcW w:w="156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5A1984">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0.006 </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3E63E2">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排气筒35</w:t>
            </w:r>
          </w:p>
        </w:tc>
        <w:tc>
          <w:tcPr>
            <w:tcW w:w="15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DC440F">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341591">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排气筒60</w:t>
            </w:r>
          </w:p>
        </w:tc>
        <w:tc>
          <w:tcPr>
            <w:tcW w:w="145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15345E">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0.005 </w:t>
            </w:r>
          </w:p>
        </w:tc>
      </w:tr>
      <w:tr w14:paraId="140ED4E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jc w:val="center"/>
        </w:trPr>
        <w:tc>
          <w:tcPr>
            <w:tcW w:w="7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CD3F9F">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排气筒11</w:t>
            </w:r>
          </w:p>
        </w:tc>
        <w:tc>
          <w:tcPr>
            <w:tcW w:w="156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0C7590">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D795B5">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排气筒36</w:t>
            </w:r>
          </w:p>
        </w:tc>
        <w:tc>
          <w:tcPr>
            <w:tcW w:w="15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0A7507">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0.018 </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3BB575">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排气筒61</w:t>
            </w:r>
          </w:p>
        </w:tc>
        <w:tc>
          <w:tcPr>
            <w:tcW w:w="145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7ACB91">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0.006 </w:t>
            </w:r>
          </w:p>
        </w:tc>
      </w:tr>
      <w:tr w14:paraId="3F122A8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jc w:val="center"/>
        </w:trPr>
        <w:tc>
          <w:tcPr>
            <w:tcW w:w="7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FC5D6A">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排气筒12</w:t>
            </w:r>
          </w:p>
        </w:tc>
        <w:tc>
          <w:tcPr>
            <w:tcW w:w="156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F37F3A">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EC5E97">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排气筒37</w:t>
            </w:r>
          </w:p>
        </w:tc>
        <w:tc>
          <w:tcPr>
            <w:tcW w:w="15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6C1167">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0.008 </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3A522A">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排气筒62</w:t>
            </w:r>
          </w:p>
        </w:tc>
        <w:tc>
          <w:tcPr>
            <w:tcW w:w="145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F9ACF8">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r>
      <w:tr w14:paraId="68F6B1D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jc w:val="center"/>
        </w:trPr>
        <w:tc>
          <w:tcPr>
            <w:tcW w:w="7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CA9E16">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排气筒13</w:t>
            </w:r>
          </w:p>
        </w:tc>
        <w:tc>
          <w:tcPr>
            <w:tcW w:w="156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E0A5F5">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8767E0">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排气筒38</w:t>
            </w:r>
          </w:p>
        </w:tc>
        <w:tc>
          <w:tcPr>
            <w:tcW w:w="15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5A324D">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0.043 </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BD7BE7">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排气筒63</w:t>
            </w:r>
          </w:p>
        </w:tc>
        <w:tc>
          <w:tcPr>
            <w:tcW w:w="145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C3D5F8">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0.017 </w:t>
            </w:r>
          </w:p>
        </w:tc>
      </w:tr>
      <w:tr w14:paraId="1CA40F2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jc w:val="center"/>
        </w:trPr>
        <w:tc>
          <w:tcPr>
            <w:tcW w:w="7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9A6514">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排气筒14</w:t>
            </w:r>
          </w:p>
        </w:tc>
        <w:tc>
          <w:tcPr>
            <w:tcW w:w="156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EAF5C0">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0.039 </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5F1A12">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排气筒39</w:t>
            </w:r>
          </w:p>
        </w:tc>
        <w:tc>
          <w:tcPr>
            <w:tcW w:w="15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B6B11C">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0.056 </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5DDFA1">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排气筒64</w:t>
            </w:r>
          </w:p>
        </w:tc>
        <w:tc>
          <w:tcPr>
            <w:tcW w:w="145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D60A5D">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0.005 </w:t>
            </w:r>
          </w:p>
        </w:tc>
      </w:tr>
      <w:tr w14:paraId="00BD85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jc w:val="center"/>
        </w:trPr>
        <w:tc>
          <w:tcPr>
            <w:tcW w:w="7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DC414A">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排气筒15</w:t>
            </w:r>
          </w:p>
        </w:tc>
        <w:tc>
          <w:tcPr>
            <w:tcW w:w="156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0C8AFD">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0.036 </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34A4C7">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排气筒40</w:t>
            </w:r>
          </w:p>
        </w:tc>
        <w:tc>
          <w:tcPr>
            <w:tcW w:w="15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510365">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E64E41">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排气筒65</w:t>
            </w:r>
          </w:p>
        </w:tc>
        <w:tc>
          <w:tcPr>
            <w:tcW w:w="145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BCF6C3">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r>
      <w:tr w14:paraId="2EB7856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jc w:val="center"/>
        </w:trPr>
        <w:tc>
          <w:tcPr>
            <w:tcW w:w="7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0C3031">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排气筒16</w:t>
            </w:r>
          </w:p>
        </w:tc>
        <w:tc>
          <w:tcPr>
            <w:tcW w:w="156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AA6D58">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0.028 </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F685F6">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排气筒41</w:t>
            </w:r>
          </w:p>
        </w:tc>
        <w:tc>
          <w:tcPr>
            <w:tcW w:w="15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3F8830">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0.030 </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6F34BB">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排气筒66</w:t>
            </w:r>
          </w:p>
        </w:tc>
        <w:tc>
          <w:tcPr>
            <w:tcW w:w="145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E63269">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0.007 </w:t>
            </w:r>
          </w:p>
        </w:tc>
      </w:tr>
      <w:tr w14:paraId="27A6D8C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jc w:val="center"/>
        </w:trPr>
        <w:tc>
          <w:tcPr>
            <w:tcW w:w="7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FA0CA1">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排气筒17</w:t>
            </w:r>
          </w:p>
        </w:tc>
        <w:tc>
          <w:tcPr>
            <w:tcW w:w="156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6EAFCB">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A30E12">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排气筒42</w:t>
            </w:r>
          </w:p>
        </w:tc>
        <w:tc>
          <w:tcPr>
            <w:tcW w:w="15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CB0CD2">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8CF95D">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排气筒67</w:t>
            </w:r>
          </w:p>
        </w:tc>
        <w:tc>
          <w:tcPr>
            <w:tcW w:w="145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FB844B">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0.011 </w:t>
            </w:r>
          </w:p>
        </w:tc>
      </w:tr>
      <w:tr w14:paraId="75BD283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jc w:val="center"/>
        </w:trPr>
        <w:tc>
          <w:tcPr>
            <w:tcW w:w="7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C72926">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排气筒18</w:t>
            </w:r>
          </w:p>
        </w:tc>
        <w:tc>
          <w:tcPr>
            <w:tcW w:w="156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C00A23">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0.027 </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20D278">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排气筒43</w:t>
            </w:r>
          </w:p>
        </w:tc>
        <w:tc>
          <w:tcPr>
            <w:tcW w:w="15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3BA66C">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0.022 </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6550C8">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排气筒68</w:t>
            </w:r>
          </w:p>
        </w:tc>
        <w:tc>
          <w:tcPr>
            <w:tcW w:w="145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FDA32B">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r>
      <w:tr w14:paraId="7917BCA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jc w:val="center"/>
        </w:trPr>
        <w:tc>
          <w:tcPr>
            <w:tcW w:w="7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EDF459">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排气筒19</w:t>
            </w:r>
          </w:p>
        </w:tc>
        <w:tc>
          <w:tcPr>
            <w:tcW w:w="156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31CFDA">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424604">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排气筒44</w:t>
            </w:r>
          </w:p>
        </w:tc>
        <w:tc>
          <w:tcPr>
            <w:tcW w:w="15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91D52C">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0.045 </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39A079">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排气筒69</w:t>
            </w:r>
          </w:p>
        </w:tc>
        <w:tc>
          <w:tcPr>
            <w:tcW w:w="145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026D84">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r>
      <w:tr w14:paraId="191772E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jc w:val="center"/>
        </w:trPr>
        <w:tc>
          <w:tcPr>
            <w:tcW w:w="7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8AA3D9">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排气筒20</w:t>
            </w:r>
          </w:p>
        </w:tc>
        <w:tc>
          <w:tcPr>
            <w:tcW w:w="156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05973A">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0.028 </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8882D4">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排气筒45</w:t>
            </w:r>
          </w:p>
        </w:tc>
        <w:tc>
          <w:tcPr>
            <w:tcW w:w="15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9DF030">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0.046 </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DE260A">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排气筒70</w:t>
            </w:r>
          </w:p>
        </w:tc>
        <w:tc>
          <w:tcPr>
            <w:tcW w:w="145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7C64E3">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r>
      <w:tr w14:paraId="144CCA7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jc w:val="center"/>
        </w:trPr>
        <w:tc>
          <w:tcPr>
            <w:tcW w:w="7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8B570F">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排气筒21</w:t>
            </w:r>
          </w:p>
        </w:tc>
        <w:tc>
          <w:tcPr>
            <w:tcW w:w="156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B55A3D">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E81A4F">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排气筒46</w:t>
            </w:r>
          </w:p>
        </w:tc>
        <w:tc>
          <w:tcPr>
            <w:tcW w:w="15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92959C">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0.060 </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711EAB">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排气筒71</w:t>
            </w:r>
          </w:p>
        </w:tc>
        <w:tc>
          <w:tcPr>
            <w:tcW w:w="145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521932">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r>
      <w:tr w14:paraId="5FEB272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jc w:val="center"/>
        </w:trPr>
        <w:tc>
          <w:tcPr>
            <w:tcW w:w="7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857B9E">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排气筒22</w:t>
            </w:r>
          </w:p>
        </w:tc>
        <w:tc>
          <w:tcPr>
            <w:tcW w:w="156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6E71FA">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C1DBAA">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排气筒47</w:t>
            </w:r>
          </w:p>
        </w:tc>
        <w:tc>
          <w:tcPr>
            <w:tcW w:w="15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050B26">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0.042 </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413E81">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排气筒72</w:t>
            </w:r>
          </w:p>
        </w:tc>
        <w:tc>
          <w:tcPr>
            <w:tcW w:w="145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1CD307">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r>
      <w:tr w14:paraId="59BF884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jc w:val="center"/>
        </w:trPr>
        <w:tc>
          <w:tcPr>
            <w:tcW w:w="7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DB3672">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排气筒23</w:t>
            </w:r>
          </w:p>
        </w:tc>
        <w:tc>
          <w:tcPr>
            <w:tcW w:w="156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FCFBE5">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2F4F5C">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排气筒48</w:t>
            </w:r>
          </w:p>
        </w:tc>
        <w:tc>
          <w:tcPr>
            <w:tcW w:w="15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3B78E4">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0.049 </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A4E0DA">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排气筒73</w:t>
            </w:r>
          </w:p>
        </w:tc>
        <w:tc>
          <w:tcPr>
            <w:tcW w:w="145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599CDF">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r>
      <w:tr w14:paraId="11B020C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jc w:val="center"/>
        </w:trPr>
        <w:tc>
          <w:tcPr>
            <w:tcW w:w="7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5B51C3">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排气筒24</w:t>
            </w:r>
          </w:p>
        </w:tc>
        <w:tc>
          <w:tcPr>
            <w:tcW w:w="156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C0A7E3">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63DF7C">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排气筒49</w:t>
            </w:r>
          </w:p>
        </w:tc>
        <w:tc>
          <w:tcPr>
            <w:tcW w:w="15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14BC03">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0.033 </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4C543A">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排气筒74</w:t>
            </w:r>
          </w:p>
        </w:tc>
        <w:tc>
          <w:tcPr>
            <w:tcW w:w="145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995EC7">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r>
      <w:tr w14:paraId="0A3BDC4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7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B99E5F">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排气筒25</w:t>
            </w:r>
          </w:p>
        </w:tc>
        <w:tc>
          <w:tcPr>
            <w:tcW w:w="156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D2495A">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F2C441">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排气筒50</w:t>
            </w:r>
          </w:p>
        </w:tc>
        <w:tc>
          <w:tcPr>
            <w:tcW w:w="156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C12A91">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FA0F86">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p>
        </w:tc>
        <w:tc>
          <w:tcPr>
            <w:tcW w:w="145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8C4388">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p>
        </w:tc>
      </w:tr>
    </w:tbl>
    <w:p w14:paraId="202772A7">
      <w:pPr>
        <w:keepNext/>
        <w:keepLines w:val="0"/>
        <w:pageBreakBefore w:val="0"/>
        <w:widowControl w:val="0"/>
        <w:kinsoku/>
        <w:wordWrap/>
        <w:autoSpaceDE/>
        <w:autoSpaceDN/>
        <w:bidi w:val="0"/>
        <w:spacing w:line="360" w:lineRule="auto"/>
        <w:ind w:firstLine="482" w:firstLineChars="200"/>
        <w:rPr>
          <w:rFonts w:hint="default" w:ascii="Times New Roman" w:hAnsi="Times New Roman" w:eastAsia="宋体" w:cs="Times New Roman"/>
          <w:b/>
          <w:bCs/>
          <w:kern w:val="0"/>
          <w:sz w:val="24"/>
          <w:highlight w:val="none"/>
          <w:lang w:val="en-US" w:eastAsia="zh-CN"/>
        </w:rPr>
      </w:pPr>
      <w:r>
        <w:rPr>
          <w:rFonts w:hint="default" w:ascii="Times New Roman" w:hAnsi="Times New Roman" w:cs="Times New Roman"/>
          <w:b/>
          <w:bCs/>
          <w:kern w:val="0"/>
          <w:sz w:val="24"/>
          <w:highlight w:val="none"/>
          <w:lang w:eastAsia="zh-CN"/>
        </w:rPr>
        <w:t>（</w:t>
      </w:r>
      <w:r>
        <w:rPr>
          <w:rFonts w:hint="default" w:ascii="Times New Roman" w:hAnsi="Times New Roman" w:cs="Times New Roman"/>
          <w:b/>
          <w:bCs/>
          <w:kern w:val="0"/>
          <w:sz w:val="24"/>
          <w:highlight w:val="none"/>
          <w:lang w:val="en-US" w:eastAsia="zh-CN"/>
        </w:rPr>
        <w:t>2</w:t>
      </w:r>
      <w:r>
        <w:rPr>
          <w:rFonts w:hint="default" w:ascii="Times New Roman" w:hAnsi="Times New Roman" w:cs="Times New Roman"/>
          <w:b/>
          <w:bCs/>
          <w:kern w:val="0"/>
          <w:sz w:val="24"/>
          <w:highlight w:val="none"/>
          <w:lang w:eastAsia="zh-CN"/>
        </w:rPr>
        <w:t>）</w:t>
      </w:r>
      <w:r>
        <w:rPr>
          <w:rFonts w:hint="default" w:ascii="Times New Roman" w:hAnsi="Times New Roman" w:cs="Times New Roman"/>
          <w:b/>
          <w:bCs/>
          <w:kern w:val="0"/>
          <w:sz w:val="24"/>
          <w:highlight w:val="none"/>
          <w:lang w:val="en-US" w:eastAsia="zh-CN"/>
        </w:rPr>
        <w:t>企业自行监测报告</w:t>
      </w:r>
    </w:p>
    <w:p w14:paraId="59FD9BFB">
      <w:pPr>
        <w:keepNext/>
        <w:keepLines w:val="0"/>
        <w:pageBreakBefore w:val="0"/>
        <w:widowControl w:val="0"/>
        <w:kinsoku/>
        <w:wordWrap/>
        <w:autoSpaceDE/>
        <w:autoSpaceDN/>
        <w:bidi w:val="0"/>
        <w:spacing w:line="360" w:lineRule="auto"/>
        <w:ind w:firstLine="480" w:firstLineChars="200"/>
        <w:rPr>
          <w:rFonts w:hint="default" w:ascii="Times New Roman" w:hAnsi="Times New Roman" w:eastAsia="宋体" w:cs="Times New Roman"/>
          <w:color w:val="000000"/>
          <w:kern w:val="0"/>
          <w:sz w:val="24"/>
          <w:highlight w:val="none"/>
          <w:lang w:eastAsia="zh-CN"/>
        </w:rPr>
      </w:pPr>
      <w:r>
        <w:rPr>
          <w:rFonts w:hint="default" w:ascii="Times New Roman" w:hAnsi="Times New Roman" w:cs="Times New Roman"/>
          <w:sz w:val="24"/>
          <w:highlight w:val="none"/>
        </w:rPr>
        <w:t>共计</w:t>
      </w:r>
      <w:r>
        <w:rPr>
          <w:rFonts w:hint="default" w:ascii="Times New Roman" w:hAnsi="Times New Roman" w:cs="Times New Roman"/>
          <w:sz w:val="24"/>
          <w:highlight w:val="none"/>
          <w:lang w:eastAsia="zh-CN"/>
        </w:rPr>
        <w:t>收集到</w:t>
      </w:r>
      <w:r>
        <w:rPr>
          <w:rFonts w:hint="default" w:ascii="Times New Roman" w:hAnsi="Times New Roman" w:cs="Times New Roman"/>
          <w:sz w:val="24"/>
          <w:highlight w:val="none"/>
          <w:lang w:val="en-US" w:eastAsia="zh-CN"/>
        </w:rPr>
        <w:t>213</w:t>
      </w:r>
      <w:r>
        <w:rPr>
          <w:rFonts w:hint="default" w:ascii="Times New Roman" w:hAnsi="Times New Roman" w:cs="Times New Roman"/>
          <w:sz w:val="24"/>
          <w:highlight w:val="none"/>
        </w:rPr>
        <w:t>个企业</w:t>
      </w:r>
      <w:r>
        <w:rPr>
          <w:rFonts w:hint="default" w:ascii="Times New Roman" w:hAnsi="Times New Roman" w:cs="Times New Roman"/>
          <w:sz w:val="24"/>
          <w:highlight w:val="none"/>
          <w:lang w:val="en-US" w:eastAsia="zh-CN"/>
        </w:rPr>
        <w:t>自行监测的</w:t>
      </w:r>
      <w:r>
        <w:rPr>
          <w:rFonts w:hint="default" w:ascii="Times New Roman" w:hAnsi="Times New Roman" w:cs="Times New Roman"/>
          <w:sz w:val="24"/>
          <w:highlight w:val="none"/>
        </w:rPr>
        <w:t>喷烤漆房有组织苯的</w:t>
      </w:r>
      <w:r>
        <w:rPr>
          <w:rFonts w:hint="default" w:ascii="Times New Roman" w:hAnsi="Times New Roman" w:cs="Times New Roman"/>
          <w:sz w:val="24"/>
          <w:highlight w:val="none"/>
          <w:lang w:eastAsia="zh-CN"/>
        </w:rPr>
        <w:t>浓度</w:t>
      </w:r>
      <w:r>
        <w:rPr>
          <w:rFonts w:hint="default" w:ascii="Times New Roman" w:hAnsi="Times New Roman" w:cs="Times New Roman"/>
          <w:sz w:val="24"/>
          <w:highlight w:val="none"/>
        </w:rPr>
        <w:t>数据，浓度范围在</w:t>
      </w:r>
      <w:r>
        <w:rPr>
          <w:rFonts w:hint="default" w:ascii="Times New Roman" w:hAnsi="Times New Roman" w:cs="Times New Roman"/>
          <w:sz w:val="24"/>
          <w:highlight w:val="none"/>
          <w:lang w:val="en-US" w:eastAsia="zh-CN"/>
        </w:rPr>
        <w:t>未检出</w:t>
      </w:r>
      <w:r>
        <w:rPr>
          <w:rFonts w:hint="default" w:ascii="Times New Roman" w:hAnsi="Times New Roman" w:cs="Times New Roman"/>
          <w:sz w:val="24"/>
          <w:highlight w:val="none"/>
        </w:rPr>
        <w:t>~</w:t>
      </w:r>
      <w:r>
        <w:rPr>
          <w:rFonts w:hint="default" w:ascii="Times New Roman" w:hAnsi="Times New Roman" w:cs="Times New Roman"/>
          <w:sz w:val="24"/>
          <w:highlight w:val="none"/>
          <w:lang w:val="en-US" w:eastAsia="zh-CN"/>
        </w:rPr>
        <w:t>1.180</w:t>
      </w:r>
      <w:r>
        <w:rPr>
          <w:rFonts w:hint="default" w:ascii="Times New Roman" w:hAnsi="Times New Roman" w:cs="Times New Roman"/>
          <w:color w:val="000000"/>
          <w:kern w:val="0"/>
          <w:sz w:val="24"/>
          <w:highlight w:val="none"/>
        </w:rPr>
        <w:t xml:space="preserve"> 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color w:val="000000"/>
          <w:kern w:val="0"/>
          <w:sz w:val="24"/>
          <w:highlight w:val="none"/>
          <w:lang w:val="en-US" w:eastAsia="zh-CN"/>
        </w:rPr>
        <w:t>仅1个</w:t>
      </w:r>
      <w:r>
        <w:rPr>
          <w:rFonts w:hint="default" w:ascii="Times New Roman" w:hAnsi="Times New Roman" w:cs="Times New Roman"/>
          <w:color w:val="000000"/>
          <w:kern w:val="0"/>
          <w:sz w:val="24"/>
          <w:highlight w:val="none"/>
        </w:rPr>
        <w:t>排气筒有组织废气苯排放浓度</w:t>
      </w:r>
      <w:r>
        <w:rPr>
          <w:rFonts w:hint="default" w:ascii="Times New Roman" w:hAnsi="Times New Roman" w:cs="Times New Roman"/>
          <w:color w:val="000000"/>
          <w:kern w:val="0"/>
          <w:sz w:val="24"/>
          <w:highlight w:val="none"/>
          <w:lang w:val="en-US" w:eastAsia="zh-CN"/>
        </w:rPr>
        <w:t>超出</w:t>
      </w:r>
      <w:r>
        <w:rPr>
          <w:rFonts w:hint="default" w:ascii="Times New Roman" w:hAnsi="Times New Roman" w:cs="Times New Roman"/>
          <w:color w:val="000000"/>
          <w:kern w:val="0"/>
          <w:sz w:val="24"/>
          <w:highlight w:val="none"/>
        </w:rPr>
        <w:t>四川省现执行的《四川省固定源大气挥发性有机物排放标准》（DB51/2377</w:t>
      </w:r>
      <w:r>
        <w:rPr>
          <w:rFonts w:hint="eastAsia"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rPr>
        <w:t>2017），</w:t>
      </w:r>
      <w:r>
        <w:rPr>
          <w:rFonts w:hint="default" w:ascii="Times New Roman" w:hAnsi="Times New Roman" w:cs="Times New Roman"/>
          <w:color w:val="000000"/>
          <w:kern w:val="0"/>
          <w:sz w:val="24"/>
          <w:highlight w:val="none"/>
          <w:lang w:val="en-US" w:eastAsia="zh-CN"/>
        </w:rPr>
        <w:t>达标率99%</w:t>
      </w:r>
      <w:r>
        <w:rPr>
          <w:rFonts w:hint="default" w:ascii="Times New Roman" w:hAnsi="Times New Roman" w:cs="Times New Roman"/>
          <w:color w:val="000000"/>
          <w:kern w:val="0"/>
          <w:sz w:val="24"/>
          <w:highlight w:val="none"/>
          <w:lang w:eastAsia="zh-CN"/>
        </w:rPr>
        <w:t>。平均</w:t>
      </w:r>
      <w:r>
        <w:rPr>
          <w:rFonts w:hint="default" w:ascii="Times New Roman" w:hAnsi="Times New Roman" w:cs="Times New Roman"/>
          <w:color w:val="000000"/>
          <w:kern w:val="0"/>
          <w:sz w:val="24"/>
          <w:highlight w:val="none"/>
          <w:lang w:val="en-US" w:eastAsia="zh-CN"/>
        </w:rPr>
        <w:t>浓度为0.069±0.165</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vertAlign w:val="baseline"/>
          <w:lang w:eastAsia="zh-CN"/>
        </w:rPr>
        <w:t>，</w:t>
      </w:r>
      <w:r>
        <w:rPr>
          <w:rFonts w:hint="default" w:ascii="Times New Roman" w:hAnsi="Times New Roman" w:cs="Times New Roman"/>
          <w:kern w:val="0"/>
          <w:sz w:val="24"/>
          <w:highlight w:val="none"/>
        </w:rPr>
        <w:t>其中</w:t>
      </w:r>
      <w:r>
        <w:rPr>
          <w:rFonts w:hint="default" w:ascii="Times New Roman" w:hAnsi="Times New Roman" w:cs="Times New Roman"/>
          <w:kern w:val="0"/>
          <w:sz w:val="24"/>
          <w:highlight w:val="none"/>
          <w:lang w:val="en-US" w:eastAsia="zh-CN"/>
        </w:rPr>
        <w:t>101</w:t>
      </w:r>
      <w:r>
        <w:rPr>
          <w:rFonts w:hint="default" w:ascii="Times New Roman" w:hAnsi="Times New Roman" w:cs="Times New Roman"/>
          <w:kern w:val="0"/>
          <w:sz w:val="24"/>
          <w:highlight w:val="none"/>
        </w:rPr>
        <w:t>个排气筒有组织苯为未检出，占比4</w:t>
      </w:r>
      <w:r>
        <w:rPr>
          <w:rFonts w:hint="default" w:ascii="Times New Roman" w:hAnsi="Times New Roman" w:cs="Times New Roman"/>
          <w:kern w:val="0"/>
          <w:sz w:val="24"/>
          <w:highlight w:val="none"/>
          <w:lang w:val="en-US" w:eastAsia="zh-CN"/>
        </w:rPr>
        <w:t>7</w:t>
      </w:r>
      <w:r>
        <w:rPr>
          <w:rFonts w:hint="default" w:ascii="Times New Roman" w:hAnsi="Times New Roman" w:cs="Times New Roman"/>
          <w:kern w:val="0"/>
          <w:sz w:val="24"/>
          <w:highlight w:val="none"/>
        </w:rPr>
        <w:t>%；0~0.1</w:t>
      </w:r>
      <w:r>
        <w:rPr>
          <w:rFonts w:hint="default" w:ascii="Times New Roman" w:hAnsi="Times New Roman" w:cs="Times New Roman"/>
          <w:color w:val="000000"/>
          <w:kern w:val="0"/>
          <w:sz w:val="24"/>
          <w:highlight w:val="none"/>
        </w:rPr>
        <w:t xml:space="preserve"> 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之间占比4</w:t>
      </w:r>
      <w:r>
        <w:rPr>
          <w:rFonts w:hint="default" w:ascii="Times New Roman" w:hAnsi="Times New Roman" w:cs="Times New Roman"/>
          <w:color w:val="000000"/>
          <w:kern w:val="0"/>
          <w:sz w:val="24"/>
          <w:highlight w:val="none"/>
          <w:lang w:val="en-US" w:eastAsia="zh-CN"/>
        </w:rPr>
        <w:t>3</w:t>
      </w:r>
      <w:r>
        <w:rPr>
          <w:rFonts w:hint="default" w:ascii="Times New Roman" w:hAnsi="Times New Roman" w:cs="Times New Roman"/>
          <w:color w:val="000000"/>
          <w:kern w:val="0"/>
          <w:sz w:val="24"/>
          <w:highlight w:val="none"/>
        </w:rPr>
        <w:t>%；</w:t>
      </w:r>
      <w:r>
        <w:rPr>
          <w:rFonts w:hint="default" w:ascii="Times New Roman" w:hAnsi="Times New Roman" w:cs="Times New Roman"/>
          <w:kern w:val="0"/>
          <w:sz w:val="24"/>
          <w:highlight w:val="none"/>
        </w:rPr>
        <w:t>0.1~0.5</w:t>
      </w:r>
      <w:r>
        <w:rPr>
          <w:rFonts w:hint="default" w:ascii="Times New Roman" w:hAnsi="Times New Roman" w:cs="Times New Roman"/>
          <w:color w:val="000000"/>
          <w:kern w:val="0"/>
          <w:sz w:val="24"/>
          <w:highlight w:val="none"/>
        </w:rPr>
        <w:t xml:space="preserve"> 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之间占比</w:t>
      </w:r>
      <w:r>
        <w:rPr>
          <w:rFonts w:hint="default" w:ascii="Times New Roman" w:hAnsi="Times New Roman" w:cs="Times New Roman"/>
          <w:color w:val="000000"/>
          <w:kern w:val="0"/>
          <w:sz w:val="24"/>
          <w:highlight w:val="none"/>
          <w:lang w:val="en-US" w:eastAsia="zh-CN"/>
        </w:rPr>
        <w:t>7</w:t>
      </w:r>
      <w:r>
        <w:rPr>
          <w:rFonts w:hint="default" w:ascii="Times New Roman" w:hAnsi="Times New Roman" w:cs="Times New Roman"/>
          <w:color w:val="000000"/>
          <w:kern w:val="0"/>
          <w:sz w:val="24"/>
          <w:highlight w:val="none"/>
        </w:rPr>
        <w:t>%；0.5</w:t>
      </w:r>
      <w:r>
        <w:rPr>
          <w:rFonts w:hint="default" w:ascii="Times New Roman" w:hAnsi="Times New Roman" w:cs="Times New Roman"/>
          <w:color w:val="000000"/>
          <w:kern w:val="0"/>
          <w:sz w:val="24"/>
          <w:highlight w:val="none"/>
          <w:lang w:val="en-US" w:eastAsia="zh-CN"/>
        </w:rPr>
        <w:t>~1.0</w:t>
      </w:r>
      <w:r>
        <w:rPr>
          <w:rFonts w:hint="default" w:ascii="Times New Roman" w:hAnsi="Times New Roman" w:cs="Times New Roman"/>
          <w:color w:val="000000"/>
          <w:kern w:val="0"/>
          <w:sz w:val="24"/>
          <w:highlight w:val="none"/>
        </w:rPr>
        <w:t xml:space="preserve"> 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占比</w:t>
      </w:r>
      <w:r>
        <w:rPr>
          <w:rFonts w:hint="default" w:ascii="Times New Roman" w:hAnsi="Times New Roman" w:cs="Times New Roman"/>
          <w:color w:val="000000"/>
          <w:kern w:val="0"/>
          <w:sz w:val="24"/>
          <w:highlight w:val="none"/>
          <w:lang w:val="en-US" w:eastAsia="zh-CN"/>
        </w:rPr>
        <w:t>2</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val="en-US" w:eastAsia="zh-CN"/>
        </w:rPr>
        <w:t>大于1.0</w:t>
      </w:r>
      <w:r>
        <w:rPr>
          <w:rFonts w:hint="default" w:ascii="Times New Roman" w:hAnsi="Times New Roman" w:cs="Times New Roman"/>
          <w:color w:val="000000"/>
          <w:kern w:val="0"/>
          <w:sz w:val="24"/>
          <w:highlight w:val="none"/>
        </w:rPr>
        <w:t xml:space="preserve"> 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有</w:t>
      </w:r>
      <w:r>
        <w:rPr>
          <w:rFonts w:hint="default" w:ascii="Times New Roman" w:hAnsi="Times New Roman" w:cs="Times New Roman"/>
          <w:color w:val="000000"/>
          <w:kern w:val="0"/>
          <w:sz w:val="24"/>
          <w:highlight w:val="none"/>
          <w:lang w:val="en-US" w:eastAsia="zh-CN"/>
        </w:rPr>
        <w:t>1</w:t>
      </w:r>
      <w:r>
        <w:rPr>
          <w:rFonts w:hint="default" w:ascii="Times New Roman" w:hAnsi="Times New Roman" w:cs="Times New Roman"/>
          <w:color w:val="000000"/>
          <w:kern w:val="0"/>
          <w:sz w:val="24"/>
          <w:highlight w:val="none"/>
        </w:rPr>
        <w:t>个排气筒，占比</w:t>
      </w:r>
      <w:r>
        <w:rPr>
          <w:rFonts w:hint="default" w:ascii="Times New Roman" w:hAnsi="Times New Roman" w:cs="Times New Roman"/>
          <w:color w:val="000000"/>
          <w:kern w:val="0"/>
          <w:sz w:val="24"/>
          <w:highlight w:val="none"/>
          <w:lang w:val="en-US" w:eastAsia="zh-CN"/>
        </w:rPr>
        <w:t>0.5</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lang w:val="en-US" w:eastAsia="zh-CN"/>
        </w:rPr>
        <w:t>大于</w:t>
      </w:r>
      <w:r>
        <w:rPr>
          <w:rFonts w:hint="default" w:ascii="Times New Roman" w:hAnsi="Times New Roman" w:cs="Times New Roman"/>
          <w:color w:val="000000"/>
          <w:kern w:val="0"/>
          <w:sz w:val="24"/>
          <w:highlight w:val="none"/>
        </w:rPr>
        <w:t>0.5</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vertAlign w:val="baseline"/>
          <w:lang w:val="en-US" w:eastAsia="zh-CN"/>
        </w:rPr>
        <w:t>的5</w:t>
      </w:r>
      <w:r>
        <w:rPr>
          <w:rFonts w:hint="default" w:ascii="Times New Roman" w:hAnsi="Times New Roman" w:cs="Times New Roman"/>
          <w:color w:val="000000"/>
          <w:kern w:val="0"/>
          <w:sz w:val="24"/>
          <w:highlight w:val="none"/>
        </w:rPr>
        <w:t>家排气筒对应的治理措施为</w:t>
      </w:r>
      <w:r>
        <w:rPr>
          <w:rFonts w:hint="default" w:ascii="Times New Roman" w:hAnsi="Times New Roman" w:cs="Times New Roman"/>
          <w:color w:val="000000"/>
          <w:kern w:val="0"/>
          <w:sz w:val="24"/>
          <w:highlight w:val="none"/>
          <w:vertAlign w:val="baseline"/>
          <w:lang w:val="en-US" w:eastAsia="zh-CN"/>
        </w:rPr>
        <w:t>UV光氧+活性炭或二级活性炭</w:t>
      </w:r>
      <w:r>
        <w:rPr>
          <w:rFonts w:hint="default" w:ascii="Times New Roman" w:hAnsi="Times New Roman" w:cs="Times New Roman"/>
          <w:color w:val="000000"/>
          <w:kern w:val="0"/>
          <w:sz w:val="24"/>
          <w:highlight w:val="none"/>
          <w:lang w:eastAsia="zh-CN"/>
        </w:rPr>
        <w:t>。</w:t>
      </w:r>
    </w:p>
    <w:p w14:paraId="7309BB7F">
      <w:pPr>
        <w:keepNext/>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kern w:val="0"/>
          <w:szCs w:val="21"/>
          <w:highlight w:val="none"/>
          <w:lang w:val="en-US" w:eastAsia="zh-CN"/>
        </w:rPr>
      </w:pPr>
      <w:r>
        <w:rPr>
          <w:rFonts w:hint="eastAsia" w:cs="Times New Roman"/>
          <w:kern w:val="0"/>
          <w:szCs w:val="21"/>
          <w:highlight w:val="none"/>
          <w:lang w:val="en-US" w:eastAsia="zh-CN"/>
        </w:rPr>
        <w:t>表7.5</w:t>
      </w:r>
      <w:r>
        <w:rPr>
          <w:rFonts w:hint="default" w:ascii="Times New Roman" w:hAnsi="Times New Roman" w:cs="Times New Roman"/>
          <w:kern w:val="0"/>
          <w:szCs w:val="21"/>
          <w:highlight w:val="none"/>
          <w:lang w:val="en-US" w:eastAsia="zh-CN"/>
        </w:rPr>
        <w:t>-</w:t>
      </w:r>
      <w:r>
        <w:rPr>
          <w:rFonts w:hint="eastAsia" w:cs="Times New Roman"/>
          <w:kern w:val="0"/>
          <w:szCs w:val="21"/>
          <w:highlight w:val="none"/>
          <w:lang w:val="en-US" w:eastAsia="zh-CN"/>
        </w:rPr>
        <w:t>3</w:t>
      </w:r>
      <w:r>
        <w:rPr>
          <w:rFonts w:hint="default" w:ascii="Times New Roman" w:hAnsi="Times New Roman" w:cs="Times New Roman"/>
          <w:kern w:val="0"/>
          <w:szCs w:val="21"/>
          <w:highlight w:val="none"/>
          <w:lang w:val="en-US" w:eastAsia="zh-CN"/>
        </w:rPr>
        <w:t xml:space="preserve"> 企业自行监测有组织废气苯的排放浓度情况</w:t>
      </w:r>
    </w:p>
    <w:tbl>
      <w:tblPr>
        <w:tblStyle w:val="21"/>
        <w:tblW w:w="8869"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2523"/>
        <w:gridCol w:w="1269"/>
        <w:gridCol w:w="1269"/>
        <w:gridCol w:w="1269"/>
        <w:gridCol w:w="1269"/>
        <w:gridCol w:w="1270"/>
      </w:tblGrid>
      <w:tr w14:paraId="2CFE0D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40" w:hRule="atLeast"/>
          <w:jc w:val="center"/>
        </w:trPr>
        <w:tc>
          <w:tcPr>
            <w:tcW w:w="190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4F0FCB">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21"/>
                <w:szCs w:val="21"/>
                <w:highlight w:val="none"/>
                <w:u w:val="none"/>
              </w:rPr>
            </w:pPr>
            <w:r>
              <w:rPr>
                <w:rFonts w:hint="default" w:ascii="Times New Roman" w:hAnsi="Times New Roman" w:eastAsia="宋体" w:cs="Times New Roman"/>
                <w:b/>
                <w:bCs/>
                <w:i w:val="0"/>
                <w:iCs w:val="0"/>
                <w:color w:val="000000"/>
                <w:kern w:val="0"/>
                <w:sz w:val="21"/>
                <w:szCs w:val="21"/>
                <w:highlight w:val="none"/>
                <w:u w:val="none"/>
                <w:lang w:val="en-US" w:eastAsia="zh-CN" w:bidi="ar"/>
              </w:rPr>
              <w:t>苯浓度（mg/m</w:t>
            </w:r>
            <w:r>
              <w:rPr>
                <w:rFonts w:hint="default" w:ascii="Times New Roman" w:hAnsi="Times New Roman" w:eastAsia="宋体" w:cs="Times New Roman"/>
                <w:b/>
                <w:bCs/>
                <w:i w:val="0"/>
                <w:iCs w:val="0"/>
                <w:color w:val="000000"/>
                <w:kern w:val="0"/>
                <w:sz w:val="21"/>
                <w:szCs w:val="21"/>
                <w:highlight w:val="none"/>
                <w:u w:val="none"/>
                <w:vertAlign w:val="superscript"/>
                <w:lang w:val="en-US" w:eastAsia="zh-CN" w:bidi="ar"/>
              </w:rPr>
              <w:t>3</w:t>
            </w:r>
            <w:r>
              <w:rPr>
                <w:rFonts w:hint="default" w:ascii="Times New Roman" w:hAnsi="Times New Roman" w:eastAsia="宋体" w:cs="Times New Roman"/>
                <w:b/>
                <w:bCs/>
                <w:i w:val="0"/>
                <w:iCs w:val="0"/>
                <w:color w:val="000000"/>
                <w:kern w:val="0"/>
                <w:sz w:val="21"/>
                <w:szCs w:val="21"/>
                <w:highlight w:val="none"/>
                <w:u w:val="none"/>
                <w:lang w:val="en-US" w:eastAsia="zh-CN" w:bidi="ar"/>
              </w:rPr>
              <w:t>）</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92B866">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21"/>
                <w:szCs w:val="21"/>
                <w:highlight w:val="none"/>
                <w:u w:val="none"/>
              </w:rPr>
            </w:pPr>
            <w:r>
              <w:rPr>
                <w:rFonts w:hint="default" w:ascii="Times New Roman" w:hAnsi="Times New Roman" w:eastAsia="宋体" w:cs="Times New Roman"/>
                <w:b/>
                <w:bCs/>
                <w:i w:val="0"/>
                <w:iCs w:val="0"/>
                <w:color w:val="000000"/>
                <w:kern w:val="0"/>
                <w:sz w:val="21"/>
                <w:szCs w:val="21"/>
                <w:highlight w:val="none"/>
                <w:u w:val="none"/>
                <w:lang w:val="en-US" w:eastAsia="zh-CN" w:bidi="ar"/>
              </w:rPr>
              <w:t>未检出</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A3A468">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21"/>
                <w:szCs w:val="21"/>
                <w:highlight w:val="none"/>
                <w:u w:val="none"/>
              </w:rPr>
            </w:pPr>
            <w:r>
              <w:rPr>
                <w:rFonts w:hint="default" w:ascii="Times New Roman" w:hAnsi="Times New Roman" w:eastAsia="宋体" w:cs="Times New Roman"/>
                <w:b/>
                <w:bCs/>
                <w:i w:val="0"/>
                <w:iCs w:val="0"/>
                <w:color w:val="000000"/>
                <w:kern w:val="0"/>
                <w:sz w:val="21"/>
                <w:szCs w:val="21"/>
                <w:highlight w:val="none"/>
                <w:u w:val="none"/>
                <w:lang w:val="en-US" w:eastAsia="zh-CN" w:bidi="ar"/>
              </w:rPr>
              <w:t>0~0.1</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C4F43A">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21"/>
                <w:szCs w:val="21"/>
                <w:highlight w:val="none"/>
                <w:u w:val="none"/>
              </w:rPr>
            </w:pPr>
            <w:r>
              <w:rPr>
                <w:rFonts w:hint="default" w:ascii="Times New Roman" w:hAnsi="Times New Roman" w:eastAsia="宋体" w:cs="Times New Roman"/>
                <w:b/>
                <w:bCs/>
                <w:i w:val="0"/>
                <w:iCs w:val="0"/>
                <w:color w:val="000000"/>
                <w:kern w:val="0"/>
                <w:sz w:val="21"/>
                <w:szCs w:val="21"/>
                <w:highlight w:val="none"/>
                <w:u w:val="none"/>
                <w:lang w:val="en-US" w:eastAsia="zh-CN" w:bidi="ar"/>
              </w:rPr>
              <w:t>0.1~0.5</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4EC9FD">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21"/>
                <w:szCs w:val="21"/>
                <w:highlight w:val="none"/>
                <w:u w:val="none"/>
              </w:rPr>
            </w:pPr>
            <w:r>
              <w:rPr>
                <w:rFonts w:hint="default" w:ascii="Times New Roman" w:hAnsi="Times New Roman" w:eastAsia="宋体" w:cs="Times New Roman"/>
                <w:b/>
                <w:bCs/>
                <w:i w:val="0"/>
                <w:iCs w:val="0"/>
                <w:color w:val="000000"/>
                <w:kern w:val="0"/>
                <w:sz w:val="21"/>
                <w:szCs w:val="21"/>
                <w:highlight w:val="none"/>
                <w:u w:val="none"/>
                <w:lang w:val="en-US" w:eastAsia="zh-CN" w:bidi="ar"/>
              </w:rPr>
              <w:t>0.5~1.0</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62B7D8">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21"/>
                <w:szCs w:val="21"/>
                <w:highlight w:val="none"/>
                <w:u w:val="none"/>
              </w:rPr>
            </w:pPr>
            <w:r>
              <w:rPr>
                <w:rFonts w:hint="default" w:ascii="Times New Roman" w:hAnsi="Times New Roman" w:eastAsia="宋体" w:cs="Times New Roman"/>
                <w:b/>
                <w:bCs/>
                <w:i w:val="0"/>
                <w:iCs w:val="0"/>
                <w:color w:val="000000"/>
                <w:kern w:val="0"/>
                <w:sz w:val="21"/>
                <w:szCs w:val="21"/>
                <w:highlight w:val="none"/>
                <w:u w:val="none"/>
                <w:lang w:val="en-US" w:eastAsia="zh-CN" w:bidi="ar"/>
              </w:rPr>
              <w:t>＞1.0</w:t>
            </w:r>
          </w:p>
        </w:tc>
      </w:tr>
      <w:tr w14:paraId="36C07AD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9961E4">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排气筒数量（个）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1201F1">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101</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75B1DC">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92</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245D0A">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15</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A880F5">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4</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65848C">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w:t>
            </w:r>
          </w:p>
        </w:tc>
      </w:tr>
      <w:tr w14:paraId="4FE009D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CAB456">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占比（%）</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1CAA84">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47.4%</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DF6A64">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43.2%</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9D0693">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7.0%</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D724E5">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1.9%</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A13048">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0.5%</w:t>
            </w:r>
          </w:p>
        </w:tc>
      </w:tr>
    </w:tbl>
    <w:p w14:paraId="293FD9BD">
      <w:pPr>
        <w:keepNext/>
        <w:keepLines w:val="0"/>
        <w:pageBreakBefore w:val="0"/>
        <w:widowControl w:val="0"/>
        <w:kinsoku/>
        <w:wordWrap/>
        <w:autoSpaceDE/>
        <w:autoSpaceDN/>
        <w:bidi w:val="0"/>
        <w:spacing w:line="360" w:lineRule="auto"/>
        <w:ind w:firstLine="482" w:firstLineChars="200"/>
        <w:rPr>
          <w:rFonts w:hint="default" w:ascii="Times New Roman" w:hAnsi="Times New Roman" w:cs="Times New Roman"/>
          <w:b/>
          <w:bCs/>
          <w:kern w:val="0"/>
          <w:sz w:val="24"/>
          <w:highlight w:val="none"/>
          <w:lang w:val="en-US" w:eastAsia="zh-CN"/>
        </w:rPr>
      </w:pPr>
      <w:r>
        <w:rPr>
          <w:rFonts w:hint="default" w:ascii="Times New Roman" w:hAnsi="Times New Roman" w:cs="Times New Roman"/>
          <w:b/>
          <w:bCs/>
          <w:kern w:val="0"/>
          <w:sz w:val="24"/>
          <w:highlight w:val="none"/>
          <w:lang w:val="en-US" w:eastAsia="zh-CN"/>
        </w:rPr>
        <w:t>（3）综合对比</w:t>
      </w:r>
    </w:p>
    <w:p w14:paraId="68ABCB70">
      <w:pPr>
        <w:keepNext/>
        <w:keepLines w:val="0"/>
        <w:pageBreakBefore w:val="0"/>
        <w:widowControl w:val="0"/>
        <w:kinsoku/>
        <w:wordWrap/>
        <w:autoSpaceDE/>
        <w:autoSpaceDN/>
        <w:bidi w:val="0"/>
        <w:spacing w:line="360" w:lineRule="auto"/>
        <w:ind w:firstLine="480" w:firstLineChars="200"/>
        <w:rPr>
          <w:rFonts w:hint="default" w:ascii="Times New Roman" w:hAnsi="Times New Roman" w:cs="Times New Roman"/>
          <w:color w:val="000000"/>
          <w:kern w:val="0"/>
          <w:sz w:val="24"/>
          <w:highlight w:val="none"/>
          <w:lang w:val="en-US" w:eastAsia="zh-CN"/>
        </w:rPr>
      </w:pPr>
      <w:r>
        <w:rPr>
          <w:rFonts w:hint="default" w:ascii="Times New Roman" w:hAnsi="Times New Roman" w:cs="Times New Roman"/>
          <w:color w:val="000000"/>
          <w:kern w:val="0"/>
          <w:sz w:val="24"/>
          <w:highlight w:val="none"/>
          <w:lang w:val="en-US" w:eastAsia="zh-CN"/>
        </w:rPr>
        <w:t>调研实测</w:t>
      </w:r>
      <w:r>
        <w:rPr>
          <w:rFonts w:hint="default" w:ascii="Times New Roman" w:hAnsi="Times New Roman" w:cs="Times New Roman"/>
          <w:color w:val="000000"/>
          <w:kern w:val="0"/>
          <w:sz w:val="24"/>
          <w:highlight w:val="none"/>
        </w:rPr>
        <w:t>和</w:t>
      </w:r>
      <w:r>
        <w:rPr>
          <w:rFonts w:hint="default" w:ascii="Times New Roman" w:hAnsi="Times New Roman" w:cs="Times New Roman"/>
          <w:color w:val="000000"/>
          <w:kern w:val="0"/>
          <w:sz w:val="24"/>
          <w:highlight w:val="none"/>
          <w:lang w:val="en-US" w:eastAsia="zh-CN"/>
        </w:rPr>
        <w:t>企业自行监测的苯浓度</w:t>
      </w:r>
      <w:r>
        <w:rPr>
          <w:rFonts w:hint="default" w:ascii="Times New Roman" w:hAnsi="Times New Roman" w:cs="Times New Roman"/>
          <w:color w:val="000000"/>
          <w:kern w:val="0"/>
          <w:sz w:val="24"/>
          <w:highlight w:val="none"/>
        </w:rPr>
        <w:t>数据</w:t>
      </w:r>
      <w:r>
        <w:rPr>
          <w:rFonts w:hint="default" w:ascii="Times New Roman" w:hAnsi="Times New Roman" w:cs="Times New Roman"/>
          <w:color w:val="000000"/>
          <w:kern w:val="0"/>
          <w:sz w:val="24"/>
          <w:highlight w:val="none"/>
          <w:lang w:eastAsia="zh-CN"/>
        </w:rPr>
        <w:t>总体在同一水平，综合</w:t>
      </w:r>
      <w:r>
        <w:rPr>
          <w:rFonts w:hint="default" w:ascii="Times New Roman" w:hAnsi="Times New Roman" w:cs="Times New Roman"/>
          <w:color w:val="000000"/>
          <w:kern w:val="0"/>
          <w:sz w:val="24"/>
          <w:highlight w:val="none"/>
          <w:lang w:val="en-US" w:eastAsia="zh-CN"/>
        </w:rPr>
        <w:t>287个排气筒监测数据，</w:t>
      </w:r>
      <w:r>
        <w:rPr>
          <w:rFonts w:hint="default" w:ascii="Times New Roman" w:hAnsi="Times New Roman" w:cs="Times New Roman"/>
          <w:b/>
          <w:bCs/>
          <w:color w:val="000000"/>
          <w:kern w:val="0"/>
          <w:sz w:val="24"/>
          <w:highlight w:val="none"/>
        </w:rPr>
        <w:t>约</w:t>
      </w:r>
      <w:r>
        <w:rPr>
          <w:rFonts w:hint="default" w:ascii="Times New Roman" w:hAnsi="Times New Roman" w:cs="Times New Roman"/>
          <w:b/>
          <w:bCs/>
          <w:color w:val="000000"/>
          <w:kern w:val="0"/>
          <w:sz w:val="24"/>
          <w:highlight w:val="none"/>
          <w:lang w:val="en-US" w:eastAsia="zh-CN"/>
        </w:rPr>
        <w:t>98</w:t>
      </w:r>
      <w:r>
        <w:rPr>
          <w:rFonts w:hint="default" w:ascii="Times New Roman" w:hAnsi="Times New Roman" w:cs="Times New Roman"/>
          <w:b/>
          <w:bCs/>
          <w:color w:val="000000"/>
          <w:kern w:val="0"/>
          <w:sz w:val="24"/>
          <w:highlight w:val="none"/>
        </w:rPr>
        <w:t>%的排气筒苯浓度低于0.5 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eastAsia="zh-CN"/>
        </w:rPr>
        <w:t>具体浓度分布见表</w:t>
      </w:r>
      <w:r>
        <w:rPr>
          <w:rFonts w:hint="eastAsia" w:cs="Times New Roman"/>
          <w:color w:val="000000"/>
          <w:kern w:val="0"/>
          <w:sz w:val="24"/>
          <w:highlight w:val="none"/>
          <w:lang w:val="en-US" w:eastAsia="zh-CN"/>
        </w:rPr>
        <w:t>7.5</w:t>
      </w:r>
      <w:r>
        <w:rPr>
          <w:rFonts w:hint="default" w:ascii="Times New Roman" w:hAnsi="Times New Roman" w:cs="Times New Roman"/>
          <w:color w:val="000000"/>
          <w:kern w:val="0"/>
          <w:sz w:val="24"/>
          <w:highlight w:val="none"/>
          <w:lang w:val="en-US" w:eastAsia="zh-CN"/>
        </w:rPr>
        <w:t>-</w:t>
      </w:r>
      <w:r>
        <w:rPr>
          <w:rFonts w:hint="eastAsia" w:cs="Times New Roman"/>
          <w:color w:val="000000"/>
          <w:kern w:val="0"/>
          <w:sz w:val="24"/>
          <w:highlight w:val="none"/>
          <w:lang w:val="en-US" w:eastAsia="zh-CN"/>
        </w:rPr>
        <w:t>4</w:t>
      </w:r>
      <w:r>
        <w:rPr>
          <w:rFonts w:hint="default" w:ascii="Times New Roman" w:hAnsi="Times New Roman" w:cs="Times New Roman"/>
          <w:color w:val="000000"/>
          <w:kern w:val="0"/>
          <w:sz w:val="24"/>
          <w:highlight w:val="none"/>
          <w:lang w:val="en-US" w:eastAsia="zh-CN"/>
        </w:rPr>
        <w:t>。</w:t>
      </w:r>
    </w:p>
    <w:p w14:paraId="3A40717D">
      <w:pPr>
        <w:keepNext/>
        <w:keepLines w:val="0"/>
        <w:pageBreakBefore w:val="0"/>
        <w:widowControl w:val="0"/>
        <w:kinsoku/>
        <w:wordWrap/>
        <w:autoSpaceDE/>
        <w:autoSpaceDN/>
        <w:bidi w:val="0"/>
        <w:spacing w:line="360" w:lineRule="auto"/>
        <w:ind w:firstLine="480" w:firstLineChars="200"/>
        <w:rPr>
          <w:rFonts w:hint="default" w:ascii="Times New Roman" w:hAnsi="Times New Roman" w:cs="Times New Roman"/>
          <w:color w:val="000000"/>
          <w:kern w:val="0"/>
          <w:sz w:val="24"/>
          <w:highlight w:val="none"/>
        </w:rPr>
      </w:pPr>
      <w:r>
        <w:rPr>
          <w:rFonts w:hint="default" w:ascii="Times New Roman" w:hAnsi="Times New Roman" w:cs="Times New Roman"/>
          <w:color w:val="000000"/>
          <w:kern w:val="0"/>
          <w:sz w:val="24"/>
          <w:highlight w:val="none"/>
        </w:rPr>
        <w:t>一类</w:t>
      </w:r>
      <w:r>
        <w:rPr>
          <w:rFonts w:hint="default" w:ascii="Times New Roman" w:hAnsi="Times New Roman" w:cs="Times New Roman"/>
          <w:color w:val="000000"/>
          <w:kern w:val="0"/>
          <w:sz w:val="24"/>
          <w:highlight w:val="none"/>
          <w:lang w:eastAsia="zh-CN"/>
        </w:rPr>
        <w:t>汽车维修</w:t>
      </w:r>
      <w:r>
        <w:rPr>
          <w:rFonts w:hint="default" w:ascii="Times New Roman" w:hAnsi="Times New Roman" w:cs="Times New Roman"/>
          <w:color w:val="000000"/>
          <w:kern w:val="0"/>
          <w:sz w:val="24"/>
          <w:highlight w:val="none"/>
        </w:rPr>
        <w:t>企业苯的浓度范围在</w:t>
      </w:r>
      <w:r>
        <w:rPr>
          <w:rFonts w:hint="default" w:ascii="Times New Roman" w:hAnsi="Times New Roman" w:cs="Times New Roman"/>
          <w:color w:val="000000"/>
          <w:kern w:val="0"/>
          <w:sz w:val="24"/>
          <w:highlight w:val="none"/>
          <w:lang w:val="en-US" w:eastAsia="zh-CN"/>
        </w:rPr>
        <w:t>未检出</w:t>
      </w:r>
      <w:r>
        <w:rPr>
          <w:rFonts w:hint="default" w:ascii="Times New Roman" w:hAnsi="Times New Roman" w:cs="Times New Roman"/>
          <w:color w:val="000000"/>
          <w:kern w:val="0"/>
          <w:sz w:val="24"/>
          <w:highlight w:val="none"/>
        </w:rPr>
        <w:t>~0.</w:t>
      </w:r>
      <w:r>
        <w:rPr>
          <w:rFonts w:hint="default" w:ascii="Times New Roman" w:hAnsi="Times New Roman" w:cs="Times New Roman"/>
          <w:color w:val="000000"/>
          <w:kern w:val="0"/>
          <w:sz w:val="24"/>
          <w:highlight w:val="none"/>
          <w:lang w:val="en-US" w:eastAsia="zh-CN"/>
        </w:rPr>
        <w:t>398</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color w:val="000000"/>
          <w:kern w:val="0"/>
          <w:sz w:val="24"/>
          <w:highlight w:val="none"/>
          <w:lang w:val="en-US" w:eastAsia="zh-CN"/>
        </w:rPr>
        <w:t>平均浓度为0.057±0.090</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rPr>
        <w:t>二类</w:t>
      </w:r>
      <w:r>
        <w:rPr>
          <w:rFonts w:hint="default" w:ascii="Times New Roman" w:hAnsi="Times New Roman" w:cs="Times New Roman"/>
          <w:color w:val="000000"/>
          <w:kern w:val="0"/>
          <w:sz w:val="24"/>
          <w:highlight w:val="none"/>
          <w:lang w:eastAsia="zh-CN"/>
        </w:rPr>
        <w:t>汽车维修</w:t>
      </w:r>
      <w:r>
        <w:rPr>
          <w:rFonts w:hint="default" w:ascii="Times New Roman" w:hAnsi="Times New Roman" w:cs="Times New Roman"/>
          <w:color w:val="000000"/>
          <w:kern w:val="0"/>
          <w:sz w:val="24"/>
          <w:highlight w:val="none"/>
        </w:rPr>
        <w:t>企业的浓度范围在</w:t>
      </w:r>
      <w:r>
        <w:rPr>
          <w:rFonts w:hint="default" w:ascii="Times New Roman" w:hAnsi="Times New Roman" w:cs="Times New Roman"/>
          <w:color w:val="000000"/>
          <w:kern w:val="0"/>
          <w:sz w:val="24"/>
          <w:highlight w:val="none"/>
          <w:lang w:val="en-US" w:eastAsia="zh-CN"/>
        </w:rPr>
        <w:t>未检出</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val="en-US" w:eastAsia="zh-CN"/>
        </w:rPr>
        <w:t>1.180</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color w:val="000000"/>
          <w:kern w:val="0"/>
          <w:sz w:val="24"/>
          <w:highlight w:val="none"/>
          <w:lang w:val="en-US" w:eastAsia="zh-CN"/>
        </w:rPr>
        <w:t>平均浓度为0.057±0.173</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rPr>
        <w:t>三类</w:t>
      </w:r>
      <w:r>
        <w:rPr>
          <w:rFonts w:hint="default" w:ascii="Times New Roman" w:hAnsi="Times New Roman" w:cs="Times New Roman"/>
          <w:color w:val="000000"/>
          <w:kern w:val="0"/>
          <w:sz w:val="24"/>
          <w:highlight w:val="none"/>
          <w:lang w:eastAsia="zh-CN"/>
        </w:rPr>
        <w:t>汽车维修</w:t>
      </w:r>
      <w:r>
        <w:rPr>
          <w:rFonts w:hint="default" w:ascii="Times New Roman" w:hAnsi="Times New Roman" w:cs="Times New Roman"/>
          <w:color w:val="000000"/>
          <w:kern w:val="0"/>
          <w:sz w:val="24"/>
          <w:highlight w:val="none"/>
        </w:rPr>
        <w:t>企业的浓度范围在</w:t>
      </w:r>
      <w:r>
        <w:rPr>
          <w:rFonts w:hint="default" w:ascii="Times New Roman" w:hAnsi="Times New Roman" w:cs="Times New Roman"/>
          <w:color w:val="000000"/>
          <w:kern w:val="0"/>
          <w:sz w:val="24"/>
          <w:highlight w:val="none"/>
          <w:lang w:val="en-US" w:eastAsia="zh-CN"/>
        </w:rPr>
        <w:t>未检出</w:t>
      </w:r>
      <w:r>
        <w:rPr>
          <w:rFonts w:hint="default" w:ascii="Times New Roman" w:hAnsi="Times New Roman" w:cs="Times New Roman"/>
          <w:color w:val="000000"/>
          <w:kern w:val="0"/>
          <w:sz w:val="24"/>
          <w:highlight w:val="none"/>
        </w:rPr>
        <w:t>~0.</w:t>
      </w:r>
      <w:r>
        <w:rPr>
          <w:rFonts w:hint="default" w:ascii="Times New Roman" w:hAnsi="Times New Roman" w:cs="Times New Roman"/>
          <w:color w:val="000000"/>
          <w:kern w:val="0"/>
          <w:sz w:val="24"/>
          <w:highlight w:val="none"/>
          <w:lang w:val="en-US" w:eastAsia="zh-CN"/>
        </w:rPr>
        <w:t>352</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color w:val="000000"/>
          <w:kern w:val="0"/>
          <w:sz w:val="24"/>
          <w:highlight w:val="none"/>
          <w:lang w:val="en-US" w:eastAsia="zh-CN"/>
        </w:rPr>
        <w:t>平均浓度为0.074±0.113</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lang w:eastAsia="zh-CN"/>
        </w:rPr>
        <w:t>。三</w:t>
      </w:r>
      <w:r>
        <w:rPr>
          <w:rFonts w:hint="default" w:ascii="Times New Roman" w:hAnsi="Times New Roman" w:cs="Times New Roman"/>
          <w:color w:val="000000"/>
          <w:kern w:val="0"/>
          <w:sz w:val="24"/>
          <w:highlight w:val="none"/>
        </w:rPr>
        <w:t>类</w:t>
      </w:r>
      <w:r>
        <w:rPr>
          <w:rFonts w:hint="default" w:ascii="Times New Roman" w:hAnsi="Times New Roman" w:cs="Times New Roman"/>
          <w:color w:val="000000"/>
          <w:kern w:val="0"/>
          <w:sz w:val="24"/>
          <w:highlight w:val="none"/>
          <w:lang w:eastAsia="zh-CN"/>
        </w:rPr>
        <w:t>汽车维修</w:t>
      </w:r>
      <w:r>
        <w:rPr>
          <w:rFonts w:hint="default" w:ascii="Times New Roman" w:hAnsi="Times New Roman" w:cs="Times New Roman"/>
          <w:color w:val="000000"/>
          <w:kern w:val="0"/>
          <w:sz w:val="24"/>
          <w:highlight w:val="none"/>
        </w:rPr>
        <w:t>企业苯的排放浓度</w:t>
      </w:r>
      <w:r>
        <w:rPr>
          <w:rFonts w:hint="default" w:ascii="Times New Roman" w:hAnsi="Times New Roman" w:cs="Times New Roman"/>
          <w:color w:val="000000"/>
          <w:kern w:val="0"/>
          <w:sz w:val="24"/>
          <w:highlight w:val="none"/>
          <w:lang w:eastAsia="zh-CN"/>
        </w:rPr>
        <w:t>最高，</w:t>
      </w:r>
      <w:r>
        <w:rPr>
          <w:rFonts w:hint="default" w:ascii="Times New Roman" w:hAnsi="Times New Roman" w:cs="Times New Roman"/>
          <w:color w:val="000000"/>
          <w:kern w:val="0"/>
          <w:sz w:val="24"/>
          <w:highlight w:val="none"/>
          <w:lang w:val="en-US" w:eastAsia="zh-CN"/>
        </w:rPr>
        <w:t>不同汽修等级浓度分布见图</w:t>
      </w:r>
      <w:r>
        <w:rPr>
          <w:rFonts w:hint="eastAsia" w:cs="Times New Roman"/>
          <w:color w:val="000000"/>
          <w:kern w:val="0"/>
          <w:sz w:val="24"/>
          <w:highlight w:val="none"/>
          <w:lang w:val="en-US" w:eastAsia="zh-CN"/>
        </w:rPr>
        <w:t>7.5-3</w:t>
      </w:r>
      <w:r>
        <w:rPr>
          <w:rFonts w:hint="default" w:ascii="Times New Roman" w:hAnsi="Times New Roman" w:cs="Times New Roman"/>
          <w:color w:val="000000"/>
          <w:kern w:val="0"/>
          <w:sz w:val="24"/>
          <w:highlight w:val="none"/>
        </w:rPr>
        <w:t>。</w:t>
      </w:r>
    </w:p>
    <w:p w14:paraId="57C878FB">
      <w:pPr>
        <w:keepNext/>
        <w:keepLines w:val="0"/>
        <w:pageBreakBefore w:val="0"/>
        <w:widowControl w:val="0"/>
        <w:kinsoku/>
        <w:wordWrap/>
        <w:autoSpaceDE/>
        <w:autoSpaceDN/>
        <w:bidi w:val="0"/>
        <w:spacing w:line="360" w:lineRule="auto"/>
        <w:ind w:firstLine="480" w:firstLineChars="200"/>
        <w:rPr>
          <w:rFonts w:hint="default" w:ascii="Times New Roman" w:hAnsi="Times New Roman" w:cs="Times New Roman"/>
          <w:color w:val="000000"/>
          <w:kern w:val="0"/>
          <w:sz w:val="24"/>
          <w:highlight w:val="none"/>
          <w:vertAlign w:val="baseline"/>
          <w:lang w:eastAsia="zh-CN"/>
        </w:rPr>
      </w:pPr>
      <w:r>
        <w:rPr>
          <w:rFonts w:hint="default" w:ascii="Times New Roman" w:hAnsi="Times New Roman" w:cs="Times New Roman"/>
          <w:color w:val="000000"/>
          <w:kern w:val="0"/>
          <w:sz w:val="24"/>
          <w:highlight w:val="none"/>
        </w:rPr>
        <w:t>分</w:t>
      </w:r>
      <w:r>
        <w:rPr>
          <w:rFonts w:hint="default" w:ascii="Times New Roman" w:hAnsi="Times New Roman" w:cs="Times New Roman"/>
          <w:color w:val="000000"/>
          <w:kern w:val="0"/>
          <w:sz w:val="24"/>
          <w:highlight w:val="none"/>
          <w:lang w:val="en-US" w:eastAsia="zh-CN"/>
        </w:rPr>
        <w:t>治理设施类型</w:t>
      </w:r>
      <w:r>
        <w:rPr>
          <w:rFonts w:hint="default" w:ascii="Times New Roman" w:hAnsi="Times New Roman" w:cs="Times New Roman"/>
          <w:color w:val="000000"/>
          <w:kern w:val="0"/>
          <w:sz w:val="24"/>
          <w:highlight w:val="none"/>
        </w:rPr>
        <w:t>来看</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lang w:val="en-US" w:eastAsia="zh-CN"/>
        </w:rPr>
        <w:t>采用UV光氧+活性炭/二级活性炭苯的</w:t>
      </w:r>
      <w:r>
        <w:rPr>
          <w:rFonts w:hint="default" w:ascii="Times New Roman" w:hAnsi="Times New Roman" w:cs="Times New Roman"/>
          <w:color w:val="000000"/>
          <w:kern w:val="0"/>
          <w:sz w:val="24"/>
          <w:highlight w:val="none"/>
        </w:rPr>
        <w:t>浓度范围在</w:t>
      </w:r>
      <w:r>
        <w:rPr>
          <w:rFonts w:hint="default" w:ascii="Times New Roman" w:hAnsi="Times New Roman" w:cs="Times New Roman"/>
          <w:color w:val="000000"/>
          <w:kern w:val="0"/>
          <w:sz w:val="24"/>
          <w:highlight w:val="none"/>
          <w:lang w:val="en-US" w:eastAsia="zh-CN"/>
        </w:rPr>
        <w:t>未检出</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val="en-US" w:eastAsia="zh-CN"/>
        </w:rPr>
        <w:t>1.180</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color w:val="000000"/>
          <w:kern w:val="0"/>
          <w:sz w:val="24"/>
          <w:highlight w:val="none"/>
          <w:lang w:val="en-US" w:eastAsia="zh-CN"/>
        </w:rPr>
        <w:t>平均浓度为0.070±0.182</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lang w:eastAsia="zh-CN"/>
        </w:rPr>
        <w:t>；</w:t>
      </w:r>
      <w:r>
        <w:rPr>
          <w:rFonts w:hint="eastAsia" w:ascii="Times New Roman" w:hAnsi="Times New Roman" w:cs="Times New Roman"/>
          <w:color w:val="000000"/>
          <w:kern w:val="0"/>
          <w:sz w:val="24"/>
          <w:highlight w:val="none"/>
          <w:lang w:val="en-US" w:eastAsia="zh-CN"/>
        </w:rPr>
        <w:t>活性炭+低温催化分解</w:t>
      </w:r>
      <w:r>
        <w:rPr>
          <w:rFonts w:hint="default" w:ascii="Times New Roman" w:hAnsi="Times New Roman" w:cs="Times New Roman"/>
          <w:color w:val="000000"/>
          <w:kern w:val="0"/>
          <w:sz w:val="24"/>
          <w:highlight w:val="none"/>
        </w:rPr>
        <w:t>浓度范围在</w:t>
      </w:r>
      <w:r>
        <w:rPr>
          <w:rFonts w:hint="default" w:ascii="Times New Roman" w:hAnsi="Times New Roman" w:cs="Times New Roman"/>
          <w:color w:val="000000"/>
          <w:kern w:val="0"/>
          <w:sz w:val="24"/>
          <w:highlight w:val="none"/>
          <w:lang w:val="en-US" w:eastAsia="zh-CN"/>
        </w:rPr>
        <w:t>未检出</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val="en-US" w:eastAsia="zh-CN"/>
        </w:rPr>
        <w:t>0.048</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color w:val="000000"/>
          <w:kern w:val="0"/>
          <w:sz w:val="24"/>
          <w:highlight w:val="none"/>
          <w:lang w:val="en-US" w:eastAsia="zh-CN"/>
        </w:rPr>
        <w:t>平均浓度为0.036±0.039</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lang w:val="en-US" w:eastAsia="zh-CN"/>
        </w:rPr>
        <w:t>燃烧法（催化燃烧或蓄热催化燃烧）浓度范围在未检出~0.398</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color w:val="000000"/>
          <w:kern w:val="0"/>
          <w:sz w:val="24"/>
          <w:highlight w:val="none"/>
          <w:lang w:val="en-US" w:eastAsia="zh-CN"/>
        </w:rPr>
        <w:t>平均浓度为0.044±0.081</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lang w:val="en-US" w:eastAsia="zh-CN"/>
        </w:rPr>
        <w:t>UV光氧+活性炭/二级活性炭作为治理设施</w:t>
      </w:r>
      <w:r>
        <w:rPr>
          <w:rFonts w:hint="default" w:ascii="Times New Roman" w:hAnsi="Times New Roman" w:cs="Times New Roman"/>
          <w:color w:val="000000"/>
          <w:kern w:val="0"/>
          <w:sz w:val="24"/>
          <w:highlight w:val="none"/>
        </w:rPr>
        <w:t>的</w:t>
      </w:r>
      <w:r>
        <w:rPr>
          <w:rFonts w:hint="default" w:ascii="Times New Roman" w:hAnsi="Times New Roman" w:cs="Times New Roman"/>
          <w:color w:val="000000"/>
          <w:kern w:val="0"/>
          <w:sz w:val="24"/>
          <w:highlight w:val="none"/>
          <w:lang w:eastAsia="zh-CN"/>
        </w:rPr>
        <w:t>企业</w:t>
      </w:r>
      <w:r>
        <w:rPr>
          <w:rFonts w:hint="default" w:ascii="Times New Roman" w:hAnsi="Times New Roman" w:cs="Times New Roman"/>
          <w:color w:val="000000"/>
          <w:kern w:val="0"/>
          <w:sz w:val="24"/>
          <w:highlight w:val="none"/>
          <w:lang w:val="en-US" w:eastAsia="zh-CN"/>
        </w:rPr>
        <w:t>苯</w:t>
      </w:r>
      <w:r>
        <w:rPr>
          <w:rFonts w:hint="default" w:ascii="Times New Roman" w:hAnsi="Times New Roman" w:cs="Times New Roman"/>
          <w:color w:val="000000"/>
          <w:kern w:val="0"/>
          <w:sz w:val="24"/>
          <w:highlight w:val="none"/>
        </w:rPr>
        <w:t>排放浓度</w:t>
      </w:r>
      <w:r>
        <w:rPr>
          <w:rFonts w:hint="default" w:ascii="Times New Roman" w:hAnsi="Times New Roman" w:cs="Times New Roman"/>
          <w:color w:val="000000"/>
          <w:kern w:val="0"/>
          <w:sz w:val="24"/>
          <w:highlight w:val="none"/>
          <w:lang w:eastAsia="zh-CN"/>
        </w:rPr>
        <w:t>是其他技术方法的</w:t>
      </w:r>
      <w:r>
        <w:rPr>
          <w:rFonts w:hint="default" w:ascii="Times New Roman" w:hAnsi="Times New Roman" w:cs="Times New Roman"/>
          <w:color w:val="000000"/>
          <w:kern w:val="0"/>
          <w:sz w:val="24"/>
          <w:highlight w:val="none"/>
          <w:lang w:val="en-US" w:eastAsia="zh-CN"/>
        </w:rPr>
        <w:t>2倍左右</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val="en-US" w:eastAsia="zh-CN"/>
        </w:rPr>
        <w:t>不同治理设施类型浓度分布见图</w:t>
      </w:r>
      <w:r>
        <w:rPr>
          <w:rFonts w:hint="eastAsia" w:cs="Times New Roman"/>
          <w:color w:val="000000"/>
          <w:kern w:val="0"/>
          <w:sz w:val="24"/>
          <w:highlight w:val="none"/>
          <w:lang w:val="en-US" w:eastAsia="zh-CN"/>
        </w:rPr>
        <w:t>7.5-4</w:t>
      </w:r>
      <w:r>
        <w:rPr>
          <w:rFonts w:hint="default" w:ascii="Times New Roman" w:hAnsi="Times New Roman" w:cs="Times New Roman"/>
          <w:color w:val="000000"/>
          <w:kern w:val="0"/>
          <w:sz w:val="24"/>
          <w:highlight w:val="none"/>
          <w:vertAlign w:val="baseline"/>
          <w:lang w:eastAsia="zh-CN"/>
        </w:rPr>
        <w:t>。</w:t>
      </w:r>
    </w:p>
    <w:p w14:paraId="429C4576">
      <w:pPr>
        <w:keepNext/>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kern w:val="0"/>
          <w:szCs w:val="21"/>
          <w:highlight w:val="none"/>
          <w:lang w:val="en-US" w:eastAsia="zh-CN"/>
        </w:rPr>
      </w:pPr>
      <w:r>
        <w:rPr>
          <w:rFonts w:hint="eastAsia" w:cs="Times New Roman"/>
          <w:kern w:val="0"/>
          <w:szCs w:val="21"/>
          <w:highlight w:val="none"/>
          <w:lang w:val="en-US" w:eastAsia="zh-CN"/>
        </w:rPr>
        <w:t>表7.5</w:t>
      </w:r>
      <w:r>
        <w:rPr>
          <w:rFonts w:hint="default" w:ascii="Times New Roman" w:hAnsi="Times New Roman" w:cs="Times New Roman"/>
          <w:kern w:val="0"/>
          <w:szCs w:val="21"/>
          <w:highlight w:val="none"/>
          <w:lang w:val="en-US" w:eastAsia="zh-CN"/>
        </w:rPr>
        <w:t>-</w:t>
      </w:r>
      <w:r>
        <w:rPr>
          <w:rFonts w:hint="eastAsia" w:cs="Times New Roman"/>
          <w:kern w:val="0"/>
          <w:szCs w:val="21"/>
          <w:highlight w:val="none"/>
          <w:lang w:val="en-US" w:eastAsia="zh-CN"/>
        </w:rPr>
        <w:t>4</w:t>
      </w:r>
      <w:r>
        <w:rPr>
          <w:rFonts w:hint="default" w:ascii="Times New Roman" w:hAnsi="Times New Roman" w:cs="Times New Roman"/>
          <w:kern w:val="0"/>
          <w:szCs w:val="21"/>
          <w:highlight w:val="none"/>
          <w:lang w:val="en-US" w:eastAsia="zh-CN"/>
        </w:rPr>
        <w:t xml:space="preserve"> 有组织废气苯的排放浓度情况</w:t>
      </w:r>
    </w:p>
    <w:tbl>
      <w:tblPr>
        <w:tblStyle w:val="21"/>
        <w:tblW w:w="8869"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2049"/>
        <w:gridCol w:w="1363"/>
        <w:gridCol w:w="1364"/>
        <w:gridCol w:w="1364"/>
        <w:gridCol w:w="1364"/>
        <w:gridCol w:w="1365"/>
      </w:tblGrid>
      <w:tr w14:paraId="08DBF16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40" w:hRule="atLeast"/>
          <w:jc w:val="center"/>
        </w:trPr>
        <w:tc>
          <w:tcPr>
            <w:tcW w:w="190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3320C7">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21"/>
                <w:szCs w:val="21"/>
                <w:highlight w:val="none"/>
                <w:u w:val="none"/>
              </w:rPr>
            </w:pPr>
            <w:r>
              <w:rPr>
                <w:rFonts w:hint="default" w:ascii="Times New Roman" w:hAnsi="Times New Roman" w:eastAsia="宋体" w:cs="Times New Roman"/>
                <w:b/>
                <w:bCs/>
                <w:i w:val="0"/>
                <w:iCs w:val="0"/>
                <w:color w:val="000000"/>
                <w:kern w:val="0"/>
                <w:sz w:val="21"/>
                <w:szCs w:val="21"/>
                <w:highlight w:val="none"/>
                <w:u w:val="none"/>
                <w:lang w:val="en-US" w:eastAsia="zh-CN" w:bidi="ar"/>
              </w:rPr>
              <w:t>苯浓度（mg/m</w:t>
            </w:r>
            <w:r>
              <w:rPr>
                <w:rFonts w:hint="default" w:ascii="Times New Roman" w:hAnsi="Times New Roman" w:eastAsia="宋体" w:cs="Times New Roman"/>
                <w:b/>
                <w:bCs/>
                <w:i w:val="0"/>
                <w:iCs w:val="0"/>
                <w:color w:val="000000"/>
                <w:kern w:val="0"/>
                <w:sz w:val="21"/>
                <w:szCs w:val="21"/>
                <w:highlight w:val="none"/>
                <w:u w:val="none"/>
                <w:vertAlign w:val="superscript"/>
                <w:lang w:val="en-US" w:eastAsia="zh-CN" w:bidi="ar"/>
              </w:rPr>
              <w:t>3</w:t>
            </w:r>
            <w:r>
              <w:rPr>
                <w:rFonts w:hint="default" w:ascii="Times New Roman" w:hAnsi="Times New Roman" w:eastAsia="宋体" w:cs="Times New Roman"/>
                <w:b/>
                <w:bCs/>
                <w:i w:val="0"/>
                <w:iCs w:val="0"/>
                <w:color w:val="000000"/>
                <w:kern w:val="0"/>
                <w:sz w:val="21"/>
                <w:szCs w:val="21"/>
                <w:highlight w:val="none"/>
                <w:u w:val="none"/>
                <w:lang w:val="en-US" w:eastAsia="zh-CN" w:bidi="ar"/>
              </w:rPr>
              <w:t>）</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A5B2D1">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21"/>
                <w:szCs w:val="21"/>
                <w:highlight w:val="none"/>
                <w:u w:val="none"/>
              </w:rPr>
            </w:pPr>
            <w:r>
              <w:rPr>
                <w:rFonts w:hint="default" w:ascii="Times New Roman" w:hAnsi="Times New Roman" w:eastAsia="宋体" w:cs="Times New Roman"/>
                <w:b/>
                <w:bCs/>
                <w:i w:val="0"/>
                <w:iCs w:val="0"/>
                <w:color w:val="000000"/>
                <w:kern w:val="0"/>
                <w:sz w:val="21"/>
                <w:szCs w:val="21"/>
                <w:highlight w:val="none"/>
                <w:u w:val="none"/>
                <w:lang w:val="en-US" w:eastAsia="zh-CN" w:bidi="ar"/>
              </w:rPr>
              <w:t>未检出</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1581B6">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21"/>
                <w:szCs w:val="21"/>
                <w:highlight w:val="none"/>
                <w:u w:val="none"/>
              </w:rPr>
            </w:pPr>
            <w:r>
              <w:rPr>
                <w:rFonts w:hint="default" w:ascii="Times New Roman" w:hAnsi="Times New Roman" w:eastAsia="宋体" w:cs="Times New Roman"/>
                <w:b/>
                <w:bCs/>
                <w:i w:val="0"/>
                <w:iCs w:val="0"/>
                <w:color w:val="000000"/>
                <w:kern w:val="0"/>
                <w:sz w:val="21"/>
                <w:szCs w:val="21"/>
                <w:highlight w:val="none"/>
                <w:u w:val="none"/>
                <w:lang w:val="en-US" w:eastAsia="zh-CN" w:bidi="ar"/>
              </w:rPr>
              <w:t>0~0.1</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235F2D">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21"/>
                <w:szCs w:val="21"/>
                <w:highlight w:val="none"/>
                <w:u w:val="none"/>
              </w:rPr>
            </w:pPr>
            <w:r>
              <w:rPr>
                <w:rFonts w:hint="default" w:ascii="Times New Roman" w:hAnsi="Times New Roman" w:eastAsia="宋体" w:cs="Times New Roman"/>
                <w:b/>
                <w:bCs/>
                <w:i w:val="0"/>
                <w:iCs w:val="0"/>
                <w:color w:val="000000"/>
                <w:kern w:val="0"/>
                <w:sz w:val="21"/>
                <w:szCs w:val="21"/>
                <w:highlight w:val="none"/>
                <w:u w:val="none"/>
                <w:lang w:val="en-US" w:eastAsia="zh-CN" w:bidi="ar"/>
              </w:rPr>
              <w:t>0.1~0.5</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A117B6">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21"/>
                <w:szCs w:val="21"/>
                <w:highlight w:val="none"/>
                <w:u w:val="none"/>
              </w:rPr>
            </w:pPr>
            <w:r>
              <w:rPr>
                <w:rFonts w:hint="default" w:ascii="Times New Roman" w:hAnsi="Times New Roman" w:eastAsia="宋体" w:cs="Times New Roman"/>
                <w:b/>
                <w:bCs/>
                <w:i w:val="0"/>
                <w:iCs w:val="0"/>
                <w:color w:val="000000"/>
                <w:kern w:val="0"/>
                <w:sz w:val="21"/>
                <w:szCs w:val="21"/>
                <w:highlight w:val="none"/>
                <w:u w:val="none"/>
                <w:lang w:val="en-US" w:eastAsia="zh-CN" w:bidi="ar"/>
              </w:rPr>
              <w:t>0.5~1.0</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D1FC06">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sz w:val="21"/>
                <w:szCs w:val="21"/>
                <w:highlight w:val="none"/>
                <w:u w:val="none"/>
              </w:rPr>
            </w:pPr>
            <w:r>
              <w:rPr>
                <w:rFonts w:hint="default" w:ascii="Times New Roman" w:hAnsi="Times New Roman" w:eastAsia="宋体" w:cs="Times New Roman"/>
                <w:b/>
                <w:bCs/>
                <w:i w:val="0"/>
                <w:iCs w:val="0"/>
                <w:color w:val="000000"/>
                <w:kern w:val="0"/>
                <w:sz w:val="21"/>
                <w:szCs w:val="21"/>
                <w:highlight w:val="none"/>
                <w:u w:val="none"/>
                <w:lang w:val="en-US" w:eastAsia="zh-CN" w:bidi="ar"/>
              </w:rPr>
              <w:t>＞1.0</w:t>
            </w:r>
          </w:p>
        </w:tc>
      </w:tr>
      <w:tr w14:paraId="1018C75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0EDBF8">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排气筒数量（个）</w:t>
            </w:r>
          </w:p>
        </w:tc>
        <w:tc>
          <w:tcPr>
            <w:tcW w:w="126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E46D9D">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138</w:t>
            </w:r>
          </w:p>
        </w:tc>
        <w:tc>
          <w:tcPr>
            <w:tcW w:w="126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6AAC95">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128</w:t>
            </w:r>
          </w:p>
        </w:tc>
        <w:tc>
          <w:tcPr>
            <w:tcW w:w="126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89FE76">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16</w:t>
            </w:r>
          </w:p>
        </w:tc>
        <w:tc>
          <w:tcPr>
            <w:tcW w:w="126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E4342B">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4</w:t>
            </w:r>
          </w:p>
        </w:tc>
        <w:tc>
          <w:tcPr>
            <w:tcW w:w="12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3738E4">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1</w:t>
            </w:r>
          </w:p>
        </w:tc>
      </w:tr>
      <w:tr w14:paraId="799CF8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BC3388">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sz w:val="21"/>
                <w:szCs w:val="21"/>
                <w:highlight w:val="none"/>
                <w:u w:val="none"/>
              </w:rPr>
            </w:pPr>
            <w:r>
              <w:rPr>
                <w:rFonts w:hint="default" w:ascii="Times New Roman" w:hAnsi="Times New Roman" w:eastAsia="宋体" w:cs="Times New Roman"/>
                <w:i w:val="0"/>
                <w:iCs w:val="0"/>
                <w:color w:val="000000"/>
                <w:kern w:val="0"/>
                <w:sz w:val="21"/>
                <w:szCs w:val="21"/>
                <w:highlight w:val="none"/>
                <w:u w:val="none"/>
                <w:lang w:val="en-US" w:eastAsia="zh-CN" w:bidi="ar"/>
              </w:rPr>
              <w:t>占比（%）</w:t>
            </w:r>
          </w:p>
        </w:tc>
        <w:tc>
          <w:tcPr>
            <w:tcW w:w="126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EB9E80">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48.1%</w:t>
            </w:r>
          </w:p>
        </w:tc>
        <w:tc>
          <w:tcPr>
            <w:tcW w:w="126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B35286">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44.6%</w:t>
            </w:r>
          </w:p>
        </w:tc>
        <w:tc>
          <w:tcPr>
            <w:tcW w:w="126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C11BBB">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5.6%</w:t>
            </w:r>
          </w:p>
        </w:tc>
        <w:tc>
          <w:tcPr>
            <w:tcW w:w="126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3C6FD5">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1.4%</w:t>
            </w:r>
          </w:p>
        </w:tc>
        <w:tc>
          <w:tcPr>
            <w:tcW w:w="12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B155F8">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0.3%</w:t>
            </w:r>
          </w:p>
        </w:tc>
      </w:tr>
    </w:tbl>
    <w:p w14:paraId="0AC7FA50">
      <w:pPr>
        <w:keepNext/>
        <w:keepLines w:val="0"/>
        <w:pageBreakBefore w:val="0"/>
        <w:widowControl w:val="0"/>
        <w:kinsoku/>
        <w:wordWrap/>
        <w:autoSpaceDE/>
        <w:autoSpaceDN/>
        <w:bidi w:val="0"/>
        <w:spacing w:line="360" w:lineRule="auto"/>
        <w:ind w:firstLine="482" w:firstLineChars="200"/>
        <w:rPr>
          <w:rFonts w:hint="default" w:ascii="Times New Roman" w:hAnsi="Times New Roman" w:cs="Times New Roman"/>
          <w:color w:val="000000"/>
          <w:kern w:val="0"/>
          <w:sz w:val="24"/>
          <w:highlight w:val="none"/>
          <w:lang w:val="en-US" w:eastAsia="zh-CN"/>
        </w:rPr>
      </w:pPr>
      <w:r>
        <w:rPr>
          <w:rFonts w:hint="default" w:ascii="Times New Roman" w:hAnsi="Times New Roman" w:cs="Times New Roman"/>
          <w:b/>
          <w:bCs/>
          <w:color w:val="000000"/>
          <w:kern w:val="0"/>
          <w:sz w:val="24"/>
          <w:highlight w:val="none"/>
          <w:lang w:val="en-US" w:eastAsia="zh-CN"/>
        </w:rPr>
        <w:t>综合以上，同时</w:t>
      </w:r>
      <w:r>
        <w:rPr>
          <w:rFonts w:hint="default" w:ascii="Times New Roman" w:hAnsi="Times New Roman" w:cs="Times New Roman"/>
          <w:b/>
          <w:bCs/>
          <w:color w:val="000000"/>
          <w:kern w:val="0"/>
          <w:sz w:val="24"/>
          <w:highlight w:val="none"/>
          <w:lang w:eastAsia="zh-CN"/>
        </w:rPr>
        <w:t>借鉴北京、上海、安徽、江苏等地标限值，</w:t>
      </w:r>
      <w:r>
        <w:rPr>
          <w:rFonts w:hint="default" w:ascii="Times New Roman" w:hAnsi="Times New Roman" w:cs="Times New Roman"/>
          <w:b/>
          <w:bCs/>
          <w:color w:val="000000"/>
          <w:sz w:val="24"/>
          <w:szCs w:val="24"/>
          <w:highlight w:val="none"/>
          <w:lang w:val="en-US" w:eastAsia="zh-CN"/>
        </w:rPr>
        <w:t>本</w:t>
      </w:r>
      <w:r>
        <w:rPr>
          <w:rFonts w:hint="eastAsia" w:cs="Times New Roman"/>
          <w:b/>
          <w:bCs/>
          <w:color w:val="000000"/>
          <w:sz w:val="24"/>
          <w:szCs w:val="24"/>
          <w:highlight w:val="none"/>
          <w:lang w:val="en-US" w:eastAsia="zh-CN"/>
        </w:rPr>
        <w:t>标准</w:t>
      </w:r>
      <w:r>
        <w:rPr>
          <w:rFonts w:hint="default" w:ascii="Times New Roman" w:hAnsi="Times New Roman" w:cs="Times New Roman"/>
          <w:b/>
          <w:bCs/>
          <w:color w:val="000000"/>
          <w:sz w:val="24"/>
          <w:szCs w:val="24"/>
          <w:highlight w:val="none"/>
          <w:lang w:val="en-US" w:eastAsia="zh-CN"/>
        </w:rPr>
        <w:t>将有组织排气筒中</w:t>
      </w:r>
      <w:r>
        <w:rPr>
          <w:rFonts w:hint="default" w:ascii="Times New Roman" w:hAnsi="Times New Roman" w:cs="Times New Roman"/>
          <w:b/>
          <w:bCs/>
          <w:color w:val="000000"/>
          <w:kern w:val="0"/>
          <w:sz w:val="24"/>
          <w:highlight w:val="none"/>
        </w:rPr>
        <w:t>苯的限值定为0.5</w:t>
      </w:r>
      <w:r>
        <w:rPr>
          <w:rFonts w:hint="eastAsia" w:cs="Times New Roman"/>
          <w:b/>
          <w:bCs/>
          <w:color w:val="000000"/>
          <w:kern w:val="0"/>
          <w:sz w:val="24"/>
          <w:highlight w:val="none"/>
          <w:lang w:val="en-US" w:eastAsia="zh-CN"/>
        </w:rPr>
        <w:t xml:space="preserve"> </w:t>
      </w:r>
      <w:r>
        <w:rPr>
          <w:rFonts w:hint="default" w:ascii="Times New Roman" w:hAnsi="Times New Roman" w:cs="Times New Roman"/>
          <w:b/>
          <w:bCs/>
          <w:color w:val="000000"/>
          <w:kern w:val="0"/>
          <w:sz w:val="24"/>
          <w:highlight w:val="none"/>
        </w:rPr>
        <w:t>mg/m</w:t>
      </w:r>
      <w:r>
        <w:rPr>
          <w:rFonts w:hint="default" w:ascii="Times New Roman" w:hAnsi="Times New Roman" w:cs="Times New Roman"/>
          <w:b/>
          <w:bCs/>
          <w:color w:val="000000"/>
          <w:kern w:val="0"/>
          <w:sz w:val="24"/>
          <w:highlight w:val="none"/>
          <w:vertAlign w:val="superscript"/>
        </w:rPr>
        <w:t>3</w:t>
      </w:r>
      <w:r>
        <w:rPr>
          <w:rFonts w:hint="default" w:ascii="Times New Roman" w:hAnsi="Times New Roman" w:cs="Times New Roman"/>
          <w:b/>
          <w:bCs/>
          <w:color w:val="000000"/>
          <w:kern w:val="0"/>
          <w:sz w:val="24"/>
          <w:highlight w:val="none"/>
          <w:lang w:eastAsia="zh-CN"/>
        </w:rPr>
        <w:t>。</w:t>
      </w:r>
    </w:p>
    <w:p w14:paraId="13E1C86D">
      <w:pPr>
        <w:keepNext/>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highlight w:val="none"/>
          <w:lang w:eastAsia="zh-CN"/>
        </w:rPr>
      </w:pPr>
      <w:r>
        <w:rPr>
          <w:rFonts w:hint="default" w:ascii="Times New Roman" w:hAnsi="Times New Roman" w:eastAsia="宋体" w:cs="Times New Roman"/>
          <w:highlight w:val="none"/>
          <w:lang w:eastAsia="zh-CN"/>
        </w:rPr>
        <w:drawing>
          <wp:inline distT="0" distB="0" distL="114300" distR="114300">
            <wp:extent cx="5256530" cy="1977390"/>
            <wp:effectExtent l="0" t="0" r="1270" b="3810"/>
            <wp:docPr id="22" name="图表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26EB76B9">
      <w:pPr>
        <w:keepNext/>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kern w:val="0"/>
          <w:szCs w:val="21"/>
          <w:highlight w:val="none"/>
          <w:lang w:val="en-US" w:eastAsia="zh-CN"/>
        </w:rPr>
      </w:pPr>
      <w:r>
        <w:rPr>
          <w:rFonts w:hint="default" w:ascii="Times New Roman" w:hAnsi="Times New Roman" w:cs="Times New Roman"/>
          <w:kern w:val="0"/>
          <w:szCs w:val="21"/>
          <w:highlight w:val="none"/>
          <w:lang w:val="en-US" w:eastAsia="zh-CN"/>
        </w:rPr>
        <w:t>图</w:t>
      </w:r>
      <w:r>
        <w:rPr>
          <w:rFonts w:hint="eastAsia" w:cs="Times New Roman"/>
          <w:kern w:val="0"/>
          <w:szCs w:val="21"/>
          <w:highlight w:val="none"/>
          <w:lang w:val="en-US" w:eastAsia="zh-CN"/>
        </w:rPr>
        <w:t>7.5</w:t>
      </w:r>
      <w:r>
        <w:rPr>
          <w:rFonts w:hint="default" w:ascii="Times New Roman" w:hAnsi="Times New Roman" w:cs="Times New Roman"/>
          <w:kern w:val="0"/>
          <w:szCs w:val="21"/>
          <w:highlight w:val="none"/>
          <w:lang w:val="en-US" w:eastAsia="zh-CN"/>
        </w:rPr>
        <w:t>-</w:t>
      </w:r>
      <w:r>
        <w:rPr>
          <w:rFonts w:hint="eastAsia" w:cs="Times New Roman"/>
          <w:kern w:val="0"/>
          <w:szCs w:val="21"/>
          <w:highlight w:val="none"/>
          <w:lang w:val="en-US" w:eastAsia="zh-CN"/>
        </w:rPr>
        <w:t>3</w:t>
      </w:r>
      <w:r>
        <w:rPr>
          <w:rFonts w:hint="default" w:ascii="Times New Roman" w:hAnsi="Times New Roman" w:cs="Times New Roman"/>
          <w:kern w:val="0"/>
          <w:szCs w:val="21"/>
          <w:highlight w:val="none"/>
          <w:lang w:val="en-US" w:eastAsia="zh-CN"/>
        </w:rPr>
        <w:t xml:space="preserve"> 不同汽修等级</w:t>
      </w:r>
      <w:r>
        <w:rPr>
          <w:rFonts w:hint="eastAsia" w:ascii="Times New Roman" w:hAnsi="Times New Roman" w:cs="Times New Roman"/>
          <w:kern w:val="0"/>
          <w:szCs w:val="21"/>
          <w:highlight w:val="none"/>
          <w:lang w:val="en-US" w:eastAsia="zh-CN"/>
        </w:rPr>
        <w:t>苯</w:t>
      </w:r>
      <w:r>
        <w:rPr>
          <w:rFonts w:hint="default" w:ascii="Times New Roman" w:hAnsi="Times New Roman" w:cs="Times New Roman"/>
          <w:kern w:val="0"/>
          <w:szCs w:val="21"/>
          <w:highlight w:val="none"/>
          <w:lang w:val="en-US" w:eastAsia="zh-CN"/>
        </w:rPr>
        <w:t>浓度分布</w:t>
      </w:r>
    </w:p>
    <w:p w14:paraId="09DE50C2">
      <w:pPr>
        <w:keepNext/>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highlight w:val="none"/>
          <w:lang w:eastAsia="zh-CN"/>
        </w:rPr>
      </w:pPr>
      <w:r>
        <w:rPr>
          <w:rFonts w:hint="default" w:ascii="Times New Roman" w:hAnsi="Times New Roman" w:eastAsia="宋体" w:cs="Times New Roman"/>
          <w:highlight w:val="none"/>
          <w:lang w:eastAsia="zh-CN"/>
        </w:rPr>
        <w:drawing>
          <wp:inline distT="0" distB="0" distL="114300" distR="114300">
            <wp:extent cx="5256530" cy="2138680"/>
            <wp:effectExtent l="0" t="0" r="1270" b="10160"/>
            <wp:docPr id="25" name="图表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4BF483DF">
      <w:pPr>
        <w:keepNext/>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kern w:val="0"/>
          <w:szCs w:val="21"/>
          <w:highlight w:val="none"/>
          <w:lang w:val="en-US" w:eastAsia="zh-CN"/>
        </w:rPr>
      </w:pPr>
      <w:r>
        <w:rPr>
          <w:rFonts w:hint="default" w:ascii="Times New Roman" w:hAnsi="Times New Roman" w:cs="Times New Roman"/>
          <w:kern w:val="0"/>
          <w:szCs w:val="21"/>
          <w:highlight w:val="none"/>
          <w:lang w:val="en-US" w:eastAsia="zh-CN"/>
        </w:rPr>
        <w:t>图</w:t>
      </w:r>
      <w:r>
        <w:rPr>
          <w:rFonts w:hint="eastAsia" w:cs="Times New Roman"/>
          <w:kern w:val="0"/>
          <w:szCs w:val="21"/>
          <w:highlight w:val="none"/>
          <w:lang w:val="en-US" w:eastAsia="zh-CN"/>
        </w:rPr>
        <w:t>7.5</w:t>
      </w:r>
      <w:r>
        <w:rPr>
          <w:rFonts w:hint="default" w:ascii="Times New Roman" w:hAnsi="Times New Roman" w:cs="Times New Roman"/>
          <w:kern w:val="0"/>
          <w:szCs w:val="21"/>
          <w:highlight w:val="none"/>
          <w:lang w:val="en-US" w:eastAsia="zh-CN"/>
        </w:rPr>
        <w:t>-</w:t>
      </w:r>
      <w:r>
        <w:rPr>
          <w:rFonts w:hint="eastAsia" w:cs="Times New Roman"/>
          <w:kern w:val="0"/>
          <w:szCs w:val="21"/>
          <w:highlight w:val="none"/>
          <w:lang w:val="en-US" w:eastAsia="zh-CN"/>
        </w:rPr>
        <w:t>4</w:t>
      </w:r>
      <w:r>
        <w:rPr>
          <w:rFonts w:hint="default" w:ascii="Times New Roman" w:hAnsi="Times New Roman" w:cs="Times New Roman"/>
          <w:kern w:val="0"/>
          <w:szCs w:val="21"/>
          <w:highlight w:val="none"/>
          <w:lang w:val="en-US" w:eastAsia="zh-CN"/>
        </w:rPr>
        <w:t xml:space="preserve"> 不同治理设施类型</w:t>
      </w:r>
      <w:r>
        <w:rPr>
          <w:rFonts w:hint="eastAsia" w:ascii="Times New Roman" w:hAnsi="Times New Roman" w:cs="Times New Roman"/>
          <w:kern w:val="0"/>
          <w:szCs w:val="21"/>
          <w:highlight w:val="none"/>
          <w:lang w:val="en-US" w:eastAsia="zh-CN"/>
        </w:rPr>
        <w:t>苯</w:t>
      </w:r>
      <w:r>
        <w:rPr>
          <w:rFonts w:hint="default" w:ascii="Times New Roman" w:hAnsi="Times New Roman" w:cs="Times New Roman"/>
          <w:kern w:val="0"/>
          <w:szCs w:val="21"/>
          <w:highlight w:val="none"/>
          <w:lang w:val="en-US" w:eastAsia="zh-CN"/>
        </w:rPr>
        <w:t>浓度分布</w:t>
      </w:r>
    </w:p>
    <w:p w14:paraId="5B5404DD">
      <w:pPr>
        <w:pStyle w:val="5"/>
        <w:keepNext/>
        <w:keepLines w:val="0"/>
        <w:pageBreakBefore w:val="0"/>
        <w:widowControl w:val="0"/>
        <w:kinsoku/>
        <w:wordWrap/>
        <w:autoSpaceDE/>
        <w:autoSpaceDN/>
        <w:bidi w:val="0"/>
        <w:rPr>
          <w:rFonts w:hint="default"/>
          <w:highlight w:val="none"/>
        </w:rPr>
      </w:pPr>
      <w:bookmarkStart w:id="118" w:name="_Toc30700"/>
      <w:r>
        <w:rPr>
          <w:rFonts w:hint="default"/>
          <w:highlight w:val="none"/>
        </w:rPr>
        <w:t>苯系物</w:t>
      </w:r>
      <w:bookmarkEnd w:id="118"/>
      <w:r>
        <w:rPr>
          <w:rFonts w:hint="default"/>
          <w:highlight w:val="none"/>
        </w:rPr>
        <w:t xml:space="preserve"> </w:t>
      </w:r>
    </w:p>
    <w:p w14:paraId="2AA159F7">
      <w:pPr>
        <w:keepNext/>
        <w:keepLines w:val="0"/>
        <w:pageBreakBefore w:val="0"/>
        <w:widowControl w:val="0"/>
        <w:kinsoku/>
        <w:wordWrap/>
        <w:autoSpaceDE/>
        <w:autoSpaceDN/>
        <w:bidi w:val="0"/>
        <w:spacing w:line="360" w:lineRule="auto"/>
        <w:ind w:firstLine="480" w:firstLineChars="200"/>
        <w:rPr>
          <w:rFonts w:hint="default" w:ascii="Times New Roman" w:hAnsi="Times New Roman" w:eastAsia="宋体" w:cs="Times New Roman"/>
          <w:kern w:val="0"/>
          <w:sz w:val="24"/>
          <w:highlight w:val="none"/>
          <w:lang w:eastAsia="zh-CN"/>
        </w:rPr>
      </w:pPr>
      <w:r>
        <w:rPr>
          <w:rFonts w:hint="default" w:ascii="Times New Roman" w:hAnsi="Times New Roman" w:cs="Times New Roman"/>
          <w:kern w:val="0"/>
          <w:sz w:val="24"/>
          <w:highlight w:val="none"/>
        </w:rPr>
        <w:t>苯系物的光化学活性强，对臭氧生成贡献极高，同时对人体神经系统和血液系统具有较强危害。汽车维修工艺过程中苯系物排放量大，主要包含苯、甲苯、二甲苯、三甲苯、乙苯、苯乙烯等</w:t>
      </w:r>
      <w:r>
        <w:rPr>
          <w:rFonts w:hint="default" w:ascii="Times New Roman" w:hAnsi="Times New Roman" w:cs="Times New Roman"/>
          <w:kern w:val="0"/>
          <w:sz w:val="24"/>
          <w:highlight w:val="none"/>
          <w:lang w:eastAsia="zh-CN"/>
        </w:rPr>
        <w:t>。</w:t>
      </w:r>
    </w:p>
    <w:p w14:paraId="56EE71DB">
      <w:pPr>
        <w:keepNext/>
        <w:keepLines w:val="0"/>
        <w:pageBreakBefore w:val="0"/>
        <w:widowControl w:val="0"/>
        <w:kinsoku/>
        <w:wordWrap/>
        <w:autoSpaceDE/>
        <w:autoSpaceDN/>
        <w:bidi w:val="0"/>
        <w:spacing w:line="360" w:lineRule="auto"/>
        <w:ind w:firstLine="482" w:firstLineChars="200"/>
        <w:rPr>
          <w:rFonts w:hint="default" w:ascii="Times New Roman" w:hAnsi="Times New Roman" w:eastAsia="宋体" w:cs="Times New Roman"/>
          <w:b/>
          <w:bCs/>
          <w:kern w:val="0"/>
          <w:sz w:val="24"/>
          <w:highlight w:val="none"/>
          <w:lang w:val="en-US" w:eastAsia="zh-CN"/>
        </w:rPr>
      </w:pPr>
      <w:r>
        <w:rPr>
          <w:rFonts w:hint="default" w:ascii="Times New Roman" w:hAnsi="Times New Roman" w:cs="Times New Roman"/>
          <w:b/>
          <w:bCs/>
          <w:kern w:val="0"/>
          <w:sz w:val="24"/>
          <w:highlight w:val="none"/>
          <w:lang w:eastAsia="zh-CN"/>
        </w:rPr>
        <w:t>（</w:t>
      </w:r>
      <w:r>
        <w:rPr>
          <w:rFonts w:hint="default" w:ascii="Times New Roman" w:hAnsi="Times New Roman" w:cs="Times New Roman"/>
          <w:b/>
          <w:bCs/>
          <w:kern w:val="0"/>
          <w:sz w:val="24"/>
          <w:highlight w:val="none"/>
          <w:lang w:val="en-US" w:eastAsia="zh-CN"/>
        </w:rPr>
        <w:t>1</w:t>
      </w:r>
      <w:r>
        <w:rPr>
          <w:rFonts w:hint="default" w:ascii="Times New Roman" w:hAnsi="Times New Roman" w:cs="Times New Roman"/>
          <w:b/>
          <w:bCs/>
          <w:kern w:val="0"/>
          <w:sz w:val="24"/>
          <w:highlight w:val="none"/>
          <w:lang w:eastAsia="zh-CN"/>
        </w:rPr>
        <w:t>）</w:t>
      </w:r>
      <w:r>
        <w:rPr>
          <w:rFonts w:hint="default" w:ascii="Times New Roman" w:hAnsi="Times New Roman" w:cs="Times New Roman"/>
          <w:b/>
          <w:bCs/>
          <w:kern w:val="0"/>
          <w:sz w:val="24"/>
          <w:highlight w:val="none"/>
          <w:lang w:val="en-US" w:eastAsia="zh-CN"/>
        </w:rPr>
        <w:t>调研实测</w:t>
      </w:r>
    </w:p>
    <w:p w14:paraId="01EE619E">
      <w:pPr>
        <w:keepNext/>
        <w:keepLines w:val="0"/>
        <w:pageBreakBefore w:val="0"/>
        <w:widowControl w:val="0"/>
        <w:kinsoku/>
        <w:wordWrap/>
        <w:autoSpaceDE/>
        <w:autoSpaceDN/>
        <w:bidi w:val="0"/>
        <w:spacing w:line="360" w:lineRule="auto"/>
        <w:ind w:firstLine="480" w:firstLineChars="200"/>
        <w:rPr>
          <w:rFonts w:hint="default" w:ascii="Times New Roman" w:hAnsi="Times New Roman" w:cs="Times New Roman"/>
          <w:sz w:val="24"/>
          <w:highlight w:val="none"/>
        </w:rPr>
      </w:pPr>
      <w:r>
        <w:rPr>
          <w:rFonts w:hint="eastAsia" w:cs="Times New Roman"/>
          <w:sz w:val="24"/>
          <w:highlight w:val="none"/>
          <w:lang w:val="en-US" w:eastAsia="zh-CN"/>
        </w:rPr>
        <w:t>编制组</w:t>
      </w:r>
      <w:r>
        <w:rPr>
          <w:rFonts w:hint="default" w:ascii="Times New Roman" w:hAnsi="Times New Roman" w:cs="Times New Roman"/>
          <w:sz w:val="24"/>
          <w:highlight w:val="none"/>
          <w:lang w:val="en-US" w:eastAsia="zh-CN"/>
        </w:rPr>
        <w:t>对74</w:t>
      </w:r>
      <w:r>
        <w:rPr>
          <w:rFonts w:hint="default" w:ascii="Times New Roman" w:hAnsi="Times New Roman" w:cs="Times New Roman"/>
          <w:sz w:val="24"/>
          <w:highlight w:val="none"/>
        </w:rPr>
        <w:t>个排气筒的</w:t>
      </w:r>
      <w:r>
        <w:rPr>
          <w:rFonts w:hint="default" w:ascii="Times New Roman" w:hAnsi="Times New Roman" w:cs="Times New Roman"/>
          <w:sz w:val="24"/>
          <w:highlight w:val="none"/>
          <w:lang w:val="en-US" w:eastAsia="zh-CN"/>
        </w:rPr>
        <w:t>苯系物（苯、甲苯、二甲苯、乙苯、苯乙烯）</w:t>
      </w:r>
      <w:r>
        <w:rPr>
          <w:rFonts w:hint="default" w:ascii="Times New Roman" w:hAnsi="Times New Roman" w:cs="Times New Roman"/>
          <w:sz w:val="24"/>
          <w:highlight w:val="none"/>
        </w:rPr>
        <w:t>数据</w:t>
      </w:r>
      <w:r>
        <w:rPr>
          <w:rFonts w:hint="default" w:ascii="Times New Roman" w:hAnsi="Times New Roman" w:cs="Times New Roman"/>
          <w:sz w:val="24"/>
          <w:highlight w:val="none"/>
          <w:lang w:val="en-US" w:eastAsia="zh-CN"/>
        </w:rPr>
        <w:t>相关性进行了分析，</w:t>
      </w:r>
      <w:r>
        <w:rPr>
          <w:rFonts w:hint="default" w:ascii="Times New Roman" w:hAnsi="Times New Roman" w:cs="Times New Roman"/>
          <w:sz w:val="24"/>
          <w:highlight w:val="none"/>
        </w:rPr>
        <w:t>排放废气中检测到的苯系物浓度与乙苯、二甲苯浓度均有强相关性（相关系数 &gt; 0.9），与甲苯（相关系数= 0.4）浓度也存在正相关关系，与苯（相关系数=0.08）、苯乙烯（相关系数=0.17）浓度无明显相关关系，因此，使用苯系物浓度也能够较好表征甲苯、二甲苯和乙苯的含量。</w:t>
      </w:r>
    </w:p>
    <w:p w14:paraId="6C01852E">
      <w:pPr>
        <w:keepNext/>
        <w:keepLines w:val="0"/>
        <w:pageBreakBefore w:val="0"/>
        <w:widowControl w:val="0"/>
        <w:kinsoku/>
        <w:wordWrap/>
        <w:autoSpaceDE/>
        <w:autoSpaceDN/>
        <w:bidi w:val="0"/>
        <w:spacing w:line="360" w:lineRule="auto"/>
        <w:ind w:firstLine="480" w:firstLineChars="200"/>
        <w:rPr>
          <w:rFonts w:hint="default" w:ascii="Times New Roman" w:hAnsi="Times New Roman" w:cs="Times New Roman"/>
          <w:sz w:val="24"/>
          <w:highlight w:val="none"/>
        </w:rPr>
      </w:pPr>
      <w:r>
        <w:rPr>
          <w:rFonts w:hint="default" w:ascii="Times New Roman" w:hAnsi="Times New Roman" w:cs="Times New Roman"/>
          <w:kern w:val="0"/>
          <w:sz w:val="24"/>
          <w:highlight w:val="none"/>
          <w:lang w:val="en-US" w:eastAsia="zh-CN"/>
        </w:rPr>
        <w:t>下表</w:t>
      </w:r>
      <w:r>
        <w:rPr>
          <w:rFonts w:hint="default" w:ascii="Times New Roman" w:hAnsi="Times New Roman" w:cs="Times New Roman"/>
          <w:kern w:val="0"/>
          <w:sz w:val="24"/>
          <w:highlight w:val="none"/>
        </w:rPr>
        <w:t>为喷烤漆房有组织废气中</w:t>
      </w:r>
      <w:r>
        <w:rPr>
          <w:rFonts w:hint="default" w:ascii="Times New Roman" w:hAnsi="Times New Roman" w:cs="Times New Roman"/>
          <w:kern w:val="0"/>
          <w:sz w:val="24"/>
          <w:highlight w:val="none"/>
          <w:lang w:val="en-US" w:eastAsia="zh-CN"/>
        </w:rPr>
        <w:t>苯系物</w:t>
      </w:r>
      <w:r>
        <w:rPr>
          <w:rFonts w:hint="default" w:ascii="Times New Roman" w:hAnsi="Times New Roman" w:cs="Times New Roman"/>
          <w:kern w:val="0"/>
          <w:sz w:val="24"/>
          <w:highlight w:val="none"/>
        </w:rPr>
        <w:t>的排放浓度情况，</w:t>
      </w:r>
      <w:r>
        <w:rPr>
          <w:rFonts w:hint="default" w:ascii="Times New Roman" w:hAnsi="Times New Roman" w:cs="Times New Roman"/>
          <w:kern w:val="0"/>
          <w:sz w:val="24"/>
          <w:highlight w:val="none"/>
          <w:lang w:val="en-US" w:eastAsia="zh-CN"/>
        </w:rPr>
        <w:t>74个排气筒</w:t>
      </w:r>
      <w:r>
        <w:rPr>
          <w:rFonts w:hint="default" w:ascii="Times New Roman" w:hAnsi="Times New Roman" w:cs="Times New Roman"/>
          <w:kern w:val="0"/>
          <w:sz w:val="24"/>
          <w:highlight w:val="none"/>
        </w:rPr>
        <w:t>数据均来自于</w:t>
      </w:r>
      <w:r>
        <w:rPr>
          <w:rFonts w:hint="default" w:ascii="Times New Roman" w:hAnsi="Times New Roman" w:cs="Times New Roman"/>
          <w:highlight w:val="none"/>
          <w:lang w:val="en-US" w:eastAsia="zh-CN"/>
        </w:rPr>
        <w:t>编制组</w:t>
      </w:r>
      <w:r>
        <w:rPr>
          <w:rFonts w:hint="default" w:ascii="Times New Roman" w:hAnsi="Times New Roman" w:cs="Times New Roman"/>
          <w:kern w:val="0"/>
          <w:sz w:val="24"/>
          <w:highlight w:val="none"/>
        </w:rPr>
        <w:t>实测数据</w:t>
      </w:r>
      <w:r>
        <w:rPr>
          <w:rFonts w:hint="default" w:ascii="Times New Roman" w:hAnsi="Times New Roman" w:cs="Times New Roman"/>
          <w:sz w:val="24"/>
          <w:highlight w:val="none"/>
        </w:rPr>
        <w:t>。可以看出，浓度范围在</w:t>
      </w:r>
      <w:r>
        <w:rPr>
          <w:rFonts w:hint="default" w:ascii="Times New Roman" w:hAnsi="Times New Roman" w:cs="Times New Roman"/>
          <w:sz w:val="24"/>
          <w:highlight w:val="none"/>
          <w:lang w:val="en-US" w:eastAsia="zh-CN"/>
        </w:rPr>
        <w:t>未检出（＜0.0015）</w:t>
      </w:r>
      <w:r>
        <w:rPr>
          <w:rFonts w:hint="default" w:ascii="Times New Roman" w:hAnsi="Times New Roman" w:cs="Times New Roman"/>
          <w:sz w:val="24"/>
          <w:highlight w:val="none"/>
        </w:rPr>
        <w:t>~</w:t>
      </w:r>
      <w:r>
        <w:rPr>
          <w:rFonts w:hint="default" w:ascii="Times New Roman" w:hAnsi="Times New Roman" w:cs="Times New Roman"/>
          <w:sz w:val="24"/>
          <w:highlight w:val="none"/>
          <w:lang w:val="en-US" w:eastAsia="zh-CN"/>
        </w:rPr>
        <w:t>38.394</w:t>
      </w:r>
      <w:r>
        <w:rPr>
          <w:rFonts w:hint="eastAsia" w:cs="Times New Roman"/>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sz w:val="24"/>
          <w:highlight w:val="none"/>
          <w:lang w:val="en-US" w:eastAsia="zh-CN"/>
        </w:rPr>
        <w:t>四川省现执行的</w:t>
      </w:r>
      <w:r>
        <w:rPr>
          <w:rFonts w:hint="default" w:ascii="Times New Roman" w:hAnsi="Times New Roman" w:cs="Times New Roman"/>
          <w:sz w:val="24"/>
          <w:highlight w:val="none"/>
        </w:rPr>
        <w:t>《四川省固定源大气挥发性有机物排放标准》（DB51/2377</w:t>
      </w:r>
      <w:r>
        <w:rPr>
          <w:rFonts w:hint="eastAsia" w:ascii="Times New Roman" w:hAnsi="Times New Roman" w:cs="Times New Roman"/>
          <w:sz w:val="24"/>
          <w:highlight w:val="none"/>
          <w:lang w:eastAsia="zh-CN"/>
        </w:rPr>
        <w:t>—</w:t>
      </w:r>
      <w:r>
        <w:rPr>
          <w:rFonts w:hint="default" w:ascii="Times New Roman" w:hAnsi="Times New Roman" w:cs="Times New Roman"/>
          <w:sz w:val="24"/>
          <w:highlight w:val="none"/>
        </w:rPr>
        <w:t>20</w:t>
      </w:r>
      <w:r>
        <w:rPr>
          <w:rFonts w:hint="default" w:ascii="Times New Roman" w:hAnsi="Times New Roman" w:cs="Times New Roman"/>
          <w:sz w:val="24"/>
          <w:highlight w:val="none"/>
          <w:lang w:val="en-US" w:eastAsia="zh-CN"/>
        </w:rPr>
        <w:t>17</w:t>
      </w:r>
      <w:r>
        <w:rPr>
          <w:rFonts w:hint="default" w:ascii="Times New Roman" w:hAnsi="Times New Roman" w:cs="Times New Roman"/>
          <w:sz w:val="24"/>
          <w:highlight w:val="none"/>
        </w:rPr>
        <w:t>）</w:t>
      </w:r>
      <w:r>
        <w:rPr>
          <w:rFonts w:hint="default" w:ascii="Times New Roman" w:hAnsi="Times New Roman" w:cs="Times New Roman"/>
          <w:sz w:val="24"/>
          <w:highlight w:val="none"/>
          <w:lang w:val="en-US" w:eastAsia="zh-CN"/>
        </w:rPr>
        <w:t>无苯系物限值要求，暂不对比。</w:t>
      </w:r>
      <w:r>
        <w:rPr>
          <w:rFonts w:hint="default" w:ascii="Times New Roman" w:hAnsi="Times New Roman" w:cs="Times New Roman"/>
          <w:color w:val="000000"/>
          <w:kern w:val="0"/>
          <w:sz w:val="24"/>
          <w:highlight w:val="none"/>
          <w:lang w:val="en-US" w:eastAsia="zh-CN"/>
        </w:rPr>
        <w:t>平均浓度为1.339±4.566</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vertAlign w:val="baseline"/>
          <w:lang w:eastAsia="zh-CN"/>
        </w:rPr>
        <w:t>，</w:t>
      </w:r>
      <w:r>
        <w:rPr>
          <w:rFonts w:hint="default" w:ascii="Times New Roman" w:hAnsi="Times New Roman" w:cs="Times New Roman"/>
          <w:sz w:val="24"/>
          <w:highlight w:val="none"/>
          <w:lang w:val="en-US" w:eastAsia="zh-CN"/>
        </w:rPr>
        <w:t>仅1个排气筒浓度超过10</w:t>
      </w:r>
      <w:r>
        <w:rPr>
          <w:rFonts w:hint="eastAsia" w:cs="Times New Roman"/>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vertAlign w:val="baseline"/>
          <w:lang w:eastAsia="zh-CN"/>
        </w:rPr>
        <w:t>，</w:t>
      </w:r>
      <w:r>
        <w:rPr>
          <w:rFonts w:hint="default" w:ascii="Times New Roman" w:hAnsi="Times New Roman" w:cs="Times New Roman"/>
          <w:color w:val="000000"/>
          <w:kern w:val="0"/>
          <w:sz w:val="24"/>
          <w:highlight w:val="none"/>
          <w:vertAlign w:val="baseline"/>
          <w:lang w:val="en-US" w:eastAsia="zh-CN"/>
        </w:rPr>
        <w:t>实测浓度为</w:t>
      </w:r>
      <w:r>
        <w:rPr>
          <w:rFonts w:hint="default" w:ascii="Times New Roman" w:hAnsi="Times New Roman" w:cs="Times New Roman"/>
          <w:sz w:val="24"/>
          <w:highlight w:val="none"/>
          <w:lang w:val="en-US" w:eastAsia="zh-CN"/>
        </w:rPr>
        <w:t>38.394</w:t>
      </w:r>
      <w:r>
        <w:rPr>
          <w:rFonts w:hint="eastAsia" w:cs="Times New Roman"/>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vertAlign w:val="baseline"/>
          <w:lang w:eastAsia="zh-CN"/>
        </w:rPr>
        <w:t>，</w:t>
      </w:r>
      <w:r>
        <w:rPr>
          <w:rFonts w:hint="default" w:ascii="Times New Roman" w:hAnsi="Times New Roman" w:cs="Times New Roman"/>
          <w:color w:val="000000"/>
          <w:kern w:val="0"/>
          <w:sz w:val="24"/>
          <w:highlight w:val="none"/>
          <w:vertAlign w:val="baseline"/>
          <w:lang w:val="en-US" w:eastAsia="zh-CN"/>
        </w:rPr>
        <w:t>该企业为一类汽车维修，治理设施为UV光氧+活性炭，其余排口浓度均低于</w:t>
      </w:r>
      <w:r>
        <w:rPr>
          <w:rFonts w:hint="default" w:ascii="Times New Roman" w:hAnsi="Times New Roman" w:cs="Times New Roman"/>
          <w:sz w:val="24"/>
          <w:highlight w:val="none"/>
          <w:lang w:val="en-US" w:eastAsia="zh-CN"/>
        </w:rPr>
        <w:t>10</w:t>
      </w:r>
      <w:r>
        <w:rPr>
          <w:rFonts w:hint="eastAsia" w:cs="Times New Roman"/>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vertAlign w:val="baseline"/>
          <w:lang w:eastAsia="zh-CN"/>
        </w:rPr>
        <w:t>，</w:t>
      </w:r>
      <w:r>
        <w:rPr>
          <w:rFonts w:hint="default" w:ascii="Times New Roman" w:hAnsi="Times New Roman" w:cs="Times New Roman"/>
          <w:color w:val="000000"/>
          <w:kern w:val="0"/>
          <w:sz w:val="24"/>
          <w:highlight w:val="none"/>
          <w:vertAlign w:val="baseline"/>
          <w:lang w:val="en-US" w:eastAsia="zh-CN"/>
        </w:rPr>
        <w:t>浓度范围为未检出~4.108</w:t>
      </w:r>
      <w:r>
        <w:rPr>
          <w:rFonts w:hint="eastAsia" w:cs="Times New Roman"/>
          <w:color w:val="000000"/>
          <w:kern w:val="0"/>
          <w:sz w:val="24"/>
          <w:highlight w:val="none"/>
          <w:vertAlign w:val="baseli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vertAlign w:val="baseline"/>
          <w:lang w:eastAsia="zh-CN"/>
        </w:rPr>
        <w:t>。</w:t>
      </w:r>
    </w:p>
    <w:p w14:paraId="07F40805">
      <w:pPr>
        <w:keepNext/>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kern w:val="0"/>
          <w:szCs w:val="21"/>
          <w:highlight w:val="none"/>
        </w:rPr>
      </w:pPr>
      <w:r>
        <w:rPr>
          <w:rFonts w:hint="eastAsia" w:cs="Times New Roman"/>
          <w:kern w:val="0"/>
          <w:szCs w:val="21"/>
          <w:highlight w:val="none"/>
          <w:lang w:val="en-US" w:eastAsia="zh-CN"/>
        </w:rPr>
        <w:t>表7.5</w:t>
      </w:r>
      <w:r>
        <w:rPr>
          <w:rFonts w:hint="default" w:ascii="Times New Roman" w:hAnsi="Times New Roman" w:cs="Times New Roman"/>
          <w:kern w:val="0"/>
          <w:szCs w:val="21"/>
          <w:highlight w:val="none"/>
        </w:rPr>
        <w:t>-</w:t>
      </w:r>
      <w:r>
        <w:rPr>
          <w:rFonts w:hint="eastAsia" w:cs="Times New Roman"/>
          <w:kern w:val="0"/>
          <w:szCs w:val="21"/>
          <w:highlight w:val="none"/>
          <w:lang w:val="en-US" w:eastAsia="zh-CN"/>
        </w:rPr>
        <w:t>5</w:t>
      </w:r>
      <w:r>
        <w:rPr>
          <w:rFonts w:hint="default" w:ascii="Times New Roman" w:hAnsi="Times New Roman" w:cs="Times New Roman"/>
          <w:kern w:val="0"/>
          <w:szCs w:val="21"/>
          <w:highlight w:val="none"/>
        </w:rPr>
        <w:t xml:space="preserve"> </w:t>
      </w:r>
      <w:r>
        <w:rPr>
          <w:rFonts w:hint="default" w:ascii="Times New Roman" w:hAnsi="Times New Roman" w:cs="Times New Roman"/>
          <w:kern w:val="0"/>
          <w:szCs w:val="21"/>
          <w:highlight w:val="none"/>
          <w:lang w:val="en-US" w:eastAsia="zh-CN"/>
        </w:rPr>
        <w:t>调研实测</w:t>
      </w:r>
      <w:r>
        <w:rPr>
          <w:rFonts w:hint="default" w:ascii="Times New Roman" w:hAnsi="Times New Roman" w:cs="Times New Roman"/>
          <w:kern w:val="0"/>
          <w:szCs w:val="21"/>
          <w:highlight w:val="none"/>
        </w:rPr>
        <w:t>有组织废气苯系物的排放浓度测试结果</w:t>
      </w:r>
    </w:p>
    <w:tbl>
      <w:tblPr>
        <w:tblStyle w:val="21"/>
        <w:tblW w:w="4998"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345"/>
        <w:gridCol w:w="1496"/>
        <w:gridCol w:w="1346"/>
        <w:gridCol w:w="1496"/>
        <w:gridCol w:w="1346"/>
        <w:gridCol w:w="1496"/>
      </w:tblGrid>
      <w:tr w14:paraId="4B7340E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7" w:hRule="atLeast"/>
          <w:tblHeader/>
        </w:trPr>
        <w:tc>
          <w:tcPr>
            <w:tcW w:w="78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3AD545">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21"/>
                <w:szCs w:val="21"/>
                <w:highlight w:val="none"/>
                <w:u w:val="none"/>
                <w:lang w:val="en-US" w:eastAsia="zh-CN" w:bidi="ar"/>
              </w:rPr>
            </w:pPr>
            <w:r>
              <w:rPr>
                <w:rFonts w:hint="default" w:ascii="Times New Roman" w:hAnsi="Times New Roman" w:eastAsia="宋体" w:cs="Times New Roman"/>
                <w:b/>
                <w:bCs/>
                <w:i w:val="0"/>
                <w:iCs w:val="0"/>
                <w:color w:val="000000"/>
                <w:kern w:val="0"/>
                <w:sz w:val="21"/>
                <w:szCs w:val="21"/>
                <w:highlight w:val="none"/>
                <w:u w:val="none"/>
                <w:lang w:val="en-US" w:eastAsia="zh-CN" w:bidi="ar"/>
              </w:rPr>
              <w:t>序号</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FC201A">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21"/>
                <w:szCs w:val="21"/>
                <w:highlight w:val="none"/>
                <w:u w:val="none"/>
                <w:lang w:val="en-US" w:eastAsia="zh-CN" w:bidi="ar"/>
              </w:rPr>
            </w:pPr>
            <w:r>
              <w:rPr>
                <w:rFonts w:hint="default" w:ascii="Times New Roman" w:hAnsi="Times New Roman" w:eastAsia="宋体" w:cs="Times New Roman"/>
                <w:b/>
                <w:bCs/>
                <w:i w:val="0"/>
                <w:iCs w:val="0"/>
                <w:color w:val="000000"/>
                <w:kern w:val="0"/>
                <w:sz w:val="21"/>
                <w:szCs w:val="21"/>
                <w:highlight w:val="none"/>
                <w:u w:val="none"/>
                <w:lang w:val="en-US" w:eastAsia="zh-CN" w:bidi="ar"/>
              </w:rPr>
              <w:t>苯系物浓度（mg/m</w:t>
            </w:r>
            <w:r>
              <w:rPr>
                <w:rFonts w:hint="default" w:ascii="Times New Roman" w:hAnsi="Times New Roman" w:eastAsia="宋体" w:cs="Times New Roman"/>
                <w:b/>
                <w:bCs/>
                <w:i w:val="0"/>
                <w:iCs w:val="0"/>
                <w:color w:val="000000"/>
                <w:kern w:val="0"/>
                <w:sz w:val="21"/>
                <w:szCs w:val="21"/>
                <w:highlight w:val="none"/>
                <w:u w:val="none"/>
                <w:vertAlign w:val="superscript"/>
                <w:lang w:val="en-US" w:eastAsia="zh-CN" w:bidi="ar"/>
              </w:rPr>
              <w:t>3</w:t>
            </w:r>
            <w:r>
              <w:rPr>
                <w:rFonts w:hint="default" w:ascii="Times New Roman" w:hAnsi="Times New Roman" w:eastAsia="宋体" w:cs="Times New Roman"/>
                <w:b/>
                <w:bCs/>
                <w:i w:val="0"/>
                <w:iCs w:val="0"/>
                <w:color w:val="000000"/>
                <w:kern w:val="0"/>
                <w:sz w:val="21"/>
                <w:szCs w:val="21"/>
                <w:highlight w:val="none"/>
                <w:u w:val="none"/>
                <w:lang w:val="en-US" w:eastAsia="zh-CN" w:bidi="ar"/>
              </w:rPr>
              <w:t>）</w:t>
            </w:r>
          </w:p>
        </w:tc>
        <w:tc>
          <w:tcPr>
            <w:tcW w:w="78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83BD79">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21"/>
                <w:szCs w:val="21"/>
                <w:highlight w:val="none"/>
                <w:u w:val="none"/>
                <w:lang w:val="en-US" w:eastAsia="zh-CN" w:bidi="ar"/>
              </w:rPr>
            </w:pPr>
            <w:r>
              <w:rPr>
                <w:rFonts w:hint="default" w:ascii="Times New Roman" w:hAnsi="Times New Roman" w:eastAsia="宋体" w:cs="Times New Roman"/>
                <w:b/>
                <w:bCs/>
                <w:i w:val="0"/>
                <w:iCs w:val="0"/>
                <w:color w:val="000000"/>
                <w:kern w:val="0"/>
                <w:sz w:val="21"/>
                <w:szCs w:val="21"/>
                <w:highlight w:val="none"/>
                <w:u w:val="none"/>
                <w:lang w:val="en-US" w:eastAsia="zh-CN" w:bidi="ar"/>
              </w:rPr>
              <w:t>序号</w:t>
            </w:r>
          </w:p>
        </w:tc>
        <w:tc>
          <w:tcPr>
            <w:tcW w:w="14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A02A20">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21"/>
                <w:szCs w:val="21"/>
                <w:highlight w:val="none"/>
                <w:u w:val="none"/>
                <w:lang w:val="en-US" w:eastAsia="zh-CN" w:bidi="ar"/>
              </w:rPr>
            </w:pPr>
            <w:r>
              <w:rPr>
                <w:rFonts w:hint="default" w:ascii="Times New Roman" w:hAnsi="Times New Roman" w:eastAsia="宋体" w:cs="Times New Roman"/>
                <w:b/>
                <w:bCs/>
                <w:i w:val="0"/>
                <w:iCs w:val="0"/>
                <w:color w:val="000000"/>
                <w:kern w:val="0"/>
                <w:sz w:val="21"/>
                <w:szCs w:val="21"/>
                <w:highlight w:val="none"/>
                <w:u w:val="none"/>
                <w:lang w:val="en-US" w:eastAsia="zh-CN" w:bidi="ar"/>
              </w:rPr>
              <w:t>苯系物浓度（mg/m</w:t>
            </w:r>
            <w:r>
              <w:rPr>
                <w:rFonts w:hint="default" w:ascii="Times New Roman" w:hAnsi="Times New Roman" w:eastAsia="宋体" w:cs="Times New Roman"/>
                <w:b/>
                <w:bCs/>
                <w:i w:val="0"/>
                <w:iCs w:val="0"/>
                <w:color w:val="000000"/>
                <w:kern w:val="0"/>
                <w:sz w:val="21"/>
                <w:szCs w:val="21"/>
                <w:highlight w:val="none"/>
                <w:u w:val="none"/>
                <w:vertAlign w:val="superscript"/>
                <w:lang w:val="en-US" w:eastAsia="zh-CN" w:bidi="ar"/>
              </w:rPr>
              <w:t>3</w:t>
            </w:r>
            <w:r>
              <w:rPr>
                <w:rFonts w:hint="default" w:ascii="Times New Roman" w:hAnsi="Times New Roman" w:eastAsia="宋体" w:cs="Times New Roman"/>
                <w:b/>
                <w:bCs/>
                <w:i w:val="0"/>
                <w:iCs w:val="0"/>
                <w:color w:val="000000"/>
                <w:kern w:val="0"/>
                <w:sz w:val="21"/>
                <w:szCs w:val="21"/>
                <w:highlight w:val="none"/>
                <w:u w:val="none"/>
                <w:lang w:val="en-US" w:eastAsia="zh-CN" w:bidi="ar"/>
              </w:rPr>
              <w:t>）</w:t>
            </w:r>
          </w:p>
        </w:tc>
        <w:tc>
          <w:tcPr>
            <w:tcW w:w="78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881617">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21"/>
                <w:szCs w:val="21"/>
                <w:highlight w:val="none"/>
                <w:u w:val="none"/>
                <w:lang w:val="en-US" w:eastAsia="zh-CN" w:bidi="ar"/>
              </w:rPr>
            </w:pPr>
            <w:r>
              <w:rPr>
                <w:rFonts w:hint="default" w:ascii="Times New Roman" w:hAnsi="Times New Roman" w:eastAsia="宋体" w:cs="Times New Roman"/>
                <w:b/>
                <w:bCs/>
                <w:i w:val="0"/>
                <w:iCs w:val="0"/>
                <w:color w:val="000000"/>
                <w:kern w:val="0"/>
                <w:sz w:val="21"/>
                <w:szCs w:val="21"/>
                <w:highlight w:val="none"/>
                <w:u w:val="none"/>
                <w:lang w:val="en-US" w:eastAsia="zh-CN" w:bidi="ar"/>
              </w:rPr>
              <w:t>序号</w:t>
            </w:r>
          </w:p>
        </w:tc>
        <w:tc>
          <w:tcPr>
            <w:tcW w:w="14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03E6AF">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21"/>
                <w:szCs w:val="21"/>
                <w:highlight w:val="none"/>
                <w:u w:val="none"/>
                <w:lang w:val="en-US" w:eastAsia="zh-CN" w:bidi="ar"/>
              </w:rPr>
            </w:pPr>
            <w:r>
              <w:rPr>
                <w:rFonts w:hint="default" w:ascii="Times New Roman" w:hAnsi="Times New Roman" w:eastAsia="宋体" w:cs="Times New Roman"/>
                <w:b/>
                <w:bCs/>
                <w:i w:val="0"/>
                <w:iCs w:val="0"/>
                <w:color w:val="000000"/>
                <w:kern w:val="0"/>
                <w:sz w:val="21"/>
                <w:szCs w:val="21"/>
                <w:highlight w:val="none"/>
                <w:u w:val="none"/>
                <w:lang w:val="en-US" w:eastAsia="zh-CN" w:bidi="ar"/>
              </w:rPr>
              <w:t>苯系物浓度（mg/m</w:t>
            </w:r>
            <w:r>
              <w:rPr>
                <w:rFonts w:hint="default" w:ascii="Times New Roman" w:hAnsi="Times New Roman" w:eastAsia="宋体" w:cs="Times New Roman"/>
                <w:b/>
                <w:bCs/>
                <w:i w:val="0"/>
                <w:iCs w:val="0"/>
                <w:color w:val="000000"/>
                <w:kern w:val="0"/>
                <w:sz w:val="21"/>
                <w:szCs w:val="21"/>
                <w:highlight w:val="none"/>
                <w:u w:val="none"/>
                <w:vertAlign w:val="superscript"/>
                <w:lang w:val="en-US" w:eastAsia="zh-CN" w:bidi="ar"/>
              </w:rPr>
              <w:t>3</w:t>
            </w:r>
            <w:r>
              <w:rPr>
                <w:rFonts w:hint="default" w:ascii="Times New Roman" w:hAnsi="Times New Roman" w:eastAsia="宋体" w:cs="Times New Roman"/>
                <w:b/>
                <w:bCs/>
                <w:i w:val="0"/>
                <w:iCs w:val="0"/>
                <w:color w:val="000000"/>
                <w:kern w:val="0"/>
                <w:sz w:val="21"/>
                <w:szCs w:val="21"/>
                <w:highlight w:val="none"/>
                <w:u w:val="none"/>
                <w:lang w:val="en-US" w:eastAsia="zh-CN" w:bidi="ar"/>
              </w:rPr>
              <w:t>）</w:t>
            </w:r>
          </w:p>
        </w:tc>
      </w:tr>
      <w:tr w14:paraId="3E3A132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CE0969">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排气筒1</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786536">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C7B3E9">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排气筒26</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170FF6">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0.794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A24ADD">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排气筒51</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BA6C78">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38.394 </w:t>
            </w:r>
          </w:p>
        </w:tc>
      </w:tr>
      <w:tr w14:paraId="2643791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8466EE">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排气筒2</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1042D0">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1.145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10BA7E">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排气筒27</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711B06">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0.096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72D2C1">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排气筒52</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DF0246">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0.297 </w:t>
            </w:r>
          </w:p>
        </w:tc>
      </w:tr>
      <w:tr w14:paraId="16C6D4F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30B70D">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排气筒3</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7EEB6A">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0.640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3CFE48">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排气筒28</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5EAF88">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0.289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C57C8F">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排气筒53</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73900B">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0.063 </w:t>
            </w:r>
          </w:p>
        </w:tc>
      </w:tr>
      <w:tr w14:paraId="54604A7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5F5231">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排气筒4</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3A08A0">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0.054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C816B4">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排气筒29</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3BEEBE">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1.299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7E7262">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排气筒54</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70837F">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4.108 </w:t>
            </w:r>
          </w:p>
        </w:tc>
      </w:tr>
      <w:tr w14:paraId="618307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00DE89">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排气筒5</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45643E">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0.039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7F32FC">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排气筒30</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550380">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0.228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C42D1F">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排气筒55</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988648">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1.294 </w:t>
            </w:r>
          </w:p>
        </w:tc>
      </w:tr>
      <w:tr w14:paraId="3EBAA05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2E6E33">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排气筒6</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366454">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3.269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C3F755">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排气筒31</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51B536">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0.232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61C4B5">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排气筒56</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D58087">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0.207 </w:t>
            </w:r>
          </w:p>
        </w:tc>
      </w:tr>
      <w:tr w14:paraId="3F57A97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03B667">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排气筒7</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74912A">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0.195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B857E3">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排气筒32</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9F081C">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0.587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3157F0">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排气筒57</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935434">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0.340 </w:t>
            </w:r>
          </w:p>
        </w:tc>
      </w:tr>
      <w:tr w14:paraId="53FEBF9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B53AFF">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排气筒8</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8E5473">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3.847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6CC266">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排气筒33</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67F828">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0.222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379CD3">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排气筒58</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97BD10">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0.118 </w:t>
            </w:r>
          </w:p>
        </w:tc>
      </w:tr>
      <w:tr w14:paraId="763E297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B544A8">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排气筒9</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9EE07B">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0.219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7A3932">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排气筒34</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64173F">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0.207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21FAC2">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排气筒59</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B10004">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2.255 </w:t>
            </w:r>
          </w:p>
        </w:tc>
      </w:tr>
      <w:tr w14:paraId="2A159CF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362EF5">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排气筒10</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8CA00E">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1.903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DA95E2">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排气筒35</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2748F3">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0.177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4F6CB9">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排气筒60</w:t>
            </w:r>
          </w:p>
        </w:tc>
        <w:tc>
          <w:tcPr>
            <w:tcW w:w="1496"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395850">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0.437 </w:t>
            </w:r>
          </w:p>
        </w:tc>
      </w:tr>
      <w:tr w14:paraId="19E7C6F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34AAF8">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排气筒11</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A0BB3B">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0.206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9856F7">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排气筒36</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6C255E">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4.108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634D8E">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排气筒61</w:t>
            </w:r>
          </w:p>
        </w:tc>
        <w:tc>
          <w:tcPr>
            <w:tcW w:w="1496"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5C3EA8">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0.083 </w:t>
            </w:r>
          </w:p>
        </w:tc>
      </w:tr>
      <w:tr w14:paraId="35E3F90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FB7FB1">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排气筒12</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4DB31D">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1.050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502F78">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排气筒37</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D49B45">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1.294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867C29">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排气筒62</w:t>
            </w:r>
          </w:p>
        </w:tc>
        <w:tc>
          <w:tcPr>
            <w:tcW w:w="1496"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8290B4">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0.078 </w:t>
            </w:r>
          </w:p>
        </w:tc>
      </w:tr>
      <w:tr w14:paraId="42B45F7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B71AF9">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排气筒13</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2B498C">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0.794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0CF77D">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排气筒38</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EF95A2">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1.851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309365">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排气筒63</w:t>
            </w:r>
          </w:p>
        </w:tc>
        <w:tc>
          <w:tcPr>
            <w:tcW w:w="1496"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78F601">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0.214 </w:t>
            </w:r>
          </w:p>
        </w:tc>
      </w:tr>
      <w:tr w14:paraId="5190EF5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58F470">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排气筒14</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EEA498">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0.096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A62F4B">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排气筒39</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8BAEA4">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1.030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427A9F">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排气筒64</w:t>
            </w:r>
          </w:p>
        </w:tc>
        <w:tc>
          <w:tcPr>
            <w:tcW w:w="1496"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CA9F25">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0.287 </w:t>
            </w:r>
          </w:p>
        </w:tc>
      </w:tr>
      <w:tr w14:paraId="1209BCC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BD98AF">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排气筒15</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A8CA1C">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0.289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A55E9D">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排气筒40</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9E2429">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7C9E22">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排气筒65</w:t>
            </w:r>
          </w:p>
        </w:tc>
        <w:tc>
          <w:tcPr>
            <w:tcW w:w="1496"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2C59C8">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0.722 </w:t>
            </w:r>
          </w:p>
        </w:tc>
      </w:tr>
      <w:tr w14:paraId="0E9BEE2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054E9A">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排气筒16</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05B999">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1.299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FF1525">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排气筒41</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3DF94D">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0.030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9D2C71">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排气筒66</w:t>
            </w:r>
          </w:p>
        </w:tc>
        <w:tc>
          <w:tcPr>
            <w:tcW w:w="1496"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3A10C1">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0.472 </w:t>
            </w:r>
          </w:p>
        </w:tc>
      </w:tr>
      <w:tr w14:paraId="5DB50C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4AA6F0">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排气筒17</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DC5575">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0.228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F3DEAF">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排气筒42</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9B1955">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0.159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90527D">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排气筒67</w:t>
            </w:r>
          </w:p>
        </w:tc>
        <w:tc>
          <w:tcPr>
            <w:tcW w:w="1496"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9096DB">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0.570 </w:t>
            </w:r>
          </w:p>
        </w:tc>
      </w:tr>
      <w:tr w14:paraId="5C93C7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7FD2CA">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排气筒18</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5A007D">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0.232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AF9089">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排气筒43</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B7DC07">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2.410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AB047D">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排气筒68</w:t>
            </w:r>
          </w:p>
        </w:tc>
        <w:tc>
          <w:tcPr>
            <w:tcW w:w="1496"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A8A8AE">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0.074 </w:t>
            </w:r>
          </w:p>
        </w:tc>
      </w:tr>
      <w:tr w14:paraId="0EE1BEF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EA0131">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排气筒19</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C2448F">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0.587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7DCD00">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排气筒44</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5B7137">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1.088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97612B">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排气筒69</w:t>
            </w:r>
          </w:p>
        </w:tc>
        <w:tc>
          <w:tcPr>
            <w:tcW w:w="1496"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2A475F">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0.057 </w:t>
            </w:r>
          </w:p>
        </w:tc>
      </w:tr>
      <w:tr w14:paraId="235D2CE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A1E58C">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排气筒20</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71A5BB">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0.222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FB563F">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排气筒45</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49669A">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1.267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8CEA4A">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排气筒70</w:t>
            </w:r>
          </w:p>
        </w:tc>
        <w:tc>
          <w:tcPr>
            <w:tcW w:w="14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B55936">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0.016 </w:t>
            </w:r>
          </w:p>
        </w:tc>
      </w:tr>
      <w:tr w14:paraId="6046234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536A8D">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排气筒21</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46C901">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0.207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4415D4">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排气筒46</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5683A8">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0.978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1EB42F">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排气筒71</w:t>
            </w:r>
          </w:p>
        </w:tc>
        <w:tc>
          <w:tcPr>
            <w:tcW w:w="14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4BD802">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0.035 </w:t>
            </w:r>
          </w:p>
        </w:tc>
      </w:tr>
      <w:tr w14:paraId="0CD35D4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D6DB57">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排气筒22</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739FE8">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0.177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2B38D2">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排气筒47</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4E004B">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2.467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33822C">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排气筒72</w:t>
            </w:r>
          </w:p>
        </w:tc>
        <w:tc>
          <w:tcPr>
            <w:tcW w:w="14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692836">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0.170 </w:t>
            </w:r>
          </w:p>
        </w:tc>
      </w:tr>
      <w:tr w14:paraId="67661E3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66C4F2">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排气筒23</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069359">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1.903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B8A8E9">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排气筒48</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46CC11">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0.100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B9316C">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排气筒73</w:t>
            </w:r>
          </w:p>
        </w:tc>
        <w:tc>
          <w:tcPr>
            <w:tcW w:w="14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F51A9A">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r>
      <w:tr w14:paraId="114AC0B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0C18E7">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排气筒24</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739C21">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0.206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6FBB4D">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排气筒49</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1B62C3">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0.998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6BD13D">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排气筒74</w:t>
            </w:r>
          </w:p>
        </w:tc>
        <w:tc>
          <w:tcPr>
            <w:tcW w:w="14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FCE4AA">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1.661 </w:t>
            </w:r>
          </w:p>
        </w:tc>
      </w:tr>
      <w:tr w14:paraId="7978DFF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0B9A9C">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排气筒25</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B3A8CA">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 xml:space="preserve">1.050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3CDDD5">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排气筒50</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19878B">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r>
              <w:rPr>
                <w:rFonts w:hint="default" w:ascii="Times New Roman" w:hAnsi="Times New Roman" w:eastAsia="宋体" w:cs="Times New Roman"/>
                <w:i w:val="0"/>
                <w:iCs w:val="0"/>
                <w:color w:val="000000"/>
                <w:kern w:val="0"/>
                <w:sz w:val="21"/>
                <w:szCs w:val="21"/>
                <w:highlight w:val="none"/>
                <w:u w:val="none"/>
                <w:lang w:val="en-US" w:eastAsia="zh-CN" w:bidi="ar"/>
              </w:rPr>
              <w:t>未检出</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FEE173">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p>
        </w:tc>
        <w:tc>
          <w:tcPr>
            <w:tcW w:w="8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FB0272">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i w:val="0"/>
                <w:iCs w:val="0"/>
                <w:color w:val="000000"/>
                <w:kern w:val="0"/>
                <w:sz w:val="21"/>
                <w:szCs w:val="21"/>
                <w:highlight w:val="none"/>
                <w:u w:val="none"/>
                <w:lang w:val="en-US" w:eastAsia="zh-CN" w:bidi="ar"/>
              </w:rPr>
            </w:pPr>
          </w:p>
        </w:tc>
      </w:tr>
    </w:tbl>
    <w:p w14:paraId="4D5BD1DE">
      <w:pPr>
        <w:keepNext/>
        <w:keepLines w:val="0"/>
        <w:pageBreakBefore w:val="0"/>
        <w:widowControl w:val="0"/>
        <w:kinsoku/>
        <w:wordWrap/>
        <w:autoSpaceDE/>
        <w:autoSpaceDN/>
        <w:bidi w:val="0"/>
        <w:spacing w:line="360" w:lineRule="auto"/>
        <w:ind w:firstLine="482" w:firstLineChars="200"/>
        <w:rPr>
          <w:rFonts w:hint="default" w:ascii="Times New Roman" w:hAnsi="Times New Roman" w:eastAsia="宋体" w:cs="Times New Roman"/>
          <w:b/>
          <w:bCs/>
          <w:kern w:val="0"/>
          <w:sz w:val="24"/>
          <w:highlight w:val="none"/>
          <w:lang w:val="en-US" w:eastAsia="zh-CN"/>
        </w:rPr>
      </w:pPr>
      <w:r>
        <w:rPr>
          <w:rFonts w:hint="default" w:ascii="Times New Roman" w:hAnsi="Times New Roman" w:cs="Times New Roman"/>
          <w:b/>
          <w:bCs/>
          <w:kern w:val="0"/>
          <w:sz w:val="24"/>
          <w:highlight w:val="none"/>
          <w:lang w:eastAsia="zh-CN"/>
        </w:rPr>
        <w:t>（</w:t>
      </w:r>
      <w:r>
        <w:rPr>
          <w:rFonts w:hint="default" w:ascii="Times New Roman" w:hAnsi="Times New Roman" w:cs="Times New Roman"/>
          <w:b/>
          <w:bCs/>
          <w:kern w:val="0"/>
          <w:sz w:val="24"/>
          <w:highlight w:val="none"/>
          <w:lang w:val="en-US" w:eastAsia="zh-CN"/>
        </w:rPr>
        <w:t>2</w:t>
      </w:r>
      <w:r>
        <w:rPr>
          <w:rFonts w:hint="default" w:ascii="Times New Roman" w:hAnsi="Times New Roman" w:cs="Times New Roman"/>
          <w:b/>
          <w:bCs/>
          <w:kern w:val="0"/>
          <w:sz w:val="24"/>
          <w:highlight w:val="none"/>
          <w:lang w:eastAsia="zh-CN"/>
        </w:rPr>
        <w:t>）</w:t>
      </w:r>
      <w:r>
        <w:rPr>
          <w:rFonts w:hint="default" w:ascii="Times New Roman" w:hAnsi="Times New Roman" w:cs="Times New Roman"/>
          <w:b/>
          <w:bCs/>
          <w:kern w:val="0"/>
          <w:sz w:val="24"/>
          <w:highlight w:val="none"/>
          <w:lang w:val="en-US" w:eastAsia="zh-CN"/>
        </w:rPr>
        <w:t>企业自行监测报告</w:t>
      </w:r>
    </w:p>
    <w:p w14:paraId="6CFB341F">
      <w:pPr>
        <w:keepNext/>
        <w:keepLines w:val="0"/>
        <w:pageBreakBefore w:val="0"/>
        <w:widowControl w:val="0"/>
        <w:kinsoku/>
        <w:wordWrap/>
        <w:autoSpaceDE/>
        <w:autoSpaceDN/>
        <w:bidi w:val="0"/>
        <w:spacing w:line="360" w:lineRule="auto"/>
        <w:ind w:firstLine="480" w:firstLineChars="200"/>
        <w:rPr>
          <w:rFonts w:hint="default" w:ascii="Times New Roman" w:hAnsi="Times New Roman" w:cs="Times New Roman"/>
          <w:color w:val="000000"/>
          <w:kern w:val="0"/>
          <w:sz w:val="24"/>
          <w:highlight w:val="none"/>
        </w:rPr>
      </w:pPr>
      <w:r>
        <w:rPr>
          <w:rFonts w:hint="default" w:ascii="Times New Roman" w:hAnsi="Times New Roman" w:cs="Times New Roman"/>
          <w:sz w:val="24"/>
          <w:highlight w:val="none"/>
        </w:rPr>
        <w:t>同时，我们对收集的企业自行监测的数据进行统计分析，其中有</w:t>
      </w:r>
      <w:r>
        <w:rPr>
          <w:rFonts w:hint="default" w:ascii="Times New Roman" w:hAnsi="Times New Roman" w:cs="Times New Roman"/>
          <w:sz w:val="24"/>
          <w:highlight w:val="none"/>
          <w:lang w:val="en-US" w:eastAsia="zh-CN"/>
        </w:rPr>
        <w:t>208个排气筒</w:t>
      </w:r>
      <w:r>
        <w:rPr>
          <w:rFonts w:hint="default" w:ascii="Times New Roman" w:hAnsi="Times New Roman" w:cs="Times New Roman"/>
          <w:sz w:val="24"/>
          <w:highlight w:val="none"/>
        </w:rPr>
        <w:t>对</w:t>
      </w:r>
      <w:r>
        <w:rPr>
          <w:rFonts w:hint="default" w:ascii="Times New Roman" w:hAnsi="Times New Roman" w:cs="Times New Roman"/>
          <w:sz w:val="24"/>
          <w:highlight w:val="none"/>
          <w:lang w:val="en-US" w:eastAsia="zh-CN"/>
        </w:rPr>
        <w:t>苯、甲苯、二甲苯</w:t>
      </w:r>
      <w:r>
        <w:rPr>
          <w:rFonts w:hint="default" w:ascii="Times New Roman" w:hAnsi="Times New Roman" w:cs="Times New Roman"/>
          <w:sz w:val="24"/>
          <w:highlight w:val="none"/>
        </w:rPr>
        <w:t>进行监测，</w:t>
      </w:r>
      <w:r>
        <w:rPr>
          <w:rFonts w:hint="default" w:ascii="Times New Roman" w:hAnsi="Times New Roman" w:cs="Times New Roman"/>
          <w:sz w:val="24"/>
          <w:highlight w:val="none"/>
          <w:lang w:val="en-US" w:eastAsia="zh-CN"/>
        </w:rPr>
        <w:t>将这三个指标浓度加和近似代替苯系物浓度</w:t>
      </w:r>
      <w:r>
        <w:rPr>
          <w:rFonts w:hint="default" w:ascii="Times New Roman" w:hAnsi="Times New Roman" w:cs="Times New Roman"/>
          <w:sz w:val="24"/>
          <w:highlight w:val="none"/>
          <w:lang w:eastAsia="zh-CN"/>
        </w:rPr>
        <w:t>，</w:t>
      </w:r>
      <w:r>
        <w:rPr>
          <w:rFonts w:hint="default" w:ascii="Times New Roman" w:hAnsi="Times New Roman" w:cs="Times New Roman"/>
          <w:sz w:val="24"/>
          <w:highlight w:val="none"/>
        </w:rPr>
        <w:t>浓度范围在</w:t>
      </w:r>
      <w:r>
        <w:rPr>
          <w:rFonts w:hint="default" w:ascii="Times New Roman" w:hAnsi="Times New Roman" w:cs="Times New Roman"/>
          <w:sz w:val="24"/>
          <w:highlight w:val="none"/>
          <w:lang w:val="en-US" w:eastAsia="zh-CN"/>
        </w:rPr>
        <w:t>未检出</w:t>
      </w:r>
      <w:r>
        <w:rPr>
          <w:rFonts w:hint="default" w:ascii="Times New Roman" w:hAnsi="Times New Roman" w:cs="Times New Roman"/>
          <w:sz w:val="24"/>
          <w:highlight w:val="none"/>
        </w:rPr>
        <w:t>~</w:t>
      </w:r>
      <w:r>
        <w:rPr>
          <w:rFonts w:hint="default" w:ascii="Times New Roman" w:hAnsi="Times New Roman" w:cs="Times New Roman"/>
          <w:sz w:val="24"/>
          <w:highlight w:val="none"/>
          <w:lang w:val="en-US" w:eastAsia="zh-CN"/>
        </w:rPr>
        <w:t>32.980</w:t>
      </w:r>
      <w:r>
        <w:rPr>
          <w:rFonts w:hint="eastAsia" w:cs="Times New Roman"/>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之间，四川省现执行的《四川省固定源大气挥发性有机物排放标准》（DB51/2377</w:t>
      </w:r>
      <w:r>
        <w:rPr>
          <w:rFonts w:hint="eastAsia"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rPr>
        <w:t>2017）无苯系物限值要求，暂不对比</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lang w:val="en-US" w:eastAsia="zh-CN"/>
        </w:rPr>
        <w:t>平均浓度</w:t>
      </w:r>
      <w:r>
        <w:rPr>
          <w:rFonts w:hint="default" w:ascii="Times New Roman" w:hAnsi="Times New Roman" w:cs="Times New Roman"/>
          <w:color w:val="000000"/>
          <w:kern w:val="0"/>
          <w:sz w:val="24"/>
          <w:highlight w:val="none"/>
        </w:rPr>
        <w:t>为</w:t>
      </w:r>
      <w:r>
        <w:rPr>
          <w:rFonts w:hint="default" w:ascii="Times New Roman" w:hAnsi="Times New Roman" w:cs="Times New Roman"/>
          <w:color w:val="000000"/>
          <w:kern w:val="0"/>
          <w:sz w:val="24"/>
          <w:highlight w:val="none"/>
          <w:lang w:val="en-US" w:eastAsia="zh-CN"/>
        </w:rPr>
        <w:t>0.859</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val="en-US" w:eastAsia="zh-CN"/>
        </w:rPr>
        <w:t>3.003</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w:t>
      </w:r>
      <w:r>
        <w:rPr>
          <w:rFonts w:hint="default" w:ascii="Times New Roman" w:hAnsi="Times New Roman" w:cs="Times New Roman"/>
          <w:sz w:val="24"/>
          <w:highlight w:val="none"/>
          <w:lang w:val="en-US" w:eastAsia="zh-CN"/>
        </w:rPr>
        <w:t>仅1个排气筒浓度超过10</w:t>
      </w:r>
      <w:r>
        <w:rPr>
          <w:rFonts w:hint="eastAsia" w:cs="Times New Roman"/>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vertAlign w:val="baseline"/>
          <w:lang w:eastAsia="zh-CN"/>
        </w:rPr>
        <w:t>，</w:t>
      </w:r>
      <w:r>
        <w:rPr>
          <w:rFonts w:hint="default" w:ascii="Times New Roman" w:hAnsi="Times New Roman" w:cs="Times New Roman"/>
          <w:color w:val="000000"/>
          <w:kern w:val="0"/>
          <w:sz w:val="24"/>
          <w:highlight w:val="none"/>
          <w:vertAlign w:val="baseline"/>
          <w:lang w:val="en-US" w:eastAsia="zh-CN"/>
        </w:rPr>
        <w:t>实测浓度为</w:t>
      </w:r>
      <w:r>
        <w:rPr>
          <w:rFonts w:hint="default" w:ascii="Times New Roman" w:hAnsi="Times New Roman" w:cs="Times New Roman"/>
          <w:sz w:val="24"/>
          <w:highlight w:val="none"/>
          <w:lang w:val="en-US" w:eastAsia="zh-CN"/>
        </w:rPr>
        <w:t>32.980</w:t>
      </w:r>
      <w:r>
        <w:rPr>
          <w:rFonts w:hint="eastAsia" w:cs="Times New Roman"/>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vertAlign w:val="baseline"/>
          <w:lang w:eastAsia="zh-CN"/>
        </w:rPr>
        <w:t>，</w:t>
      </w:r>
      <w:r>
        <w:rPr>
          <w:rFonts w:hint="default" w:ascii="Times New Roman" w:hAnsi="Times New Roman" w:cs="Times New Roman"/>
          <w:color w:val="000000"/>
          <w:kern w:val="0"/>
          <w:sz w:val="24"/>
          <w:highlight w:val="none"/>
          <w:vertAlign w:val="baseline"/>
          <w:lang w:val="en-US" w:eastAsia="zh-CN"/>
        </w:rPr>
        <w:t>该企业为二类汽车维修，治理设施为UV光氧+活性炭，其余排口浓度均低于</w:t>
      </w:r>
      <w:r>
        <w:rPr>
          <w:rFonts w:hint="default" w:ascii="Times New Roman" w:hAnsi="Times New Roman" w:cs="Times New Roman"/>
          <w:sz w:val="24"/>
          <w:highlight w:val="none"/>
          <w:lang w:val="en-US" w:eastAsia="zh-CN"/>
        </w:rPr>
        <w:t>10</w:t>
      </w:r>
      <w:r>
        <w:rPr>
          <w:rFonts w:hint="eastAsia" w:cs="Times New Roman"/>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vertAlign w:val="baseline"/>
          <w:lang w:eastAsia="zh-CN"/>
        </w:rPr>
        <w:t>，</w:t>
      </w:r>
      <w:r>
        <w:rPr>
          <w:rFonts w:hint="default" w:ascii="Times New Roman" w:hAnsi="Times New Roman" w:cs="Times New Roman"/>
          <w:color w:val="000000"/>
          <w:kern w:val="0"/>
          <w:sz w:val="24"/>
          <w:highlight w:val="none"/>
          <w:vertAlign w:val="baseline"/>
          <w:lang w:val="en-US" w:eastAsia="zh-CN"/>
        </w:rPr>
        <w:t>浓度范围为未检出~5.125</w:t>
      </w:r>
      <w:r>
        <w:rPr>
          <w:rFonts w:hint="eastAsia" w:cs="Times New Roman"/>
          <w:color w:val="000000"/>
          <w:kern w:val="0"/>
          <w:sz w:val="24"/>
          <w:highlight w:val="none"/>
          <w:vertAlign w:val="baseli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vertAlign w:val="baseline"/>
          <w:lang w:eastAsia="zh-CN"/>
        </w:rPr>
        <w:t>。</w:t>
      </w:r>
    </w:p>
    <w:p w14:paraId="54569C68">
      <w:pPr>
        <w:keepNext/>
        <w:keepLines w:val="0"/>
        <w:pageBreakBefore w:val="0"/>
        <w:widowControl w:val="0"/>
        <w:kinsoku/>
        <w:wordWrap/>
        <w:autoSpaceDE/>
        <w:autoSpaceDN/>
        <w:bidi w:val="0"/>
        <w:spacing w:line="360" w:lineRule="auto"/>
        <w:ind w:firstLine="480" w:firstLineChars="200"/>
        <w:rPr>
          <w:rFonts w:hint="default" w:ascii="Times New Roman" w:hAnsi="Times New Roman" w:cs="Times New Roman"/>
          <w:color w:val="000000"/>
          <w:kern w:val="0"/>
          <w:sz w:val="24"/>
          <w:szCs w:val="24"/>
          <w:highlight w:val="none"/>
          <w:vertAlign w:val="baseline"/>
          <w:lang w:eastAsia="zh-CN"/>
        </w:rPr>
      </w:pPr>
      <w:r>
        <w:rPr>
          <w:rFonts w:hint="eastAsia" w:ascii="Times New Roman" w:hAnsi="Times New Roman" w:cs="Times New Roman"/>
          <w:kern w:val="0"/>
          <w:sz w:val="24"/>
          <w:szCs w:val="24"/>
          <w:highlight w:val="none"/>
          <w:lang w:val="en-US" w:eastAsia="zh-CN"/>
        </w:rPr>
        <w:t>苯系物</w:t>
      </w:r>
      <w:r>
        <w:rPr>
          <w:rFonts w:hint="default" w:ascii="Times New Roman" w:hAnsi="Times New Roman" w:cs="Times New Roman"/>
          <w:kern w:val="0"/>
          <w:sz w:val="24"/>
          <w:szCs w:val="24"/>
          <w:highlight w:val="none"/>
          <w:lang w:val="en-US" w:eastAsia="zh-CN"/>
        </w:rPr>
        <w:t>浓度主要分布在</w:t>
      </w:r>
      <w:r>
        <w:rPr>
          <w:rFonts w:hint="default" w:ascii="Times New Roman" w:hAnsi="Times New Roman" w:cs="Times New Roman"/>
          <w:kern w:val="0"/>
          <w:sz w:val="24"/>
          <w:szCs w:val="24"/>
          <w:highlight w:val="none"/>
        </w:rPr>
        <w:t>0~0.1</w:t>
      </w:r>
      <w:r>
        <w:rPr>
          <w:rFonts w:hint="default" w:ascii="Times New Roman" w:hAnsi="Times New Roman" w:cs="Times New Roman"/>
          <w:color w:val="000000"/>
          <w:kern w:val="0"/>
          <w:sz w:val="24"/>
          <w:szCs w:val="24"/>
          <w:highlight w:val="none"/>
        </w:rPr>
        <w:t xml:space="preserve"> mg/m</w:t>
      </w:r>
      <w:r>
        <w:rPr>
          <w:rFonts w:hint="default" w:ascii="Times New Roman" w:hAnsi="Times New Roman" w:cs="Times New Roman"/>
          <w:color w:val="000000"/>
          <w:kern w:val="0"/>
          <w:sz w:val="24"/>
          <w:szCs w:val="24"/>
          <w:highlight w:val="none"/>
          <w:vertAlign w:val="superscript"/>
        </w:rPr>
        <w:t>3</w:t>
      </w:r>
      <w:r>
        <w:rPr>
          <w:rFonts w:hint="default" w:ascii="Times New Roman" w:hAnsi="Times New Roman" w:cs="Times New Roman"/>
          <w:color w:val="000000"/>
          <w:kern w:val="0"/>
          <w:sz w:val="24"/>
          <w:szCs w:val="24"/>
          <w:highlight w:val="none"/>
        </w:rPr>
        <w:t>之间</w:t>
      </w:r>
      <w:r>
        <w:rPr>
          <w:rFonts w:hint="default" w:ascii="Times New Roman" w:hAnsi="Times New Roman" w:cs="Times New Roman"/>
          <w:color w:val="000000"/>
          <w:kern w:val="0"/>
          <w:sz w:val="24"/>
          <w:szCs w:val="24"/>
          <w:highlight w:val="none"/>
          <w:vertAlign w:val="baseline"/>
          <w:lang w:val="en-US" w:eastAsia="zh-CN"/>
        </w:rPr>
        <w:t>和</w:t>
      </w:r>
      <w:r>
        <w:rPr>
          <w:rFonts w:hint="default" w:ascii="Times New Roman" w:hAnsi="Times New Roman" w:cs="Times New Roman"/>
          <w:kern w:val="0"/>
          <w:sz w:val="24"/>
          <w:szCs w:val="24"/>
          <w:highlight w:val="none"/>
        </w:rPr>
        <w:t>0.1~0.5</w:t>
      </w:r>
      <w:r>
        <w:rPr>
          <w:rFonts w:hint="default" w:ascii="Times New Roman" w:hAnsi="Times New Roman" w:cs="Times New Roman"/>
          <w:color w:val="000000"/>
          <w:kern w:val="0"/>
          <w:sz w:val="24"/>
          <w:szCs w:val="24"/>
          <w:highlight w:val="none"/>
        </w:rPr>
        <w:t xml:space="preserve"> mg/m</w:t>
      </w:r>
      <w:r>
        <w:rPr>
          <w:rFonts w:hint="default" w:ascii="Times New Roman" w:hAnsi="Times New Roman" w:cs="Times New Roman"/>
          <w:color w:val="000000"/>
          <w:kern w:val="0"/>
          <w:sz w:val="24"/>
          <w:szCs w:val="24"/>
          <w:highlight w:val="none"/>
          <w:vertAlign w:val="superscript"/>
        </w:rPr>
        <w:t>3</w:t>
      </w:r>
      <w:r>
        <w:rPr>
          <w:rFonts w:hint="default" w:ascii="Times New Roman" w:hAnsi="Times New Roman" w:cs="Times New Roman"/>
          <w:color w:val="000000"/>
          <w:kern w:val="0"/>
          <w:sz w:val="24"/>
          <w:szCs w:val="24"/>
          <w:highlight w:val="none"/>
        </w:rPr>
        <w:t>之间</w:t>
      </w:r>
      <w:r>
        <w:rPr>
          <w:rFonts w:hint="default" w:ascii="Times New Roman" w:hAnsi="Times New Roman" w:cs="Times New Roman"/>
          <w:color w:val="000000"/>
          <w:kern w:val="0"/>
          <w:sz w:val="24"/>
          <w:szCs w:val="24"/>
          <w:highlight w:val="none"/>
          <w:lang w:eastAsia="zh-CN"/>
        </w:rPr>
        <w:t>，</w:t>
      </w:r>
      <w:r>
        <w:rPr>
          <w:rFonts w:hint="default" w:ascii="Times New Roman" w:hAnsi="Times New Roman" w:cs="Times New Roman"/>
          <w:color w:val="000000"/>
          <w:kern w:val="0"/>
          <w:sz w:val="24"/>
          <w:szCs w:val="24"/>
          <w:highlight w:val="none"/>
          <w:lang w:val="en-US" w:eastAsia="zh-CN"/>
        </w:rPr>
        <w:t>合计占比52%，其次为未检出</w:t>
      </w:r>
      <w:r>
        <w:rPr>
          <w:rFonts w:hint="default" w:ascii="Times New Roman" w:hAnsi="Times New Roman" w:cs="Times New Roman"/>
          <w:kern w:val="0"/>
          <w:sz w:val="24"/>
          <w:szCs w:val="24"/>
          <w:highlight w:val="none"/>
        </w:rPr>
        <w:t>占比</w:t>
      </w:r>
      <w:r>
        <w:rPr>
          <w:rFonts w:hint="default" w:ascii="Times New Roman" w:hAnsi="Times New Roman" w:cs="Times New Roman"/>
          <w:kern w:val="0"/>
          <w:sz w:val="24"/>
          <w:szCs w:val="24"/>
          <w:highlight w:val="none"/>
          <w:lang w:val="en-US" w:eastAsia="zh-CN"/>
        </w:rPr>
        <w:t>18</w:t>
      </w:r>
      <w:r>
        <w:rPr>
          <w:rFonts w:hint="default" w:ascii="Times New Roman" w:hAnsi="Times New Roman" w:cs="Times New Roman"/>
          <w:kern w:val="0"/>
          <w:sz w:val="24"/>
          <w:szCs w:val="24"/>
          <w:highlight w:val="none"/>
        </w:rPr>
        <w:t>%</w:t>
      </w:r>
      <w:r>
        <w:rPr>
          <w:rFonts w:hint="default" w:ascii="Times New Roman" w:hAnsi="Times New Roman" w:cs="Times New Roman"/>
          <w:kern w:val="0"/>
          <w:sz w:val="24"/>
          <w:szCs w:val="24"/>
          <w:highlight w:val="none"/>
          <w:lang w:eastAsia="zh-CN"/>
        </w:rPr>
        <w:t>，</w:t>
      </w:r>
      <w:r>
        <w:rPr>
          <w:rFonts w:hint="default" w:ascii="Times New Roman" w:hAnsi="Times New Roman" w:cs="Times New Roman"/>
          <w:kern w:val="0"/>
          <w:sz w:val="24"/>
          <w:szCs w:val="24"/>
          <w:highlight w:val="none"/>
          <w:lang w:val="en-US" w:eastAsia="zh-CN"/>
        </w:rPr>
        <w:t>5.0</w:t>
      </w:r>
      <w:r>
        <w:rPr>
          <w:rFonts w:hint="default" w:ascii="Times New Roman" w:hAnsi="Times New Roman" w:cs="Times New Roman"/>
          <w:kern w:val="0"/>
          <w:sz w:val="24"/>
          <w:szCs w:val="24"/>
          <w:highlight w:val="none"/>
        </w:rPr>
        <w:t>~</w:t>
      </w:r>
      <w:r>
        <w:rPr>
          <w:rFonts w:hint="default" w:ascii="Times New Roman" w:hAnsi="Times New Roman" w:cs="Times New Roman"/>
          <w:kern w:val="0"/>
          <w:sz w:val="24"/>
          <w:szCs w:val="24"/>
          <w:highlight w:val="none"/>
          <w:lang w:val="en-US" w:eastAsia="zh-CN"/>
        </w:rPr>
        <w:t>10.0</w:t>
      </w:r>
      <w:r>
        <w:rPr>
          <w:rFonts w:hint="eastAsia" w:cs="Times New Roman"/>
          <w:kern w:val="0"/>
          <w:sz w:val="24"/>
          <w:szCs w:val="24"/>
          <w:highlight w:val="none"/>
          <w:lang w:val="en-US" w:eastAsia="zh-CN"/>
        </w:rPr>
        <w:t xml:space="preserve"> </w:t>
      </w:r>
      <w:r>
        <w:rPr>
          <w:rFonts w:hint="default" w:ascii="Times New Roman" w:hAnsi="Times New Roman" w:cs="Times New Roman"/>
          <w:color w:val="000000"/>
          <w:kern w:val="0"/>
          <w:sz w:val="24"/>
          <w:szCs w:val="24"/>
          <w:highlight w:val="none"/>
        </w:rPr>
        <w:t>mg/m</w:t>
      </w:r>
      <w:r>
        <w:rPr>
          <w:rFonts w:hint="default" w:ascii="Times New Roman" w:hAnsi="Times New Roman" w:cs="Times New Roman"/>
          <w:color w:val="000000"/>
          <w:kern w:val="0"/>
          <w:sz w:val="24"/>
          <w:szCs w:val="24"/>
          <w:highlight w:val="none"/>
          <w:vertAlign w:val="superscript"/>
        </w:rPr>
        <w:t>3</w:t>
      </w:r>
      <w:r>
        <w:rPr>
          <w:rFonts w:hint="default" w:ascii="Times New Roman" w:hAnsi="Times New Roman" w:cs="Times New Roman"/>
          <w:color w:val="000000"/>
          <w:kern w:val="0"/>
          <w:sz w:val="24"/>
          <w:szCs w:val="24"/>
          <w:highlight w:val="none"/>
        </w:rPr>
        <w:t>之间</w:t>
      </w:r>
      <w:r>
        <w:rPr>
          <w:rFonts w:hint="default" w:ascii="Times New Roman" w:hAnsi="Times New Roman" w:cs="Times New Roman"/>
          <w:color w:val="000000"/>
          <w:kern w:val="0"/>
          <w:sz w:val="24"/>
          <w:szCs w:val="24"/>
          <w:highlight w:val="none"/>
          <w:lang w:val="en-US" w:eastAsia="zh-CN"/>
        </w:rPr>
        <w:t>和大于10</w:t>
      </w:r>
      <w:r>
        <w:rPr>
          <w:rFonts w:hint="eastAsia" w:cs="Times New Roman"/>
          <w:color w:val="000000"/>
          <w:kern w:val="0"/>
          <w:sz w:val="24"/>
          <w:szCs w:val="24"/>
          <w:highlight w:val="none"/>
          <w:lang w:val="en-US" w:eastAsia="zh-CN"/>
        </w:rPr>
        <w:t xml:space="preserve"> </w:t>
      </w:r>
      <w:r>
        <w:rPr>
          <w:rFonts w:hint="default" w:ascii="Times New Roman" w:hAnsi="Times New Roman" w:cs="Times New Roman"/>
          <w:color w:val="000000"/>
          <w:kern w:val="0"/>
          <w:sz w:val="24"/>
          <w:szCs w:val="24"/>
          <w:highlight w:val="none"/>
        </w:rPr>
        <w:t>mg/m</w:t>
      </w:r>
      <w:r>
        <w:rPr>
          <w:rFonts w:hint="default" w:ascii="Times New Roman" w:hAnsi="Times New Roman" w:cs="Times New Roman"/>
          <w:color w:val="000000"/>
          <w:kern w:val="0"/>
          <w:sz w:val="24"/>
          <w:szCs w:val="24"/>
          <w:highlight w:val="none"/>
          <w:vertAlign w:val="superscript"/>
        </w:rPr>
        <w:t>3</w:t>
      </w:r>
      <w:r>
        <w:rPr>
          <w:rFonts w:hint="default" w:ascii="Times New Roman" w:hAnsi="Times New Roman" w:cs="Times New Roman"/>
          <w:color w:val="000000"/>
          <w:kern w:val="0"/>
          <w:sz w:val="24"/>
          <w:szCs w:val="24"/>
          <w:highlight w:val="none"/>
          <w:vertAlign w:val="baseline"/>
          <w:lang w:val="en-US" w:eastAsia="zh-CN"/>
        </w:rPr>
        <w:t>均</w:t>
      </w:r>
      <w:r>
        <w:rPr>
          <w:rFonts w:hint="default" w:ascii="Times New Roman" w:hAnsi="Times New Roman" w:cs="Times New Roman"/>
          <w:color w:val="000000"/>
          <w:kern w:val="0"/>
          <w:sz w:val="24"/>
          <w:szCs w:val="24"/>
          <w:highlight w:val="none"/>
          <w:lang w:val="en-US" w:eastAsia="zh-CN"/>
        </w:rPr>
        <w:t>只有1个排气筒</w:t>
      </w:r>
      <w:r>
        <w:rPr>
          <w:rFonts w:hint="default" w:ascii="Times New Roman" w:hAnsi="Times New Roman" w:cs="Times New Roman"/>
          <w:color w:val="000000"/>
          <w:kern w:val="0"/>
          <w:sz w:val="24"/>
          <w:szCs w:val="24"/>
          <w:highlight w:val="none"/>
        </w:rPr>
        <w:t>，</w:t>
      </w:r>
      <w:r>
        <w:rPr>
          <w:rFonts w:hint="default" w:ascii="Times New Roman" w:hAnsi="Times New Roman" w:cs="Times New Roman"/>
          <w:color w:val="000000"/>
          <w:kern w:val="0"/>
          <w:sz w:val="24"/>
          <w:szCs w:val="24"/>
          <w:highlight w:val="none"/>
          <w:lang w:val="en-US" w:eastAsia="zh-CN"/>
        </w:rPr>
        <w:t>分别</w:t>
      </w:r>
      <w:r>
        <w:rPr>
          <w:rFonts w:hint="default" w:ascii="Times New Roman" w:hAnsi="Times New Roman" w:cs="Times New Roman"/>
          <w:color w:val="000000"/>
          <w:kern w:val="0"/>
          <w:sz w:val="24"/>
          <w:szCs w:val="24"/>
          <w:highlight w:val="none"/>
        </w:rPr>
        <w:t>占比</w:t>
      </w:r>
      <w:r>
        <w:rPr>
          <w:rFonts w:hint="default" w:ascii="Times New Roman" w:hAnsi="Times New Roman" w:cs="Times New Roman"/>
          <w:color w:val="000000"/>
          <w:kern w:val="0"/>
          <w:sz w:val="24"/>
          <w:szCs w:val="24"/>
          <w:highlight w:val="none"/>
          <w:lang w:val="en-US" w:eastAsia="zh-CN"/>
        </w:rPr>
        <w:t>0.5</w:t>
      </w:r>
      <w:r>
        <w:rPr>
          <w:rFonts w:hint="default" w:ascii="Times New Roman" w:hAnsi="Times New Roman" w:cs="Times New Roman"/>
          <w:color w:val="000000"/>
          <w:kern w:val="0"/>
          <w:sz w:val="24"/>
          <w:szCs w:val="24"/>
          <w:highlight w:val="none"/>
        </w:rPr>
        <w:t>%，</w:t>
      </w:r>
      <w:r>
        <w:rPr>
          <w:rFonts w:hint="default" w:ascii="Times New Roman" w:hAnsi="Times New Roman" w:cs="Times New Roman"/>
          <w:color w:val="000000"/>
          <w:kern w:val="0"/>
          <w:sz w:val="24"/>
          <w:szCs w:val="24"/>
          <w:highlight w:val="none"/>
          <w:lang w:val="en-US" w:eastAsia="zh-CN"/>
        </w:rPr>
        <w:t>浓度分别为5.125</w:t>
      </w:r>
      <w:r>
        <w:rPr>
          <w:rFonts w:hint="eastAsia" w:cs="Times New Roman"/>
          <w:color w:val="000000"/>
          <w:kern w:val="0"/>
          <w:sz w:val="24"/>
          <w:szCs w:val="24"/>
          <w:highlight w:val="none"/>
          <w:lang w:val="en-US" w:eastAsia="zh-CN"/>
        </w:rPr>
        <w:t xml:space="preserve"> </w:t>
      </w:r>
      <w:r>
        <w:rPr>
          <w:rFonts w:hint="default" w:ascii="Times New Roman" w:hAnsi="Times New Roman" w:cs="Times New Roman"/>
          <w:color w:val="000000"/>
          <w:kern w:val="0"/>
          <w:sz w:val="24"/>
          <w:szCs w:val="24"/>
          <w:highlight w:val="none"/>
        </w:rPr>
        <w:t>mg/m</w:t>
      </w:r>
      <w:r>
        <w:rPr>
          <w:rFonts w:hint="default" w:ascii="Times New Roman" w:hAnsi="Times New Roman" w:cs="Times New Roman"/>
          <w:color w:val="000000"/>
          <w:kern w:val="0"/>
          <w:sz w:val="24"/>
          <w:szCs w:val="24"/>
          <w:highlight w:val="none"/>
          <w:vertAlign w:val="superscript"/>
        </w:rPr>
        <w:t>3</w:t>
      </w:r>
      <w:r>
        <w:rPr>
          <w:rFonts w:hint="default" w:ascii="Times New Roman" w:hAnsi="Times New Roman" w:cs="Times New Roman"/>
          <w:color w:val="000000"/>
          <w:kern w:val="0"/>
          <w:sz w:val="24"/>
          <w:szCs w:val="24"/>
          <w:highlight w:val="none"/>
          <w:lang w:val="en-US" w:eastAsia="zh-CN"/>
        </w:rPr>
        <w:t>、32.980</w:t>
      </w:r>
      <w:r>
        <w:rPr>
          <w:rFonts w:hint="eastAsia" w:cs="Times New Roman"/>
          <w:color w:val="000000"/>
          <w:kern w:val="0"/>
          <w:sz w:val="24"/>
          <w:szCs w:val="24"/>
          <w:highlight w:val="none"/>
          <w:lang w:val="en-US" w:eastAsia="zh-CN"/>
        </w:rPr>
        <w:t xml:space="preserve"> </w:t>
      </w:r>
      <w:r>
        <w:rPr>
          <w:rFonts w:hint="default" w:ascii="Times New Roman" w:hAnsi="Times New Roman" w:cs="Times New Roman"/>
          <w:color w:val="000000"/>
          <w:kern w:val="0"/>
          <w:sz w:val="24"/>
          <w:szCs w:val="24"/>
          <w:highlight w:val="none"/>
        </w:rPr>
        <w:t>mg/m</w:t>
      </w:r>
      <w:r>
        <w:rPr>
          <w:rFonts w:hint="default" w:ascii="Times New Roman" w:hAnsi="Times New Roman" w:cs="Times New Roman"/>
          <w:color w:val="000000"/>
          <w:kern w:val="0"/>
          <w:sz w:val="24"/>
          <w:szCs w:val="24"/>
          <w:highlight w:val="none"/>
          <w:vertAlign w:val="superscript"/>
        </w:rPr>
        <w:t>3</w:t>
      </w:r>
      <w:r>
        <w:rPr>
          <w:rFonts w:hint="default" w:ascii="Times New Roman" w:hAnsi="Times New Roman" w:cs="Times New Roman"/>
          <w:color w:val="000000"/>
          <w:kern w:val="0"/>
          <w:sz w:val="24"/>
          <w:szCs w:val="24"/>
          <w:highlight w:val="none"/>
          <w:vertAlign w:val="baseline"/>
          <w:lang w:eastAsia="zh-CN"/>
        </w:rPr>
        <w:t>。</w:t>
      </w:r>
    </w:p>
    <w:p w14:paraId="67CC362B">
      <w:pPr>
        <w:keepNext/>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kern w:val="0"/>
          <w:szCs w:val="21"/>
          <w:highlight w:val="none"/>
        </w:rPr>
      </w:pPr>
      <w:r>
        <w:rPr>
          <w:rFonts w:hint="eastAsia" w:cs="Times New Roman"/>
          <w:kern w:val="0"/>
          <w:szCs w:val="21"/>
          <w:highlight w:val="none"/>
          <w:lang w:val="en-US" w:eastAsia="zh-CN"/>
        </w:rPr>
        <w:t>表7.5</w:t>
      </w:r>
      <w:r>
        <w:rPr>
          <w:rFonts w:hint="default" w:ascii="Times New Roman" w:hAnsi="Times New Roman" w:cs="Times New Roman"/>
          <w:kern w:val="0"/>
          <w:szCs w:val="21"/>
          <w:highlight w:val="none"/>
        </w:rPr>
        <w:t>-</w:t>
      </w:r>
      <w:r>
        <w:rPr>
          <w:rFonts w:hint="eastAsia" w:cs="Times New Roman"/>
          <w:kern w:val="0"/>
          <w:szCs w:val="21"/>
          <w:highlight w:val="none"/>
          <w:lang w:val="en-US" w:eastAsia="zh-CN"/>
        </w:rPr>
        <w:t>6</w:t>
      </w:r>
      <w:r>
        <w:rPr>
          <w:rFonts w:hint="default" w:ascii="Times New Roman" w:hAnsi="Times New Roman" w:cs="Times New Roman"/>
          <w:kern w:val="0"/>
          <w:szCs w:val="21"/>
          <w:highlight w:val="none"/>
        </w:rPr>
        <w:t xml:space="preserve"> 企业自行监测有组织废气</w:t>
      </w:r>
      <w:r>
        <w:rPr>
          <w:rFonts w:hint="default" w:ascii="Times New Roman" w:hAnsi="Times New Roman" w:cs="Times New Roman"/>
          <w:kern w:val="0"/>
          <w:szCs w:val="21"/>
          <w:highlight w:val="none"/>
          <w:lang w:val="en-US" w:eastAsia="zh-CN"/>
        </w:rPr>
        <w:t>苯系物</w:t>
      </w:r>
      <w:r>
        <w:rPr>
          <w:rFonts w:hint="default" w:ascii="Times New Roman" w:hAnsi="Times New Roman" w:cs="Times New Roman"/>
          <w:kern w:val="0"/>
          <w:szCs w:val="21"/>
          <w:highlight w:val="none"/>
        </w:rPr>
        <w:t>的排放浓度情况</w:t>
      </w:r>
    </w:p>
    <w:tbl>
      <w:tblPr>
        <w:tblStyle w:val="21"/>
        <w:tblW w:w="5000" w:type="pct"/>
        <w:jc w:val="center"/>
        <w:tblLayout w:type="fixed"/>
        <w:tblCellMar>
          <w:top w:w="0" w:type="dxa"/>
          <w:left w:w="108" w:type="dxa"/>
          <w:bottom w:w="0" w:type="dxa"/>
          <w:right w:w="108" w:type="dxa"/>
        </w:tblCellMar>
      </w:tblPr>
      <w:tblGrid>
        <w:gridCol w:w="1849"/>
        <w:gridCol w:w="859"/>
        <w:gridCol w:w="803"/>
        <w:gridCol w:w="877"/>
        <w:gridCol w:w="840"/>
        <w:gridCol w:w="813"/>
        <w:gridCol w:w="813"/>
        <w:gridCol w:w="912"/>
        <w:gridCol w:w="762"/>
      </w:tblGrid>
      <w:tr w14:paraId="7354CB25">
        <w:tblPrEx>
          <w:tblCellMar>
            <w:top w:w="0" w:type="dxa"/>
            <w:left w:w="108" w:type="dxa"/>
            <w:bottom w:w="0" w:type="dxa"/>
            <w:right w:w="108" w:type="dxa"/>
          </w:tblCellMar>
        </w:tblPrEx>
        <w:trPr>
          <w:trHeight w:val="555" w:hRule="atLeast"/>
          <w:jc w:val="center"/>
        </w:trPr>
        <w:tc>
          <w:tcPr>
            <w:tcW w:w="1084" w:type="pct"/>
            <w:tcBorders>
              <w:top w:val="single" w:color="auto" w:sz="4" w:space="0"/>
              <w:left w:val="single" w:color="auto" w:sz="4" w:space="0"/>
              <w:bottom w:val="single" w:color="auto" w:sz="4" w:space="0"/>
              <w:right w:val="single" w:color="auto" w:sz="4" w:space="0"/>
            </w:tcBorders>
            <w:shd w:val="clear" w:color="auto" w:fill="auto"/>
            <w:noWrap/>
            <w:vAlign w:val="center"/>
          </w:tcPr>
          <w:p w14:paraId="13CF6A5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rPr>
            </w:pPr>
            <w:r>
              <w:rPr>
                <w:rFonts w:hint="default" w:ascii="Times New Roman" w:hAnsi="Times New Roman" w:cs="Times New Roman"/>
                <w:b/>
                <w:bCs/>
                <w:color w:val="000000"/>
                <w:kern w:val="0"/>
                <w:sz w:val="21"/>
                <w:szCs w:val="21"/>
                <w:highlight w:val="none"/>
                <w:lang w:val="en-US" w:eastAsia="zh-CN"/>
              </w:rPr>
              <w:t>苯系物</w:t>
            </w:r>
            <w:r>
              <w:rPr>
                <w:rFonts w:hint="default" w:ascii="Times New Roman" w:hAnsi="Times New Roman" w:cs="Times New Roman"/>
                <w:b/>
                <w:bCs/>
                <w:color w:val="000000"/>
                <w:kern w:val="0"/>
                <w:sz w:val="21"/>
                <w:szCs w:val="21"/>
                <w:highlight w:val="none"/>
              </w:rPr>
              <w:t>浓度（mg/m</w:t>
            </w:r>
            <w:r>
              <w:rPr>
                <w:rFonts w:hint="default" w:ascii="Times New Roman" w:hAnsi="Times New Roman" w:cs="Times New Roman"/>
                <w:b/>
                <w:bCs/>
                <w:color w:val="000000"/>
                <w:kern w:val="0"/>
                <w:sz w:val="21"/>
                <w:szCs w:val="21"/>
                <w:highlight w:val="none"/>
                <w:vertAlign w:val="superscript"/>
              </w:rPr>
              <w:t>3</w:t>
            </w:r>
            <w:r>
              <w:rPr>
                <w:rFonts w:hint="default" w:ascii="Times New Roman" w:hAnsi="Times New Roman" w:cs="Times New Roman"/>
                <w:b/>
                <w:bCs/>
                <w:color w:val="000000"/>
                <w:kern w:val="0"/>
                <w:sz w:val="21"/>
                <w:szCs w:val="21"/>
                <w:highlight w:val="none"/>
              </w:rPr>
              <w:t>）</w:t>
            </w:r>
          </w:p>
        </w:tc>
        <w:tc>
          <w:tcPr>
            <w:tcW w:w="503" w:type="pct"/>
            <w:tcBorders>
              <w:top w:val="single" w:color="auto" w:sz="4" w:space="0"/>
              <w:left w:val="nil"/>
              <w:bottom w:val="single" w:color="auto" w:sz="4" w:space="0"/>
              <w:right w:val="single" w:color="auto" w:sz="4" w:space="0"/>
            </w:tcBorders>
            <w:shd w:val="clear" w:color="auto" w:fill="auto"/>
            <w:noWrap/>
            <w:vAlign w:val="center"/>
          </w:tcPr>
          <w:p w14:paraId="66225EA4">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cs="Times New Roman"/>
                <w:b/>
                <w:bCs/>
                <w:color w:val="000000"/>
                <w:kern w:val="0"/>
                <w:sz w:val="21"/>
                <w:szCs w:val="21"/>
                <w:highlight w:val="none"/>
              </w:rPr>
            </w:pPr>
            <w:r>
              <w:rPr>
                <w:rFonts w:hint="default" w:ascii="Times New Roman" w:hAnsi="Times New Roman" w:eastAsia="宋体" w:cs="Times New Roman"/>
                <w:b/>
                <w:bCs/>
                <w:i w:val="0"/>
                <w:iCs w:val="0"/>
                <w:color w:val="000000"/>
                <w:kern w:val="0"/>
                <w:sz w:val="21"/>
                <w:szCs w:val="21"/>
                <w:highlight w:val="none"/>
                <w:u w:val="none"/>
                <w:lang w:val="en-US" w:eastAsia="zh-CN" w:bidi="ar"/>
              </w:rPr>
              <w:t>未检出</w:t>
            </w:r>
          </w:p>
        </w:tc>
        <w:tc>
          <w:tcPr>
            <w:tcW w:w="470" w:type="pct"/>
            <w:tcBorders>
              <w:top w:val="single" w:color="auto" w:sz="4" w:space="0"/>
              <w:left w:val="nil"/>
              <w:bottom w:val="single" w:color="auto" w:sz="4" w:space="0"/>
              <w:right w:val="single" w:color="auto" w:sz="4" w:space="0"/>
            </w:tcBorders>
            <w:shd w:val="clear" w:color="auto" w:fill="auto"/>
            <w:noWrap/>
            <w:vAlign w:val="center"/>
          </w:tcPr>
          <w:p w14:paraId="2E7CA5A3">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cs="Times New Roman"/>
                <w:color w:val="000000"/>
                <w:kern w:val="0"/>
                <w:sz w:val="21"/>
                <w:szCs w:val="21"/>
                <w:highlight w:val="none"/>
              </w:rPr>
            </w:pPr>
            <w:r>
              <w:rPr>
                <w:rFonts w:hint="default" w:ascii="Times New Roman" w:hAnsi="Times New Roman" w:eastAsia="宋体" w:cs="Times New Roman"/>
                <w:b/>
                <w:bCs/>
                <w:i w:val="0"/>
                <w:iCs w:val="0"/>
                <w:color w:val="000000"/>
                <w:kern w:val="0"/>
                <w:sz w:val="21"/>
                <w:szCs w:val="21"/>
                <w:highlight w:val="none"/>
                <w:u w:val="none"/>
                <w:lang w:val="en-US" w:eastAsia="zh-CN" w:bidi="ar"/>
              </w:rPr>
              <w:t>0~0.1</w:t>
            </w:r>
          </w:p>
        </w:tc>
        <w:tc>
          <w:tcPr>
            <w:tcW w:w="514" w:type="pct"/>
            <w:tcBorders>
              <w:top w:val="single" w:color="auto" w:sz="4" w:space="0"/>
              <w:left w:val="nil"/>
              <w:bottom w:val="single" w:color="auto" w:sz="4" w:space="0"/>
              <w:right w:val="single" w:color="auto" w:sz="4" w:space="0"/>
            </w:tcBorders>
            <w:shd w:val="clear" w:color="auto" w:fill="auto"/>
            <w:noWrap/>
            <w:vAlign w:val="center"/>
          </w:tcPr>
          <w:p w14:paraId="70B62A16">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cs="Times New Roman"/>
                <w:color w:val="000000"/>
                <w:kern w:val="0"/>
                <w:sz w:val="21"/>
                <w:szCs w:val="21"/>
                <w:highlight w:val="none"/>
              </w:rPr>
            </w:pPr>
            <w:r>
              <w:rPr>
                <w:rFonts w:hint="default" w:ascii="Times New Roman" w:hAnsi="Times New Roman" w:eastAsia="宋体" w:cs="Times New Roman"/>
                <w:b/>
                <w:bCs/>
                <w:i w:val="0"/>
                <w:iCs w:val="0"/>
                <w:color w:val="000000"/>
                <w:kern w:val="0"/>
                <w:sz w:val="21"/>
                <w:szCs w:val="21"/>
                <w:highlight w:val="none"/>
                <w:u w:val="none"/>
                <w:lang w:val="en-US" w:eastAsia="zh-CN" w:bidi="ar"/>
              </w:rPr>
              <w:t>0.1~0.5</w:t>
            </w:r>
          </w:p>
        </w:tc>
        <w:tc>
          <w:tcPr>
            <w:tcW w:w="492" w:type="pct"/>
            <w:tcBorders>
              <w:top w:val="single" w:color="auto" w:sz="4" w:space="0"/>
              <w:left w:val="nil"/>
              <w:bottom w:val="single" w:color="auto" w:sz="4" w:space="0"/>
              <w:right w:val="single" w:color="auto" w:sz="4" w:space="0"/>
            </w:tcBorders>
            <w:shd w:val="clear" w:color="auto" w:fill="auto"/>
            <w:noWrap/>
            <w:vAlign w:val="center"/>
          </w:tcPr>
          <w:p w14:paraId="2BB20C4E">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cs="Times New Roman"/>
                <w:color w:val="000000"/>
                <w:kern w:val="0"/>
                <w:sz w:val="21"/>
                <w:szCs w:val="21"/>
                <w:highlight w:val="none"/>
              </w:rPr>
            </w:pPr>
            <w:r>
              <w:rPr>
                <w:rFonts w:hint="default" w:ascii="Times New Roman" w:hAnsi="Times New Roman" w:eastAsia="宋体" w:cs="Times New Roman"/>
                <w:b/>
                <w:bCs/>
                <w:i w:val="0"/>
                <w:iCs w:val="0"/>
                <w:color w:val="000000"/>
                <w:kern w:val="0"/>
                <w:sz w:val="21"/>
                <w:szCs w:val="21"/>
                <w:highlight w:val="none"/>
                <w:u w:val="none"/>
                <w:lang w:val="en-US" w:eastAsia="zh-CN" w:bidi="ar"/>
              </w:rPr>
              <w:t>0.5~1.0</w:t>
            </w:r>
          </w:p>
        </w:tc>
        <w:tc>
          <w:tcPr>
            <w:tcW w:w="476" w:type="pct"/>
            <w:tcBorders>
              <w:top w:val="single" w:color="auto" w:sz="4" w:space="0"/>
              <w:left w:val="nil"/>
              <w:bottom w:val="single" w:color="auto" w:sz="4" w:space="0"/>
              <w:right w:val="single" w:color="auto" w:sz="4" w:space="0"/>
            </w:tcBorders>
            <w:shd w:val="clear" w:color="auto" w:fill="auto"/>
            <w:noWrap/>
            <w:vAlign w:val="center"/>
          </w:tcPr>
          <w:p w14:paraId="188A4B61">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cs="Times New Roman"/>
                <w:color w:val="000000"/>
                <w:kern w:val="0"/>
                <w:sz w:val="21"/>
                <w:szCs w:val="21"/>
                <w:highlight w:val="none"/>
                <w:lang w:val="en-US"/>
              </w:rPr>
            </w:pPr>
            <w:r>
              <w:rPr>
                <w:rFonts w:hint="default" w:ascii="Times New Roman" w:hAnsi="Times New Roman" w:cs="Times New Roman"/>
                <w:b/>
                <w:bCs/>
                <w:i w:val="0"/>
                <w:iCs w:val="0"/>
                <w:color w:val="000000"/>
                <w:kern w:val="0"/>
                <w:sz w:val="21"/>
                <w:szCs w:val="21"/>
                <w:highlight w:val="none"/>
                <w:u w:val="none"/>
                <w:lang w:val="en-US" w:eastAsia="zh-CN" w:bidi="ar"/>
              </w:rPr>
              <w:t>1.0~2.0</w:t>
            </w:r>
          </w:p>
        </w:tc>
        <w:tc>
          <w:tcPr>
            <w:tcW w:w="476" w:type="pct"/>
            <w:tcBorders>
              <w:top w:val="single" w:color="auto" w:sz="4" w:space="0"/>
              <w:left w:val="nil"/>
              <w:bottom w:val="single" w:color="auto" w:sz="4" w:space="0"/>
              <w:right w:val="single" w:color="auto" w:sz="4" w:space="0"/>
            </w:tcBorders>
            <w:shd w:val="clear" w:color="auto" w:fill="auto"/>
            <w:noWrap/>
            <w:vAlign w:val="center"/>
          </w:tcPr>
          <w:p w14:paraId="02BB9E0C">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21"/>
                <w:szCs w:val="21"/>
                <w:highlight w:val="none"/>
                <w:u w:val="none"/>
                <w:lang w:val="en-US" w:eastAsia="zh-CN" w:bidi="ar"/>
              </w:rPr>
            </w:pPr>
            <w:r>
              <w:rPr>
                <w:rFonts w:hint="default" w:ascii="Times New Roman" w:hAnsi="Times New Roman" w:cs="Times New Roman"/>
                <w:b/>
                <w:bCs/>
                <w:i w:val="0"/>
                <w:iCs w:val="0"/>
                <w:color w:val="000000"/>
                <w:kern w:val="0"/>
                <w:sz w:val="21"/>
                <w:szCs w:val="21"/>
                <w:highlight w:val="none"/>
                <w:u w:val="none"/>
                <w:lang w:val="en-US" w:eastAsia="zh-CN" w:bidi="ar"/>
              </w:rPr>
              <w:t>2.0~5.0</w:t>
            </w:r>
          </w:p>
        </w:tc>
        <w:tc>
          <w:tcPr>
            <w:tcW w:w="534" w:type="pct"/>
            <w:tcBorders>
              <w:top w:val="single" w:color="auto" w:sz="4" w:space="0"/>
              <w:left w:val="nil"/>
              <w:bottom w:val="single" w:color="auto" w:sz="4" w:space="0"/>
              <w:right w:val="single" w:color="auto" w:sz="4" w:space="0"/>
            </w:tcBorders>
            <w:shd w:val="clear" w:color="auto" w:fill="auto"/>
            <w:noWrap/>
            <w:vAlign w:val="center"/>
          </w:tcPr>
          <w:p w14:paraId="4C908C8F">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21"/>
                <w:szCs w:val="21"/>
                <w:highlight w:val="none"/>
                <w:u w:val="none"/>
                <w:lang w:val="en-US" w:eastAsia="zh-CN" w:bidi="ar"/>
              </w:rPr>
            </w:pPr>
            <w:r>
              <w:rPr>
                <w:rFonts w:hint="default" w:ascii="Times New Roman" w:hAnsi="Times New Roman" w:cs="Times New Roman"/>
                <w:b/>
                <w:bCs/>
                <w:i w:val="0"/>
                <w:iCs w:val="0"/>
                <w:color w:val="000000"/>
                <w:kern w:val="0"/>
                <w:sz w:val="21"/>
                <w:szCs w:val="21"/>
                <w:highlight w:val="none"/>
                <w:u w:val="none"/>
                <w:lang w:val="en-US" w:eastAsia="zh-CN" w:bidi="ar"/>
              </w:rPr>
              <w:t>5.0~10.0</w:t>
            </w:r>
          </w:p>
        </w:tc>
        <w:tc>
          <w:tcPr>
            <w:tcW w:w="446" w:type="pct"/>
            <w:tcBorders>
              <w:top w:val="single" w:color="auto" w:sz="4" w:space="0"/>
              <w:left w:val="nil"/>
              <w:bottom w:val="single" w:color="auto" w:sz="4" w:space="0"/>
              <w:right w:val="single" w:color="auto" w:sz="4" w:space="0"/>
            </w:tcBorders>
            <w:shd w:val="clear" w:color="auto" w:fill="auto"/>
            <w:noWrap/>
            <w:vAlign w:val="center"/>
          </w:tcPr>
          <w:p w14:paraId="06DD66B6">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cs="Times New Roman"/>
                <w:b/>
                <w:bCs/>
                <w:i w:val="0"/>
                <w:iCs w:val="0"/>
                <w:color w:val="000000"/>
                <w:kern w:val="0"/>
                <w:sz w:val="21"/>
                <w:szCs w:val="21"/>
                <w:highlight w:val="none"/>
                <w:u w:val="none"/>
                <w:lang w:val="en-US" w:eastAsia="zh-CN" w:bidi="ar"/>
              </w:rPr>
            </w:pPr>
            <w:r>
              <w:rPr>
                <w:rFonts w:hint="default" w:ascii="Times New Roman" w:hAnsi="Times New Roman" w:cs="Times New Roman"/>
                <w:b/>
                <w:bCs/>
                <w:i w:val="0"/>
                <w:iCs w:val="0"/>
                <w:color w:val="000000"/>
                <w:kern w:val="0"/>
                <w:sz w:val="21"/>
                <w:szCs w:val="21"/>
                <w:highlight w:val="none"/>
                <w:u w:val="none"/>
                <w:lang w:val="en-US" w:eastAsia="zh-CN" w:bidi="ar"/>
              </w:rPr>
              <w:t>＞10.0</w:t>
            </w:r>
          </w:p>
        </w:tc>
      </w:tr>
      <w:tr w14:paraId="7F2CB45F">
        <w:tblPrEx>
          <w:tblCellMar>
            <w:top w:w="0" w:type="dxa"/>
            <w:left w:w="108" w:type="dxa"/>
            <w:bottom w:w="0" w:type="dxa"/>
            <w:right w:w="108" w:type="dxa"/>
          </w:tblCellMar>
        </w:tblPrEx>
        <w:trPr>
          <w:trHeight w:val="555" w:hRule="atLeast"/>
          <w:jc w:val="center"/>
        </w:trPr>
        <w:tc>
          <w:tcPr>
            <w:tcW w:w="1084" w:type="pct"/>
            <w:tcBorders>
              <w:top w:val="nil"/>
              <w:left w:val="single" w:color="auto" w:sz="4" w:space="0"/>
              <w:bottom w:val="single" w:color="auto" w:sz="4" w:space="0"/>
              <w:right w:val="single" w:color="auto" w:sz="4" w:space="0"/>
            </w:tcBorders>
            <w:shd w:val="clear" w:color="auto" w:fill="auto"/>
            <w:noWrap/>
            <w:vAlign w:val="center"/>
          </w:tcPr>
          <w:p w14:paraId="303E84E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rPr>
            </w:pPr>
            <w:r>
              <w:rPr>
                <w:rFonts w:hint="default" w:ascii="Times New Roman" w:hAnsi="Times New Roman" w:cs="Times New Roman"/>
                <w:b w:val="0"/>
                <w:bCs w:val="0"/>
                <w:color w:val="000000"/>
                <w:kern w:val="0"/>
                <w:sz w:val="21"/>
                <w:szCs w:val="21"/>
                <w:highlight w:val="none"/>
                <w:lang w:val="en-US" w:eastAsia="zh-CN"/>
              </w:rPr>
              <w:t>排气筒数量（个）</w:t>
            </w:r>
          </w:p>
        </w:tc>
        <w:tc>
          <w:tcPr>
            <w:tcW w:w="503" w:type="pct"/>
            <w:tcBorders>
              <w:top w:val="nil"/>
              <w:left w:val="nil"/>
              <w:bottom w:val="single" w:color="auto" w:sz="4" w:space="0"/>
              <w:right w:val="single" w:color="auto" w:sz="4" w:space="0"/>
            </w:tcBorders>
            <w:shd w:val="clear" w:color="auto" w:fill="auto"/>
            <w:noWrap/>
            <w:vAlign w:val="center"/>
          </w:tcPr>
          <w:p w14:paraId="30FF608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rPr>
            </w:pPr>
            <w:r>
              <w:rPr>
                <w:rFonts w:hint="default" w:ascii="Times New Roman" w:hAnsi="Times New Roman" w:cs="Times New Roman"/>
                <w:b w:val="0"/>
                <w:bCs w:val="0"/>
                <w:color w:val="000000"/>
                <w:kern w:val="0"/>
                <w:sz w:val="21"/>
                <w:szCs w:val="21"/>
                <w:highlight w:val="none"/>
                <w:lang w:val="en-US" w:eastAsia="zh-CN"/>
              </w:rPr>
              <w:t>37</w:t>
            </w:r>
          </w:p>
        </w:tc>
        <w:tc>
          <w:tcPr>
            <w:tcW w:w="470" w:type="pct"/>
            <w:tcBorders>
              <w:top w:val="nil"/>
              <w:left w:val="nil"/>
              <w:bottom w:val="single" w:color="auto" w:sz="4" w:space="0"/>
              <w:right w:val="single" w:color="auto" w:sz="4" w:space="0"/>
            </w:tcBorders>
            <w:shd w:val="clear" w:color="auto" w:fill="auto"/>
            <w:noWrap/>
            <w:vAlign w:val="center"/>
          </w:tcPr>
          <w:p w14:paraId="1924920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rPr>
            </w:pPr>
            <w:r>
              <w:rPr>
                <w:rFonts w:hint="default" w:ascii="Times New Roman" w:hAnsi="Times New Roman" w:cs="Times New Roman"/>
                <w:b w:val="0"/>
                <w:bCs w:val="0"/>
                <w:color w:val="000000"/>
                <w:kern w:val="0"/>
                <w:sz w:val="21"/>
                <w:szCs w:val="21"/>
                <w:highlight w:val="none"/>
                <w:lang w:val="en-US" w:eastAsia="zh-CN"/>
              </w:rPr>
              <w:t>47</w:t>
            </w:r>
          </w:p>
        </w:tc>
        <w:tc>
          <w:tcPr>
            <w:tcW w:w="514" w:type="pct"/>
            <w:tcBorders>
              <w:top w:val="nil"/>
              <w:left w:val="nil"/>
              <w:bottom w:val="single" w:color="auto" w:sz="4" w:space="0"/>
              <w:right w:val="single" w:color="auto" w:sz="4" w:space="0"/>
            </w:tcBorders>
            <w:shd w:val="clear" w:color="auto" w:fill="auto"/>
            <w:noWrap/>
            <w:vAlign w:val="center"/>
          </w:tcPr>
          <w:p w14:paraId="5D1EAAB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62</w:t>
            </w:r>
          </w:p>
        </w:tc>
        <w:tc>
          <w:tcPr>
            <w:tcW w:w="492" w:type="pct"/>
            <w:tcBorders>
              <w:top w:val="nil"/>
              <w:left w:val="nil"/>
              <w:bottom w:val="single" w:color="auto" w:sz="4" w:space="0"/>
              <w:right w:val="single" w:color="auto" w:sz="4" w:space="0"/>
            </w:tcBorders>
            <w:shd w:val="clear" w:color="auto" w:fill="auto"/>
            <w:noWrap/>
            <w:vAlign w:val="center"/>
          </w:tcPr>
          <w:p w14:paraId="599326A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rPr>
            </w:pPr>
            <w:r>
              <w:rPr>
                <w:rFonts w:hint="default" w:ascii="Times New Roman" w:hAnsi="Times New Roman" w:cs="Times New Roman"/>
                <w:b w:val="0"/>
                <w:bCs w:val="0"/>
                <w:color w:val="000000"/>
                <w:kern w:val="0"/>
                <w:sz w:val="21"/>
                <w:szCs w:val="21"/>
                <w:highlight w:val="none"/>
                <w:lang w:val="en-US" w:eastAsia="zh-CN"/>
              </w:rPr>
              <w:t>23</w:t>
            </w:r>
          </w:p>
        </w:tc>
        <w:tc>
          <w:tcPr>
            <w:tcW w:w="476" w:type="pct"/>
            <w:tcBorders>
              <w:top w:val="nil"/>
              <w:left w:val="nil"/>
              <w:bottom w:val="single" w:color="auto" w:sz="4" w:space="0"/>
              <w:right w:val="single" w:color="auto" w:sz="4" w:space="0"/>
            </w:tcBorders>
            <w:shd w:val="clear" w:color="auto" w:fill="auto"/>
            <w:noWrap/>
            <w:vAlign w:val="center"/>
          </w:tcPr>
          <w:p w14:paraId="187FC5A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rPr>
            </w:pPr>
            <w:r>
              <w:rPr>
                <w:rFonts w:hint="default" w:ascii="Times New Roman" w:hAnsi="Times New Roman" w:cs="Times New Roman"/>
                <w:b w:val="0"/>
                <w:bCs w:val="0"/>
                <w:color w:val="000000"/>
                <w:kern w:val="0"/>
                <w:sz w:val="21"/>
                <w:szCs w:val="21"/>
                <w:highlight w:val="none"/>
                <w:lang w:val="en-US" w:eastAsia="zh-CN"/>
              </w:rPr>
              <w:t>29</w:t>
            </w:r>
          </w:p>
        </w:tc>
        <w:tc>
          <w:tcPr>
            <w:tcW w:w="476" w:type="pct"/>
            <w:tcBorders>
              <w:top w:val="nil"/>
              <w:left w:val="nil"/>
              <w:bottom w:val="single" w:color="auto" w:sz="4" w:space="0"/>
              <w:right w:val="single" w:color="auto" w:sz="4" w:space="0"/>
            </w:tcBorders>
            <w:shd w:val="clear" w:color="auto" w:fill="auto"/>
            <w:noWrap/>
            <w:vAlign w:val="center"/>
          </w:tcPr>
          <w:p w14:paraId="112283B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8</w:t>
            </w:r>
          </w:p>
        </w:tc>
        <w:tc>
          <w:tcPr>
            <w:tcW w:w="534" w:type="pct"/>
            <w:tcBorders>
              <w:top w:val="nil"/>
              <w:left w:val="nil"/>
              <w:bottom w:val="single" w:color="auto" w:sz="4" w:space="0"/>
              <w:right w:val="single" w:color="auto" w:sz="4" w:space="0"/>
            </w:tcBorders>
            <w:shd w:val="clear" w:color="auto" w:fill="auto"/>
            <w:noWrap/>
            <w:vAlign w:val="center"/>
          </w:tcPr>
          <w:p w14:paraId="558598C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1</w:t>
            </w:r>
          </w:p>
        </w:tc>
        <w:tc>
          <w:tcPr>
            <w:tcW w:w="446" w:type="pct"/>
            <w:tcBorders>
              <w:top w:val="nil"/>
              <w:left w:val="nil"/>
              <w:bottom w:val="single" w:color="auto" w:sz="4" w:space="0"/>
              <w:right w:val="single" w:color="auto" w:sz="4" w:space="0"/>
            </w:tcBorders>
            <w:shd w:val="clear" w:color="auto" w:fill="auto"/>
            <w:noWrap/>
            <w:vAlign w:val="center"/>
          </w:tcPr>
          <w:p w14:paraId="2B6DDF7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rPr>
            </w:pPr>
            <w:r>
              <w:rPr>
                <w:rFonts w:hint="default" w:ascii="Times New Roman" w:hAnsi="Times New Roman" w:cs="Times New Roman"/>
                <w:b w:val="0"/>
                <w:bCs w:val="0"/>
                <w:color w:val="000000"/>
                <w:kern w:val="0"/>
                <w:sz w:val="21"/>
                <w:szCs w:val="21"/>
                <w:highlight w:val="none"/>
                <w:lang w:val="en-US" w:eastAsia="zh-CN"/>
              </w:rPr>
              <w:t>1</w:t>
            </w:r>
          </w:p>
        </w:tc>
      </w:tr>
      <w:tr w14:paraId="595B5031">
        <w:tblPrEx>
          <w:tblCellMar>
            <w:top w:w="0" w:type="dxa"/>
            <w:left w:w="108" w:type="dxa"/>
            <w:bottom w:w="0" w:type="dxa"/>
            <w:right w:w="108" w:type="dxa"/>
          </w:tblCellMar>
        </w:tblPrEx>
        <w:trPr>
          <w:trHeight w:val="555" w:hRule="atLeast"/>
          <w:jc w:val="center"/>
        </w:trPr>
        <w:tc>
          <w:tcPr>
            <w:tcW w:w="1084" w:type="pct"/>
            <w:tcBorders>
              <w:top w:val="nil"/>
              <w:left w:val="single" w:color="auto" w:sz="4" w:space="0"/>
              <w:bottom w:val="single" w:color="auto" w:sz="4" w:space="0"/>
              <w:right w:val="single" w:color="auto" w:sz="4" w:space="0"/>
            </w:tcBorders>
            <w:shd w:val="clear" w:color="auto" w:fill="auto"/>
            <w:noWrap/>
            <w:vAlign w:val="center"/>
          </w:tcPr>
          <w:p w14:paraId="070D52A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rPr>
            </w:pPr>
            <w:r>
              <w:rPr>
                <w:rFonts w:hint="default" w:ascii="Times New Roman" w:hAnsi="Times New Roman" w:cs="Times New Roman"/>
                <w:b w:val="0"/>
                <w:bCs w:val="0"/>
                <w:color w:val="000000"/>
                <w:kern w:val="0"/>
                <w:sz w:val="21"/>
                <w:szCs w:val="21"/>
                <w:highlight w:val="none"/>
                <w:lang w:val="en-US" w:eastAsia="zh-CN"/>
              </w:rPr>
              <w:t>占比（%）</w:t>
            </w:r>
          </w:p>
        </w:tc>
        <w:tc>
          <w:tcPr>
            <w:tcW w:w="503" w:type="pct"/>
            <w:tcBorders>
              <w:top w:val="nil"/>
              <w:left w:val="nil"/>
              <w:bottom w:val="single" w:color="auto" w:sz="4" w:space="0"/>
              <w:right w:val="single" w:color="auto" w:sz="4" w:space="0"/>
            </w:tcBorders>
            <w:shd w:val="clear" w:color="auto" w:fill="auto"/>
            <w:noWrap/>
            <w:vAlign w:val="center"/>
          </w:tcPr>
          <w:p w14:paraId="6277438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rPr>
            </w:pPr>
            <w:r>
              <w:rPr>
                <w:rFonts w:hint="default" w:ascii="Times New Roman" w:hAnsi="Times New Roman" w:cs="Times New Roman"/>
                <w:b w:val="0"/>
                <w:bCs w:val="0"/>
                <w:color w:val="000000"/>
                <w:kern w:val="0"/>
                <w:sz w:val="21"/>
                <w:szCs w:val="21"/>
                <w:highlight w:val="none"/>
                <w:lang w:val="en-US" w:eastAsia="zh-CN"/>
              </w:rPr>
              <w:t>17.8%</w:t>
            </w:r>
          </w:p>
        </w:tc>
        <w:tc>
          <w:tcPr>
            <w:tcW w:w="470" w:type="pct"/>
            <w:tcBorders>
              <w:top w:val="nil"/>
              <w:left w:val="nil"/>
              <w:bottom w:val="single" w:color="auto" w:sz="4" w:space="0"/>
              <w:right w:val="single" w:color="auto" w:sz="4" w:space="0"/>
            </w:tcBorders>
            <w:shd w:val="clear" w:color="auto" w:fill="auto"/>
            <w:noWrap/>
            <w:vAlign w:val="center"/>
          </w:tcPr>
          <w:p w14:paraId="714B615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rPr>
            </w:pPr>
            <w:r>
              <w:rPr>
                <w:rFonts w:hint="default" w:ascii="Times New Roman" w:hAnsi="Times New Roman" w:cs="Times New Roman"/>
                <w:b w:val="0"/>
                <w:bCs w:val="0"/>
                <w:color w:val="000000"/>
                <w:kern w:val="0"/>
                <w:sz w:val="21"/>
                <w:szCs w:val="21"/>
                <w:highlight w:val="none"/>
                <w:lang w:val="en-US" w:eastAsia="zh-CN"/>
              </w:rPr>
              <w:t>22.6%</w:t>
            </w:r>
          </w:p>
        </w:tc>
        <w:tc>
          <w:tcPr>
            <w:tcW w:w="514" w:type="pct"/>
            <w:tcBorders>
              <w:top w:val="nil"/>
              <w:left w:val="nil"/>
              <w:bottom w:val="single" w:color="auto" w:sz="4" w:space="0"/>
              <w:right w:val="single" w:color="auto" w:sz="4" w:space="0"/>
            </w:tcBorders>
            <w:shd w:val="clear" w:color="auto" w:fill="auto"/>
            <w:noWrap/>
            <w:vAlign w:val="center"/>
          </w:tcPr>
          <w:p w14:paraId="704DCFB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rPr>
            </w:pPr>
            <w:r>
              <w:rPr>
                <w:rFonts w:hint="default" w:ascii="Times New Roman" w:hAnsi="Times New Roman" w:cs="Times New Roman"/>
                <w:b w:val="0"/>
                <w:bCs w:val="0"/>
                <w:color w:val="000000"/>
                <w:kern w:val="0"/>
                <w:sz w:val="21"/>
                <w:szCs w:val="21"/>
                <w:highlight w:val="none"/>
                <w:lang w:val="en-US" w:eastAsia="zh-CN"/>
              </w:rPr>
              <w:t>29.8%</w:t>
            </w:r>
          </w:p>
        </w:tc>
        <w:tc>
          <w:tcPr>
            <w:tcW w:w="492" w:type="pct"/>
            <w:tcBorders>
              <w:top w:val="nil"/>
              <w:left w:val="nil"/>
              <w:bottom w:val="single" w:color="auto" w:sz="4" w:space="0"/>
              <w:right w:val="single" w:color="auto" w:sz="4" w:space="0"/>
            </w:tcBorders>
            <w:shd w:val="clear" w:color="auto" w:fill="auto"/>
            <w:noWrap/>
            <w:vAlign w:val="center"/>
          </w:tcPr>
          <w:p w14:paraId="62D58ED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rPr>
            </w:pPr>
            <w:r>
              <w:rPr>
                <w:rFonts w:hint="default" w:ascii="Times New Roman" w:hAnsi="Times New Roman" w:cs="Times New Roman"/>
                <w:b w:val="0"/>
                <w:bCs w:val="0"/>
                <w:color w:val="000000"/>
                <w:kern w:val="0"/>
                <w:sz w:val="21"/>
                <w:szCs w:val="21"/>
                <w:highlight w:val="none"/>
                <w:lang w:val="en-US" w:eastAsia="zh-CN"/>
              </w:rPr>
              <w:t>11.1%</w:t>
            </w:r>
          </w:p>
        </w:tc>
        <w:tc>
          <w:tcPr>
            <w:tcW w:w="476" w:type="pct"/>
            <w:tcBorders>
              <w:top w:val="nil"/>
              <w:left w:val="nil"/>
              <w:bottom w:val="single" w:color="auto" w:sz="4" w:space="0"/>
              <w:right w:val="single" w:color="auto" w:sz="4" w:space="0"/>
            </w:tcBorders>
            <w:shd w:val="clear" w:color="auto" w:fill="auto"/>
            <w:noWrap/>
            <w:vAlign w:val="center"/>
          </w:tcPr>
          <w:p w14:paraId="4AEB716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rPr>
            </w:pPr>
            <w:r>
              <w:rPr>
                <w:rFonts w:hint="default" w:ascii="Times New Roman" w:hAnsi="Times New Roman" w:cs="Times New Roman"/>
                <w:b w:val="0"/>
                <w:bCs w:val="0"/>
                <w:color w:val="000000"/>
                <w:kern w:val="0"/>
                <w:sz w:val="21"/>
                <w:szCs w:val="21"/>
                <w:highlight w:val="none"/>
                <w:lang w:val="en-US" w:eastAsia="zh-CN"/>
              </w:rPr>
              <w:t>13.9%</w:t>
            </w:r>
          </w:p>
        </w:tc>
        <w:tc>
          <w:tcPr>
            <w:tcW w:w="476" w:type="pct"/>
            <w:tcBorders>
              <w:top w:val="nil"/>
              <w:left w:val="nil"/>
              <w:bottom w:val="single" w:color="auto" w:sz="4" w:space="0"/>
              <w:right w:val="single" w:color="auto" w:sz="4" w:space="0"/>
            </w:tcBorders>
            <w:shd w:val="clear" w:color="auto" w:fill="auto"/>
            <w:noWrap/>
            <w:vAlign w:val="center"/>
          </w:tcPr>
          <w:p w14:paraId="57BE932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rPr>
            </w:pPr>
            <w:r>
              <w:rPr>
                <w:rFonts w:hint="default" w:ascii="Times New Roman" w:hAnsi="Times New Roman" w:cs="Times New Roman"/>
                <w:b w:val="0"/>
                <w:bCs w:val="0"/>
                <w:color w:val="000000"/>
                <w:kern w:val="0"/>
                <w:sz w:val="21"/>
                <w:szCs w:val="21"/>
                <w:highlight w:val="none"/>
                <w:lang w:val="en-US" w:eastAsia="zh-CN"/>
              </w:rPr>
              <w:t>3.8%</w:t>
            </w:r>
          </w:p>
        </w:tc>
        <w:tc>
          <w:tcPr>
            <w:tcW w:w="534" w:type="pct"/>
            <w:tcBorders>
              <w:top w:val="nil"/>
              <w:left w:val="nil"/>
              <w:bottom w:val="single" w:color="auto" w:sz="4" w:space="0"/>
              <w:right w:val="single" w:color="auto" w:sz="4" w:space="0"/>
            </w:tcBorders>
            <w:shd w:val="clear" w:color="auto" w:fill="auto"/>
            <w:noWrap/>
            <w:vAlign w:val="center"/>
          </w:tcPr>
          <w:p w14:paraId="42CED35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rPr>
            </w:pPr>
            <w:r>
              <w:rPr>
                <w:rFonts w:hint="default" w:ascii="Times New Roman" w:hAnsi="Times New Roman" w:cs="Times New Roman"/>
                <w:b w:val="0"/>
                <w:bCs w:val="0"/>
                <w:color w:val="000000"/>
                <w:kern w:val="0"/>
                <w:sz w:val="21"/>
                <w:szCs w:val="21"/>
                <w:highlight w:val="none"/>
                <w:lang w:val="en-US" w:eastAsia="zh-CN"/>
              </w:rPr>
              <w:t>0.5%</w:t>
            </w:r>
          </w:p>
        </w:tc>
        <w:tc>
          <w:tcPr>
            <w:tcW w:w="446" w:type="pct"/>
            <w:tcBorders>
              <w:top w:val="nil"/>
              <w:left w:val="nil"/>
              <w:bottom w:val="single" w:color="auto" w:sz="4" w:space="0"/>
              <w:right w:val="single" w:color="auto" w:sz="4" w:space="0"/>
            </w:tcBorders>
            <w:shd w:val="clear" w:color="auto" w:fill="auto"/>
            <w:noWrap/>
            <w:vAlign w:val="center"/>
          </w:tcPr>
          <w:p w14:paraId="660C31F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rPr>
            </w:pPr>
            <w:r>
              <w:rPr>
                <w:rFonts w:hint="default" w:ascii="Times New Roman" w:hAnsi="Times New Roman" w:cs="Times New Roman"/>
                <w:b w:val="0"/>
                <w:bCs w:val="0"/>
                <w:color w:val="000000"/>
                <w:kern w:val="0"/>
                <w:sz w:val="21"/>
                <w:szCs w:val="21"/>
                <w:highlight w:val="none"/>
                <w:lang w:val="en-US" w:eastAsia="zh-CN"/>
              </w:rPr>
              <w:t>0.5%</w:t>
            </w:r>
          </w:p>
        </w:tc>
      </w:tr>
    </w:tbl>
    <w:p w14:paraId="34B16352">
      <w:pPr>
        <w:keepNext/>
        <w:keepLines w:val="0"/>
        <w:pageBreakBefore w:val="0"/>
        <w:widowControl w:val="0"/>
        <w:kinsoku/>
        <w:wordWrap/>
        <w:autoSpaceDE/>
        <w:autoSpaceDN/>
        <w:bidi w:val="0"/>
        <w:spacing w:line="360" w:lineRule="auto"/>
        <w:ind w:firstLine="482" w:firstLineChars="200"/>
        <w:rPr>
          <w:rFonts w:hint="default" w:ascii="Times New Roman" w:hAnsi="Times New Roman" w:cs="Times New Roman"/>
          <w:b/>
          <w:bCs/>
          <w:kern w:val="0"/>
          <w:sz w:val="24"/>
          <w:highlight w:val="none"/>
          <w:lang w:val="en-US" w:eastAsia="zh-CN"/>
        </w:rPr>
      </w:pPr>
      <w:r>
        <w:rPr>
          <w:rFonts w:hint="default" w:ascii="Times New Roman" w:hAnsi="Times New Roman" w:cs="Times New Roman"/>
          <w:b/>
          <w:bCs/>
          <w:kern w:val="0"/>
          <w:sz w:val="24"/>
          <w:highlight w:val="none"/>
          <w:lang w:val="en-US" w:eastAsia="zh-CN"/>
        </w:rPr>
        <w:t>（3）综合对比</w:t>
      </w:r>
    </w:p>
    <w:p w14:paraId="062569E6">
      <w:pPr>
        <w:keepNext/>
        <w:keepLines w:val="0"/>
        <w:pageBreakBefore w:val="0"/>
        <w:widowControl w:val="0"/>
        <w:kinsoku/>
        <w:wordWrap/>
        <w:autoSpaceDE/>
        <w:autoSpaceDN/>
        <w:bidi w:val="0"/>
        <w:spacing w:line="360" w:lineRule="auto"/>
        <w:ind w:firstLine="480" w:firstLineChars="200"/>
        <w:rPr>
          <w:rFonts w:hint="default" w:ascii="Times New Roman" w:hAnsi="Times New Roman" w:cs="Times New Roman"/>
          <w:color w:val="000000"/>
          <w:kern w:val="0"/>
          <w:sz w:val="24"/>
          <w:highlight w:val="none"/>
          <w:lang w:eastAsia="zh-CN"/>
        </w:rPr>
      </w:pPr>
      <w:r>
        <w:rPr>
          <w:rFonts w:hint="default" w:ascii="Times New Roman" w:hAnsi="Times New Roman" w:cs="Times New Roman"/>
          <w:color w:val="000000"/>
          <w:kern w:val="0"/>
          <w:sz w:val="24"/>
          <w:highlight w:val="none"/>
          <w:lang w:val="en-US" w:eastAsia="zh-CN"/>
        </w:rPr>
        <w:t>调研实测</w:t>
      </w:r>
      <w:r>
        <w:rPr>
          <w:rFonts w:hint="default" w:ascii="Times New Roman" w:hAnsi="Times New Roman" w:cs="Times New Roman"/>
          <w:color w:val="000000"/>
          <w:kern w:val="0"/>
          <w:sz w:val="24"/>
          <w:highlight w:val="none"/>
        </w:rPr>
        <w:t>和</w:t>
      </w:r>
      <w:r>
        <w:rPr>
          <w:rFonts w:hint="default" w:ascii="Times New Roman" w:hAnsi="Times New Roman" w:cs="Times New Roman"/>
          <w:color w:val="000000"/>
          <w:kern w:val="0"/>
          <w:sz w:val="24"/>
          <w:highlight w:val="none"/>
          <w:lang w:val="en-US" w:eastAsia="zh-CN"/>
        </w:rPr>
        <w:t>企业自行监测的苯系物浓度</w:t>
      </w:r>
      <w:r>
        <w:rPr>
          <w:rFonts w:hint="default" w:ascii="Times New Roman" w:hAnsi="Times New Roman" w:cs="Times New Roman"/>
          <w:color w:val="000000"/>
          <w:kern w:val="0"/>
          <w:sz w:val="24"/>
          <w:highlight w:val="none"/>
        </w:rPr>
        <w:t>数据</w:t>
      </w:r>
      <w:r>
        <w:rPr>
          <w:rFonts w:hint="default" w:ascii="Times New Roman" w:hAnsi="Times New Roman" w:cs="Times New Roman"/>
          <w:color w:val="000000"/>
          <w:kern w:val="0"/>
          <w:sz w:val="24"/>
          <w:highlight w:val="none"/>
          <w:lang w:eastAsia="zh-CN"/>
        </w:rPr>
        <w:t>总体在同一水平，综合</w:t>
      </w:r>
      <w:r>
        <w:rPr>
          <w:rFonts w:hint="default" w:ascii="Times New Roman" w:hAnsi="Times New Roman" w:cs="Times New Roman"/>
          <w:color w:val="000000"/>
          <w:kern w:val="0"/>
          <w:sz w:val="24"/>
          <w:highlight w:val="none"/>
          <w:lang w:val="en-US" w:eastAsia="zh-CN"/>
        </w:rPr>
        <w:t>282个排气筒监测数据，</w:t>
      </w:r>
      <w:r>
        <w:rPr>
          <w:rFonts w:hint="default" w:ascii="Times New Roman" w:hAnsi="Times New Roman" w:cs="Times New Roman"/>
          <w:b/>
          <w:bCs/>
          <w:color w:val="000000"/>
          <w:kern w:val="0"/>
          <w:sz w:val="24"/>
          <w:highlight w:val="none"/>
        </w:rPr>
        <w:t>约</w:t>
      </w:r>
      <w:r>
        <w:rPr>
          <w:rFonts w:hint="default" w:ascii="Times New Roman" w:hAnsi="Times New Roman" w:cs="Times New Roman"/>
          <w:b/>
          <w:bCs/>
          <w:color w:val="000000"/>
          <w:kern w:val="0"/>
          <w:sz w:val="24"/>
          <w:highlight w:val="none"/>
          <w:lang w:val="en-US" w:eastAsia="zh-CN"/>
        </w:rPr>
        <w:t>99</w:t>
      </w:r>
      <w:r>
        <w:rPr>
          <w:rFonts w:hint="default" w:ascii="Times New Roman" w:hAnsi="Times New Roman" w:cs="Times New Roman"/>
          <w:b/>
          <w:bCs/>
          <w:color w:val="000000"/>
          <w:kern w:val="0"/>
          <w:sz w:val="24"/>
          <w:highlight w:val="none"/>
        </w:rPr>
        <w:t>%的排气筒</w:t>
      </w:r>
      <w:r>
        <w:rPr>
          <w:rFonts w:hint="eastAsia" w:ascii="Times New Roman" w:hAnsi="Times New Roman" w:cs="Times New Roman"/>
          <w:b/>
          <w:bCs/>
          <w:color w:val="000000"/>
          <w:kern w:val="0"/>
          <w:sz w:val="24"/>
          <w:highlight w:val="none"/>
          <w:lang w:val="en-US" w:eastAsia="zh-CN"/>
        </w:rPr>
        <w:t>苯系物</w:t>
      </w:r>
      <w:r>
        <w:rPr>
          <w:rFonts w:hint="default" w:ascii="Times New Roman" w:hAnsi="Times New Roman" w:cs="Times New Roman"/>
          <w:b/>
          <w:bCs/>
          <w:color w:val="000000"/>
          <w:kern w:val="0"/>
          <w:sz w:val="24"/>
          <w:highlight w:val="none"/>
        </w:rPr>
        <w:t>浓度低于</w:t>
      </w:r>
      <w:r>
        <w:rPr>
          <w:rFonts w:hint="default" w:ascii="Times New Roman" w:hAnsi="Times New Roman" w:cs="Times New Roman"/>
          <w:b/>
          <w:bCs/>
          <w:color w:val="000000"/>
          <w:kern w:val="0"/>
          <w:sz w:val="24"/>
          <w:highlight w:val="none"/>
          <w:lang w:val="en-US" w:eastAsia="zh-CN"/>
        </w:rPr>
        <w:t>10</w:t>
      </w:r>
      <w:r>
        <w:rPr>
          <w:rFonts w:hint="default" w:ascii="Times New Roman" w:hAnsi="Times New Roman" w:cs="Times New Roman"/>
          <w:b/>
          <w:bCs/>
          <w:color w:val="000000"/>
          <w:kern w:val="0"/>
          <w:sz w:val="24"/>
          <w:highlight w:val="none"/>
        </w:rPr>
        <w:t xml:space="preserve"> mg/m</w:t>
      </w:r>
      <w:r>
        <w:rPr>
          <w:rFonts w:hint="default" w:ascii="Times New Roman" w:hAnsi="Times New Roman" w:cs="Times New Roman"/>
          <w:b/>
          <w:bCs/>
          <w:color w:val="000000"/>
          <w:kern w:val="0"/>
          <w:sz w:val="24"/>
          <w:highlight w:val="none"/>
          <w:vertAlign w:val="superscript"/>
        </w:rPr>
        <w:t>3</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eastAsia="zh-CN"/>
        </w:rPr>
        <w:t>具体浓度分布见表</w:t>
      </w:r>
      <w:r>
        <w:rPr>
          <w:rFonts w:hint="eastAsia" w:cs="Times New Roman"/>
          <w:color w:val="000000"/>
          <w:kern w:val="0"/>
          <w:sz w:val="24"/>
          <w:highlight w:val="none"/>
          <w:lang w:val="en-US" w:eastAsia="zh-CN"/>
        </w:rPr>
        <w:t>7.5</w:t>
      </w:r>
      <w:r>
        <w:rPr>
          <w:rFonts w:hint="default" w:ascii="Times New Roman" w:hAnsi="Times New Roman" w:cs="Times New Roman"/>
          <w:color w:val="000000"/>
          <w:kern w:val="0"/>
          <w:sz w:val="24"/>
          <w:highlight w:val="none"/>
          <w:lang w:val="en-US" w:eastAsia="zh-CN"/>
        </w:rPr>
        <w:t>-</w:t>
      </w:r>
      <w:r>
        <w:rPr>
          <w:rFonts w:hint="eastAsia" w:cs="Times New Roman"/>
          <w:color w:val="000000"/>
          <w:kern w:val="0"/>
          <w:sz w:val="24"/>
          <w:highlight w:val="none"/>
          <w:lang w:val="en-US" w:eastAsia="zh-CN"/>
        </w:rPr>
        <w:t>7</w:t>
      </w:r>
      <w:r>
        <w:rPr>
          <w:rFonts w:hint="default" w:ascii="Times New Roman" w:hAnsi="Times New Roman" w:cs="Times New Roman"/>
          <w:color w:val="000000"/>
          <w:kern w:val="0"/>
          <w:sz w:val="24"/>
          <w:highlight w:val="none"/>
          <w:lang w:val="en-US" w:eastAsia="zh-CN"/>
        </w:rPr>
        <w:t>。</w:t>
      </w:r>
    </w:p>
    <w:p w14:paraId="329C9F62">
      <w:pPr>
        <w:keepNext/>
        <w:keepLines w:val="0"/>
        <w:pageBreakBefore w:val="0"/>
        <w:widowControl w:val="0"/>
        <w:kinsoku/>
        <w:wordWrap/>
        <w:autoSpaceDE/>
        <w:autoSpaceDN/>
        <w:bidi w:val="0"/>
        <w:spacing w:line="360" w:lineRule="auto"/>
        <w:ind w:firstLine="480" w:firstLineChars="200"/>
        <w:rPr>
          <w:rFonts w:hint="default" w:ascii="Times New Roman" w:hAnsi="Times New Roman" w:cs="Times New Roman"/>
          <w:color w:val="000000"/>
          <w:kern w:val="0"/>
          <w:sz w:val="24"/>
          <w:highlight w:val="none"/>
        </w:rPr>
      </w:pPr>
      <w:r>
        <w:rPr>
          <w:rFonts w:hint="default" w:ascii="Times New Roman" w:hAnsi="Times New Roman" w:cs="Times New Roman"/>
          <w:color w:val="000000"/>
          <w:kern w:val="0"/>
          <w:sz w:val="24"/>
          <w:highlight w:val="none"/>
        </w:rPr>
        <w:t>分</w:t>
      </w:r>
      <w:r>
        <w:rPr>
          <w:rFonts w:hint="default" w:ascii="Times New Roman" w:hAnsi="Times New Roman" w:cs="Times New Roman"/>
          <w:color w:val="000000"/>
          <w:kern w:val="0"/>
          <w:sz w:val="24"/>
          <w:highlight w:val="none"/>
          <w:lang w:eastAsia="zh-CN"/>
        </w:rPr>
        <w:t>汽车维修</w:t>
      </w:r>
      <w:r>
        <w:rPr>
          <w:rFonts w:hint="default" w:ascii="Times New Roman" w:hAnsi="Times New Roman" w:cs="Times New Roman"/>
          <w:color w:val="000000"/>
          <w:kern w:val="0"/>
          <w:sz w:val="24"/>
          <w:highlight w:val="none"/>
        </w:rPr>
        <w:t>等级来看</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rPr>
        <w:t>一类</w:t>
      </w:r>
      <w:r>
        <w:rPr>
          <w:rFonts w:hint="default" w:ascii="Times New Roman" w:hAnsi="Times New Roman" w:cs="Times New Roman"/>
          <w:color w:val="000000"/>
          <w:kern w:val="0"/>
          <w:sz w:val="24"/>
          <w:highlight w:val="none"/>
          <w:lang w:eastAsia="zh-CN"/>
        </w:rPr>
        <w:t>汽车维修</w:t>
      </w:r>
      <w:r>
        <w:rPr>
          <w:rFonts w:hint="default" w:ascii="Times New Roman" w:hAnsi="Times New Roman" w:cs="Times New Roman"/>
          <w:color w:val="000000"/>
          <w:kern w:val="0"/>
          <w:sz w:val="24"/>
          <w:highlight w:val="none"/>
        </w:rPr>
        <w:t>企业</w:t>
      </w:r>
      <w:r>
        <w:rPr>
          <w:rFonts w:hint="default" w:ascii="Times New Roman" w:hAnsi="Times New Roman" w:cs="Times New Roman"/>
          <w:color w:val="000000"/>
          <w:kern w:val="0"/>
          <w:sz w:val="24"/>
          <w:highlight w:val="none"/>
          <w:lang w:val="en-US" w:eastAsia="zh-CN"/>
        </w:rPr>
        <w:t>苯系物</w:t>
      </w:r>
      <w:r>
        <w:rPr>
          <w:rFonts w:hint="default" w:ascii="Times New Roman" w:hAnsi="Times New Roman" w:cs="Times New Roman"/>
          <w:color w:val="000000"/>
          <w:kern w:val="0"/>
          <w:sz w:val="24"/>
          <w:highlight w:val="none"/>
        </w:rPr>
        <w:t>的浓度范围在</w:t>
      </w:r>
      <w:r>
        <w:rPr>
          <w:rFonts w:hint="default" w:ascii="Times New Roman" w:hAnsi="Times New Roman" w:cs="Times New Roman"/>
          <w:color w:val="000000"/>
          <w:kern w:val="0"/>
          <w:sz w:val="24"/>
          <w:highlight w:val="none"/>
          <w:lang w:val="en-US" w:eastAsia="zh-CN"/>
        </w:rPr>
        <w:t>未检出</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val="en-US" w:eastAsia="zh-CN"/>
        </w:rPr>
        <w:t>38.394</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color w:val="000000"/>
          <w:kern w:val="0"/>
          <w:sz w:val="24"/>
          <w:highlight w:val="none"/>
          <w:lang w:val="en-US" w:eastAsia="zh-CN"/>
        </w:rPr>
        <w:t>平均浓度为1.294±5.015</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rPr>
        <w:t>二类汽修企业的浓度范围在</w:t>
      </w:r>
      <w:r>
        <w:rPr>
          <w:rFonts w:hint="default" w:ascii="Times New Roman" w:hAnsi="Times New Roman" w:cs="Times New Roman"/>
          <w:color w:val="000000"/>
          <w:kern w:val="0"/>
          <w:sz w:val="24"/>
          <w:highlight w:val="none"/>
          <w:lang w:val="en-US" w:eastAsia="zh-CN"/>
        </w:rPr>
        <w:t>未检出</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val="en-US" w:eastAsia="zh-CN"/>
        </w:rPr>
        <w:t>32.980</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color w:val="000000"/>
          <w:kern w:val="0"/>
          <w:sz w:val="24"/>
          <w:highlight w:val="none"/>
          <w:lang w:val="en-US" w:eastAsia="zh-CN"/>
        </w:rPr>
        <w:t>平均浓度为1.038±3.338</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rPr>
        <w:t>三类</w:t>
      </w:r>
      <w:r>
        <w:rPr>
          <w:rFonts w:hint="default" w:ascii="Times New Roman" w:hAnsi="Times New Roman" w:cs="Times New Roman"/>
          <w:color w:val="000000"/>
          <w:kern w:val="0"/>
          <w:sz w:val="24"/>
          <w:highlight w:val="none"/>
          <w:lang w:eastAsia="zh-CN"/>
        </w:rPr>
        <w:t>汽车维修</w:t>
      </w:r>
      <w:r>
        <w:rPr>
          <w:rFonts w:hint="default" w:ascii="Times New Roman" w:hAnsi="Times New Roman" w:cs="Times New Roman"/>
          <w:color w:val="000000"/>
          <w:kern w:val="0"/>
          <w:sz w:val="24"/>
          <w:highlight w:val="none"/>
        </w:rPr>
        <w:t>企业的浓度范围在</w:t>
      </w:r>
      <w:r>
        <w:rPr>
          <w:rFonts w:hint="default" w:ascii="Times New Roman" w:hAnsi="Times New Roman" w:cs="Times New Roman"/>
          <w:color w:val="000000"/>
          <w:kern w:val="0"/>
          <w:sz w:val="24"/>
          <w:highlight w:val="none"/>
          <w:lang w:val="en-US" w:eastAsia="zh-CN"/>
        </w:rPr>
        <w:t>未检出</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val="en-US" w:eastAsia="zh-CN"/>
        </w:rPr>
        <w:t>3.847</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color w:val="000000"/>
          <w:kern w:val="0"/>
          <w:sz w:val="24"/>
          <w:highlight w:val="none"/>
          <w:lang w:val="en-US" w:eastAsia="zh-CN"/>
        </w:rPr>
        <w:t>平均浓度为0.705±1.055</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rPr>
        <w:t>整体来看</w:t>
      </w:r>
      <w:r>
        <w:rPr>
          <w:rFonts w:hint="default" w:ascii="Times New Roman" w:hAnsi="Times New Roman" w:cs="Times New Roman"/>
          <w:color w:val="000000"/>
          <w:kern w:val="0"/>
          <w:sz w:val="24"/>
          <w:highlight w:val="none"/>
          <w:lang w:val="en-US" w:eastAsia="zh-CN"/>
        </w:rPr>
        <w:t>一类</w:t>
      </w:r>
      <w:r>
        <w:rPr>
          <w:rFonts w:hint="default" w:ascii="Times New Roman" w:hAnsi="Times New Roman" w:cs="Times New Roman"/>
          <w:color w:val="000000"/>
          <w:kern w:val="0"/>
          <w:sz w:val="24"/>
          <w:highlight w:val="none"/>
          <w:lang w:eastAsia="zh-CN"/>
        </w:rPr>
        <w:t>汽车维修</w:t>
      </w:r>
      <w:r>
        <w:rPr>
          <w:rFonts w:hint="default" w:ascii="Times New Roman" w:hAnsi="Times New Roman" w:cs="Times New Roman"/>
          <w:color w:val="000000"/>
          <w:kern w:val="0"/>
          <w:sz w:val="24"/>
          <w:highlight w:val="none"/>
        </w:rPr>
        <w:t>企业</w:t>
      </w:r>
      <w:r>
        <w:rPr>
          <w:rFonts w:hint="default" w:ascii="Times New Roman" w:hAnsi="Times New Roman" w:cs="Times New Roman"/>
          <w:color w:val="000000"/>
          <w:kern w:val="0"/>
          <w:sz w:val="24"/>
          <w:highlight w:val="none"/>
          <w:lang w:val="en-US" w:eastAsia="zh-CN"/>
        </w:rPr>
        <w:t>苯系物</w:t>
      </w:r>
      <w:r>
        <w:rPr>
          <w:rFonts w:hint="default" w:ascii="Times New Roman" w:hAnsi="Times New Roman" w:cs="Times New Roman"/>
          <w:color w:val="000000"/>
          <w:kern w:val="0"/>
          <w:sz w:val="24"/>
          <w:highlight w:val="none"/>
        </w:rPr>
        <w:t>的排放浓度相对较高</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lang w:val="en-US" w:eastAsia="zh-CN"/>
        </w:rPr>
        <w:t>不同汽修等级浓度分布见图</w:t>
      </w:r>
      <w:r>
        <w:rPr>
          <w:rFonts w:hint="eastAsia" w:cs="Times New Roman"/>
          <w:color w:val="000000"/>
          <w:kern w:val="0"/>
          <w:sz w:val="24"/>
          <w:highlight w:val="none"/>
          <w:lang w:val="en-US" w:eastAsia="zh-CN"/>
        </w:rPr>
        <w:t>7.5-5</w:t>
      </w:r>
      <w:r>
        <w:rPr>
          <w:rFonts w:hint="default" w:ascii="Times New Roman" w:hAnsi="Times New Roman" w:cs="Times New Roman"/>
          <w:color w:val="000000"/>
          <w:kern w:val="0"/>
          <w:sz w:val="24"/>
          <w:highlight w:val="none"/>
        </w:rPr>
        <w:t>。</w:t>
      </w:r>
    </w:p>
    <w:p w14:paraId="791540A0">
      <w:pPr>
        <w:keepNext/>
        <w:keepLines w:val="0"/>
        <w:pageBreakBefore w:val="0"/>
        <w:widowControl w:val="0"/>
        <w:kinsoku/>
        <w:wordWrap/>
        <w:autoSpaceDE/>
        <w:autoSpaceDN/>
        <w:bidi w:val="0"/>
        <w:spacing w:line="360" w:lineRule="auto"/>
        <w:ind w:firstLine="480" w:firstLineChars="200"/>
        <w:rPr>
          <w:rFonts w:hint="default" w:ascii="Times New Roman" w:hAnsi="Times New Roman" w:cs="Times New Roman"/>
          <w:color w:val="000000"/>
          <w:kern w:val="0"/>
          <w:sz w:val="24"/>
          <w:highlight w:val="none"/>
          <w:vertAlign w:val="baseline"/>
          <w:lang w:eastAsia="zh-CN"/>
        </w:rPr>
      </w:pPr>
      <w:r>
        <w:rPr>
          <w:rFonts w:hint="default" w:ascii="Times New Roman" w:hAnsi="Times New Roman" w:cs="Times New Roman"/>
          <w:color w:val="000000"/>
          <w:kern w:val="0"/>
          <w:sz w:val="24"/>
          <w:highlight w:val="none"/>
        </w:rPr>
        <w:t>分</w:t>
      </w:r>
      <w:r>
        <w:rPr>
          <w:rFonts w:hint="default" w:ascii="Times New Roman" w:hAnsi="Times New Roman" w:cs="Times New Roman"/>
          <w:color w:val="000000"/>
          <w:kern w:val="0"/>
          <w:sz w:val="24"/>
          <w:highlight w:val="none"/>
          <w:lang w:val="en-US" w:eastAsia="zh-CN"/>
        </w:rPr>
        <w:t>治理设施类型</w:t>
      </w:r>
      <w:r>
        <w:rPr>
          <w:rFonts w:hint="default" w:ascii="Times New Roman" w:hAnsi="Times New Roman" w:cs="Times New Roman"/>
          <w:color w:val="000000"/>
          <w:kern w:val="0"/>
          <w:sz w:val="24"/>
          <w:highlight w:val="none"/>
        </w:rPr>
        <w:t>来看</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lang w:val="en-US" w:eastAsia="zh-CN"/>
        </w:rPr>
        <w:t>采用UV光氧+活性炭或二级活性炭苯系物</w:t>
      </w:r>
      <w:r>
        <w:rPr>
          <w:rFonts w:hint="default" w:ascii="Times New Roman" w:hAnsi="Times New Roman" w:cs="Times New Roman"/>
          <w:color w:val="000000"/>
          <w:kern w:val="0"/>
          <w:sz w:val="24"/>
          <w:highlight w:val="none"/>
        </w:rPr>
        <w:t>浓度范围在</w:t>
      </w:r>
      <w:r>
        <w:rPr>
          <w:rFonts w:hint="default" w:ascii="Times New Roman" w:hAnsi="Times New Roman" w:cs="Times New Roman"/>
          <w:color w:val="000000"/>
          <w:kern w:val="0"/>
          <w:sz w:val="24"/>
          <w:highlight w:val="none"/>
          <w:lang w:val="en-US" w:eastAsia="zh-CN"/>
        </w:rPr>
        <w:t>未检出</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val="en-US" w:eastAsia="zh-CN"/>
        </w:rPr>
        <w:t>38.394</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color w:val="000000"/>
          <w:kern w:val="0"/>
          <w:sz w:val="24"/>
          <w:highlight w:val="none"/>
          <w:lang w:val="en-US" w:eastAsia="zh-CN"/>
        </w:rPr>
        <w:t>平均浓度为1.174±4.506</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lang w:eastAsia="zh-CN"/>
        </w:rPr>
        <w:t>；</w:t>
      </w:r>
      <w:r>
        <w:rPr>
          <w:rFonts w:hint="eastAsia" w:ascii="Times New Roman" w:hAnsi="Times New Roman" w:cs="Times New Roman"/>
          <w:color w:val="000000"/>
          <w:kern w:val="0"/>
          <w:sz w:val="24"/>
          <w:highlight w:val="none"/>
          <w:lang w:val="en-US" w:eastAsia="zh-CN"/>
        </w:rPr>
        <w:t>活性炭+低温催化分解</w:t>
      </w:r>
      <w:r>
        <w:rPr>
          <w:rFonts w:hint="default" w:ascii="Times New Roman" w:hAnsi="Times New Roman" w:cs="Times New Roman"/>
          <w:color w:val="000000"/>
          <w:kern w:val="0"/>
          <w:sz w:val="24"/>
          <w:highlight w:val="none"/>
        </w:rPr>
        <w:t>浓度范围在</w:t>
      </w:r>
      <w:r>
        <w:rPr>
          <w:rFonts w:hint="default" w:ascii="Times New Roman" w:hAnsi="Times New Roman" w:cs="Times New Roman"/>
          <w:color w:val="000000"/>
          <w:kern w:val="0"/>
          <w:sz w:val="24"/>
          <w:highlight w:val="none"/>
          <w:lang w:val="en-US" w:eastAsia="zh-CN"/>
        </w:rPr>
        <w:t>未检出</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val="en-US" w:eastAsia="zh-CN"/>
        </w:rPr>
        <w:t>0.048</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color w:val="000000"/>
          <w:kern w:val="0"/>
          <w:sz w:val="24"/>
          <w:highlight w:val="none"/>
          <w:lang w:val="en-US" w:eastAsia="zh-CN"/>
        </w:rPr>
        <w:t>平均浓度为0.941±0.340</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lang w:val="en-US" w:eastAsia="zh-CN"/>
        </w:rPr>
        <w:t>燃烧法（催化燃烧或蓄热催化燃烧）浓度范围在未检出~5.125</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color w:val="000000"/>
          <w:kern w:val="0"/>
          <w:sz w:val="24"/>
          <w:highlight w:val="none"/>
          <w:lang w:val="en-US" w:eastAsia="zh-CN"/>
        </w:rPr>
        <w:t>平均浓度为0.722±1.079</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rPr>
        <w:t>整体来看</w:t>
      </w:r>
      <w:r>
        <w:rPr>
          <w:rFonts w:hint="default" w:ascii="Times New Roman" w:hAnsi="Times New Roman" w:cs="Times New Roman"/>
          <w:color w:val="000000"/>
          <w:kern w:val="0"/>
          <w:sz w:val="24"/>
          <w:highlight w:val="none"/>
          <w:lang w:val="en-US" w:eastAsia="zh-CN"/>
        </w:rPr>
        <w:t>采用UV光氧+活性炭或二级活性炭作为治理设施</w:t>
      </w:r>
      <w:r>
        <w:rPr>
          <w:rFonts w:hint="default" w:ascii="Times New Roman" w:hAnsi="Times New Roman" w:cs="Times New Roman"/>
          <w:color w:val="000000"/>
          <w:kern w:val="0"/>
          <w:sz w:val="24"/>
          <w:highlight w:val="none"/>
        </w:rPr>
        <w:t>的</w:t>
      </w:r>
      <w:r>
        <w:rPr>
          <w:rFonts w:hint="default" w:ascii="Times New Roman" w:hAnsi="Times New Roman" w:cs="Times New Roman"/>
          <w:color w:val="000000"/>
          <w:kern w:val="0"/>
          <w:sz w:val="24"/>
          <w:highlight w:val="none"/>
          <w:lang w:val="en-US" w:eastAsia="zh-CN"/>
        </w:rPr>
        <w:t>苯系物</w:t>
      </w:r>
      <w:r>
        <w:rPr>
          <w:rFonts w:hint="default" w:ascii="Times New Roman" w:hAnsi="Times New Roman" w:cs="Times New Roman"/>
          <w:color w:val="000000"/>
          <w:kern w:val="0"/>
          <w:sz w:val="24"/>
          <w:highlight w:val="none"/>
        </w:rPr>
        <w:t>排放浓度相对较高。</w:t>
      </w:r>
      <w:r>
        <w:rPr>
          <w:rFonts w:hint="default" w:ascii="Times New Roman" w:hAnsi="Times New Roman" w:cs="Times New Roman"/>
          <w:color w:val="000000"/>
          <w:kern w:val="0"/>
          <w:sz w:val="24"/>
          <w:highlight w:val="none"/>
          <w:lang w:val="en-US" w:eastAsia="zh-CN"/>
        </w:rPr>
        <w:t>不同治理设施类型浓度分布见图</w:t>
      </w:r>
      <w:r>
        <w:rPr>
          <w:rFonts w:hint="eastAsia" w:cs="Times New Roman"/>
          <w:color w:val="000000"/>
          <w:kern w:val="0"/>
          <w:sz w:val="24"/>
          <w:highlight w:val="none"/>
          <w:lang w:val="en-US" w:eastAsia="zh-CN"/>
        </w:rPr>
        <w:t>7.5-6</w:t>
      </w:r>
      <w:r>
        <w:rPr>
          <w:rFonts w:hint="default" w:ascii="Times New Roman" w:hAnsi="Times New Roman" w:cs="Times New Roman"/>
          <w:color w:val="000000"/>
          <w:kern w:val="0"/>
          <w:sz w:val="24"/>
          <w:highlight w:val="none"/>
          <w:vertAlign w:val="baseline"/>
          <w:lang w:eastAsia="zh-CN"/>
        </w:rPr>
        <w:t>。</w:t>
      </w:r>
    </w:p>
    <w:p w14:paraId="4E687111">
      <w:pPr>
        <w:keepNext/>
        <w:keepLines w:val="0"/>
        <w:pageBreakBefore w:val="0"/>
        <w:widowControl w:val="0"/>
        <w:kinsoku/>
        <w:wordWrap/>
        <w:autoSpaceDE/>
        <w:autoSpaceDN/>
        <w:bidi w:val="0"/>
        <w:spacing w:line="360" w:lineRule="auto"/>
        <w:ind w:firstLine="482" w:firstLineChars="200"/>
        <w:rPr>
          <w:rFonts w:hint="default" w:ascii="Times New Roman" w:hAnsi="Times New Roman" w:cs="Times New Roman"/>
          <w:color w:val="000000"/>
          <w:kern w:val="0"/>
          <w:sz w:val="24"/>
          <w:highlight w:val="none"/>
          <w:lang w:eastAsia="zh-CN"/>
        </w:rPr>
      </w:pPr>
      <w:r>
        <w:rPr>
          <w:rFonts w:hint="default" w:ascii="Times New Roman" w:hAnsi="Times New Roman" w:cs="Times New Roman"/>
          <w:b/>
          <w:bCs/>
          <w:color w:val="000000"/>
          <w:kern w:val="0"/>
          <w:sz w:val="24"/>
          <w:highlight w:val="none"/>
          <w:lang w:val="en-US" w:eastAsia="zh-CN"/>
        </w:rPr>
        <w:t>综上，同时</w:t>
      </w:r>
      <w:r>
        <w:rPr>
          <w:rFonts w:hint="default" w:ascii="Times New Roman" w:hAnsi="Times New Roman" w:cs="Times New Roman"/>
          <w:b/>
          <w:bCs/>
          <w:color w:val="000000"/>
          <w:kern w:val="0"/>
          <w:sz w:val="24"/>
          <w:highlight w:val="none"/>
          <w:lang w:eastAsia="zh-CN"/>
        </w:rPr>
        <w:t>借鉴北京、上海、安徽、江苏等地标限值，</w:t>
      </w:r>
      <w:r>
        <w:rPr>
          <w:rFonts w:hint="default" w:ascii="Times New Roman" w:hAnsi="Times New Roman" w:cs="Times New Roman"/>
          <w:b/>
          <w:bCs/>
          <w:color w:val="000000"/>
          <w:sz w:val="24"/>
          <w:szCs w:val="24"/>
          <w:highlight w:val="none"/>
          <w:lang w:val="en-US" w:eastAsia="zh-CN"/>
        </w:rPr>
        <w:t>本</w:t>
      </w:r>
      <w:r>
        <w:rPr>
          <w:rFonts w:hint="eastAsia" w:cs="Times New Roman"/>
          <w:b/>
          <w:bCs/>
          <w:color w:val="000000"/>
          <w:sz w:val="24"/>
          <w:szCs w:val="24"/>
          <w:highlight w:val="none"/>
          <w:lang w:val="en-US" w:eastAsia="zh-CN"/>
        </w:rPr>
        <w:t>标准</w:t>
      </w:r>
      <w:r>
        <w:rPr>
          <w:rFonts w:hint="default" w:ascii="Times New Roman" w:hAnsi="Times New Roman" w:cs="Times New Roman"/>
          <w:b/>
          <w:bCs/>
          <w:color w:val="000000"/>
          <w:sz w:val="24"/>
          <w:szCs w:val="24"/>
          <w:highlight w:val="none"/>
          <w:lang w:val="en-US" w:eastAsia="zh-CN"/>
        </w:rPr>
        <w:t>将有组织排气筒中苯系物</w:t>
      </w:r>
      <w:r>
        <w:rPr>
          <w:rFonts w:hint="default" w:ascii="Times New Roman" w:hAnsi="Times New Roman" w:cs="Times New Roman"/>
          <w:b/>
          <w:bCs/>
          <w:color w:val="000000"/>
          <w:kern w:val="0"/>
          <w:sz w:val="24"/>
          <w:highlight w:val="none"/>
        </w:rPr>
        <w:t>的限值定为</w:t>
      </w:r>
      <w:r>
        <w:rPr>
          <w:rFonts w:hint="default" w:ascii="Times New Roman" w:hAnsi="Times New Roman" w:cs="Times New Roman"/>
          <w:b/>
          <w:bCs/>
          <w:color w:val="000000"/>
          <w:kern w:val="0"/>
          <w:sz w:val="24"/>
          <w:highlight w:val="none"/>
          <w:lang w:val="en-US" w:eastAsia="zh-CN"/>
        </w:rPr>
        <w:t xml:space="preserve">10 </w:t>
      </w:r>
      <w:r>
        <w:rPr>
          <w:rFonts w:hint="default" w:ascii="Times New Roman" w:hAnsi="Times New Roman" w:cs="Times New Roman"/>
          <w:b/>
          <w:bCs/>
          <w:color w:val="000000"/>
          <w:kern w:val="0"/>
          <w:sz w:val="24"/>
          <w:highlight w:val="none"/>
        </w:rPr>
        <w:t>mg/m</w:t>
      </w:r>
      <w:r>
        <w:rPr>
          <w:rFonts w:hint="default" w:ascii="Times New Roman" w:hAnsi="Times New Roman" w:cs="Times New Roman"/>
          <w:b/>
          <w:bCs/>
          <w:color w:val="000000"/>
          <w:kern w:val="0"/>
          <w:sz w:val="24"/>
          <w:highlight w:val="none"/>
          <w:vertAlign w:val="superscript"/>
        </w:rPr>
        <w:t>3</w:t>
      </w:r>
      <w:r>
        <w:rPr>
          <w:rFonts w:hint="default" w:ascii="Times New Roman" w:hAnsi="Times New Roman" w:cs="Times New Roman"/>
          <w:b/>
          <w:bCs/>
          <w:color w:val="000000"/>
          <w:kern w:val="0"/>
          <w:sz w:val="24"/>
          <w:highlight w:val="none"/>
          <w:lang w:eastAsia="zh-CN"/>
        </w:rPr>
        <w:t>。</w:t>
      </w:r>
    </w:p>
    <w:p w14:paraId="1B022887">
      <w:pPr>
        <w:keepNext/>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kern w:val="0"/>
          <w:szCs w:val="21"/>
          <w:highlight w:val="none"/>
          <w:lang w:val="en-US" w:eastAsia="zh-CN"/>
        </w:rPr>
      </w:pPr>
      <w:r>
        <w:rPr>
          <w:rFonts w:hint="eastAsia" w:cs="Times New Roman"/>
          <w:kern w:val="0"/>
          <w:szCs w:val="21"/>
          <w:highlight w:val="none"/>
          <w:lang w:val="en-US" w:eastAsia="zh-CN"/>
        </w:rPr>
        <w:t>表7.5</w:t>
      </w:r>
      <w:r>
        <w:rPr>
          <w:rFonts w:hint="default" w:ascii="Times New Roman" w:hAnsi="Times New Roman" w:cs="Times New Roman"/>
          <w:kern w:val="0"/>
          <w:szCs w:val="21"/>
          <w:highlight w:val="none"/>
          <w:lang w:val="en-US" w:eastAsia="zh-CN"/>
        </w:rPr>
        <w:t>-</w:t>
      </w:r>
      <w:r>
        <w:rPr>
          <w:rFonts w:hint="eastAsia" w:cs="Times New Roman"/>
          <w:kern w:val="0"/>
          <w:szCs w:val="21"/>
          <w:highlight w:val="none"/>
          <w:lang w:val="en-US" w:eastAsia="zh-CN"/>
        </w:rPr>
        <w:t>7</w:t>
      </w:r>
      <w:r>
        <w:rPr>
          <w:rFonts w:hint="default" w:ascii="Times New Roman" w:hAnsi="Times New Roman" w:cs="Times New Roman"/>
          <w:kern w:val="0"/>
          <w:szCs w:val="21"/>
          <w:highlight w:val="none"/>
          <w:lang w:val="en-US" w:eastAsia="zh-CN"/>
        </w:rPr>
        <w:t xml:space="preserve"> 有组织废气苯系物的排放浓度情况</w:t>
      </w:r>
    </w:p>
    <w:tbl>
      <w:tblPr>
        <w:tblStyle w:val="21"/>
        <w:tblW w:w="5000" w:type="pct"/>
        <w:jc w:val="center"/>
        <w:tblLayout w:type="fixed"/>
        <w:tblCellMar>
          <w:top w:w="0" w:type="dxa"/>
          <w:left w:w="108" w:type="dxa"/>
          <w:bottom w:w="0" w:type="dxa"/>
          <w:right w:w="108" w:type="dxa"/>
        </w:tblCellMar>
      </w:tblPr>
      <w:tblGrid>
        <w:gridCol w:w="1849"/>
        <w:gridCol w:w="859"/>
        <w:gridCol w:w="803"/>
        <w:gridCol w:w="877"/>
        <w:gridCol w:w="840"/>
        <w:gridCol w:w="813"/>
        <w:gridCol w:w="813"/>
        <w:gridCol w:w="912"/>
        <w:gridCol w:w="762"/>
      </w:tblGrid>
      <w:tr w14:paraId="709A5439">
        <w:tblPrEx>
          <w:tblCellMar>
            <w:top w:w="0" w:type="dxa"/>
            <w:left w:w="108" w:type="dxa"/>
            <w:bottom w:w="0" w:type="dxa"/>
            <w:right w:w="108" w:type="dxa"/>
          </w:tblCellMar>
        </w:tblPrEx>
        <w:trPr>
          <w:trHeight w:val="555" w:hRule="atLeast"/>
          <w:tblHeader/>
          <w:jc w:val="center"/>
        </w:trPr>
        <w:tc>
          <w:tcPr>
            <w:tcW w:w="1084" w:type="pct"/>
            <w:tcBorders>
              <w:top w:val="single" w:color="auto" w:sz="4" w:space="0"/>
              <w:left w:val="single" w:color="auto" w:sz="4" w:space="0"/>
              <w:bottom w:val="single" w:color="auto" w:sz="4" w:space="0"/>
              <w:right w:val="single" w:color="auto" w:sz="4" w:space="0"/>
            </w:tcBorders>
            <w:shd w:val="clear" w:color="auto" w:fill="auto"/>
            <w:noWrap/>
            <w:vAlign w:val="center"/>
          </w:tcPr>
          <w:p w14:paraId="65D53EB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rPr>
            </w:pPr>
            <w:r>
              <w:rPr>
                <w:rFonts w:hint="default" w:ascii="Times New Roman" w:hAnsi="Times New Roman" w:cs="Times New Roman"/>
                <w:b/>
                <w:bCs/>
                <w:color w:val="000000"/>
                <w:kern w:val="0"/>
                <w:sz w:val="21"/>
                <w:szCs w:val="21"/>
                <w:highlight w:val="none"/>
                <w:lang w:val="en-US" w:eastAsia="zh-CN"/>
              </w:rPr>
              <w:t>苯系物</w:t>
            </w:r>
            <w:r>
              <w:rPr>
                <w:rFonts w:hint="default" w:ascii="Times New Roman" w:hAnsi="Times New Roman" w:cs="Times New Roman"/>
                <w:b/>
                <w:bCs/>
                <w:color w:val="000000"/>
                <w:kern w:val="0"/>
                <w:sz w:val="21"/>
                <w:szCs w:val="21"/>
                <w:highlight w:val="none"/>
              </w:rPr>
              <w:t>浓度（mg/m</w:t>
            </w:r>
            <w:r>
              <w:rPr>
                <w:rFonts w:hint="default" w:ascii="Times New Roman" w:hAnsi="Times New Roman" w:cs="Times New Roman"/>
                <w:b/>
                <w:bCs/>
                <w:color w:val="000000"/>
                <w:kern w:val="0"/>
                <w:sz w:val="21"/>
                <w:szCs w:val="21"/>
                <w:highlight w:val="none"/>
                <w:vertAlign w:val="superscript"/>
              </w:rPr>
              <w:t>3</w:t>
            </w:r>
            <w:r>
              <w:rPr>
                <w:rFonts w:hint="default" w:ascii="Times New Roman" w:hAnsi="Times New Roman" w:cs="Times New Roman"/>
                <w:b/>
                <w:bCs/>
                <w:color w:val="000000"/>
                <w:kern w:val="0"/>
                <w:sz w:val="21"/>
                <w:szCs w:val="21"/>
                <w:highlight w:val="none"/>
              </w:rPr>
              <w:t>）</w:t>
            </w:r>
          </w:p>
        </w:tc>
        <w:tc>
          <w:tcPr>
            <w:tcW w:w="503" w:type="pct"/>
            <w:tcBorders>
              <w:top w:val="single" w:color="auto" w:sz="4" w:space="0"/>
              <w:left w:val="nil"/>
              <w:bottom w:val="single" w:color="auto" w:sz="4" w:space="0"/>
              <w:right w:val="single" w:color="auto" w:sz="4" w:space="0"/>
            </w:tcBorders>
            <w:shd w:val="clear" w:color="auto" w:fill="auto"/>
            <w:noWrap/>
            <w:vAlign w:val="center"/>
          </w:tcPr>
          <w:p w14:paraId="00D3AF74">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cs="Times New Roman"/>
                <w:b/>
                <w:bCs/>
                <w:color w:val="000000"/>
                <w:kern w:val="0"/>
                <w:sz w:val="21"/>
                <w:szCs w:val="21"/>
                <w:highlight w:val="none"/>
              </w:rPr>
            </w:pPr>
            <w:r>
              <w:rPr>
                <w:rFonts w:hint="default" w:ascii="Times New Roman" w:hAnsi="Times New Roman" w:eastAsia="宋体" w:cs="Times New Roman"/>
                <w:b/>
                <w:bCs/>
                <w:i w:val="0"/>
                <w:iCs w:val="0"/>
                <w:color w:val="000000"/>
                <w:kern w:val="0"/>
                <w:sz w:val="21"/>
                <w:szCs w:val="21"/>
                <w:highlight w:val="none"/>
                <w:u w:val="none"/>
                <w:lang w:val="en-US" w:eastAsia="zh-CN" w:bidi="ar"/>
              </w:rPr>
              <w:t>未检出</w:t>
            </w:r>
          </w:p>
        </w:tc>
        <w:tc>
          <w:tcPr>
            <w:tcW w:w="470" w:type="pct"/>
            <w:tcBorders>
              <w:top w:val="single" w:color="auto" w:sz="4" w:space="0"/>
              <w:left w:val="nil"/>
              <w:bottom w:val="single" w:color="auto" w:sz="4" w:space="0"/>
              <w:right w:val="single" w:color="auto" w:sz="4" w:space="0"/>
            </w:tcBorders>
            <w:shd w:val="clear" w:color="auto" w:fill="auto"/>
            <w:noWrap/>
            <w:vAlign w:val="center"/>
          </w:tcPr>
          <w:p w14:paraId="529CFFFC">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cs="Times New Roman"/>
                <w:color w:val="000000"/>
                <w:kern w:val="0"/>
                <w:sz w:val="21"/>
                <w:szCs w:val="21"/>
                <w:highlight w:val="none"/>
              </w:rPr>
            </w:pPr>
            <w:r>
              <w:rPr>
                <w:rFonts w:hint="default" w:ascii="Times New Roman" w:hAnsi="Times New Roman" w:eastAsia="宋体" w:cs="Times New Roman"/>
                <w:b/>
                <w:bCs/>
                <w:i w:val="0"/>
                <w:iCs w:val="0"/>
                <w:color w:val="000000"/>
                <w:kern w:val="0"/>
                <w:sz w:val="21"/>
                <w:szCs w:val="21"/>
                <w:highlight w:val="none"/>
                <w:u w:val="none"/>
                <w:lang w:val="en-US" w:eastAsia="zh-CN" w:bidi="ar"/>
              </w:rPr>
              <w:t>0~0.1</w:t>
            </w:r>
          </w:p>
        </w:tc>
        <w:tc>
          <w:tcPr>
            <w:tcW w:w="514" w:type="pct"/>
            <w:tcBorders>
              <w:top w:val="single" w:color="auto" w:sz="4" w:space="0"/>
              <w:left w:val="nil"/>
              <w:bottom w:val="single" w:color="auto" w:sz="4" w:space="0"/>
              <w:right w:val="single" w:color="auto" w:sz="4" w:space="0"/>
            </w:tcBorders>
            <w:shd w:val="clear" w:color="auto" w:fill="auto"/>
            <w:noWrap/>
            <w:vAlign w:val="center"/>
          </w:tcPr>
          <w:p w14:paraId="199FEFA4">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cs="Times New Roman"/>
                <w:color w:val="000000"/>
                <w:kern w:val="0"/>
                <w:sz w:val="21"/>
                <w:szCs w:val="21"/>
                <w:highlight w:val="none"/>
              </w:rPr>
            </w:pPr>
            <w:r>
              <w:rPr>
                <w:rFonts w:hint="default" w:ascii="Times New Roman" w:hAnsi="Times New Roman" w:eastAsia="宋体" w:cs="Times New Roman"/>
                <w:b/>
                <w:bCs/>
                <w:i w:val="0"/>
                <w:iCs w:val="0"/>
                <w:color w:val="000000"/>
                <w:kern w:val="0"/>
                <w:sz w:val="21"/>
                <w:szCs w:val="21"/>
                <w:highlight w:val="none"/>
                <w:u w:val="none"/>
                <w:lang w:val="en-US" w:eastAsia="zh-CN" w:bidi="ar"/>
              </w:rPr>
              <w:t>0.1~0.5</w:t>
            </w:r>
          </w:p>
        </w:tc>
        <w:tc>
          <w:tcPr>
            <w:tcW w:w="492" w:type="pct"/>
            <w:tcBorders>
              <w:top w:val="single" w:color="auto" w:sz="4" w:space="0"/>
              <w:left w:val="nil"/>
              <w:bottom w:val="single" w:color="auto" w:sz="4" w:space="0"/>
              <w:right w:val="single" w:color="auto" w:sz="4" w:space="0"/>
            </w:tcBorders>
            <w:shd w:val="clear" w:color="auto" w:fill="auto"/>
            <w:noWrap/>
            <w:vAlign w:val="center"/>
          </w:tcPr>
          <w:p w14:paraId="44DAF8E0">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cs="Times New Roman"/>
                <w:color w:val="000000"/>
                <w:kern w:val="0"/>
                <w:sz w:val="21"/>
                <w:szCs w:val="21"/>
                <w:highlight w:val="none"/>
              </w:rPr>
            </w:pPr>
            <w:r>
              <w:rPr>
                <w:rFonts w:hint="default" w:ascii="Times New Roman" w:hAnsi="Times New Roman" w:eastAsia="宋体" w:cs="Times New Roman"/>
                <w:b/>
                <w:bCs/>
                <w:i w:val="0"/>
                <w:iCs w:val="0"/>
                <w:color w:val="000000"/>
                <w:kern w:val="0"/>
                <w:sz w:val="21"/>
                <w:szCs w:val="21"/>
                <w:highlight w:val="none"/>
                <w:u w:val="none"/>
                <w:lang w:val="en-US" w:eastAsia="zh-CN" w:bidi="ar"/>
              </w:rPr>
              <w:t>0.5~1.0</w:t>
            </w:r>
          </w:p>
        </w:tc>
        <w:tc>
          <w:tcPr>
            <w:tcW w:w="476" w:type="pct"/>
            <w:tcBorders>
              <w:top w:val="single" w:color="auto" w:sz="4" w:space="0"/>
              <w:left w:val="nil"/>
              <w:bottom w:val="single" w:color="auto" w:sz="4" w:space="0"/>
              <w:right w:val="single" w:color="auto" w:sz="4" w:space="0"/>
            </w:tcBorders>
            <w:shd w:val="clear" w:color="auto" w:fill="auto"/>
            <w:noWrap/>
            <w:vAlign w:val="center"/>
          </w:tcPr>
          <w:p w14:paraId="55DE535F">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cs="Times New Roman"/>
                <w:color w:val="000000"/>
                <w:kern w:val="0"/>
                <w:sz w:val="21"/>
                <w:szCs w:val="21"/>
                <w:highlight w:val="none"/>
                <w:lang w:val="en-US"/>
              </w:rPr>
            </w:pPr>
            <w:r>
              <w:rPr>
                <w:rFonts w:hint="default" w:ascii="Times New Roman" w:hAnsi="Times New Roman" w:cs="Times New Roman"/>
                <w:b/>
                <w:bCs/>
                <w:i w:val="0"/>
                <w:iCs w:val="0"/>
                <w:color w:val="000000"/>
                <w:kern w:val="0"/>
                <w:sz w:val="21"/>
                <w:szCs w:val="21"/>
                <w:highlight w:val="none"/>
                <w:u w:val="none"/>
                <w:lang w:val="en-US" w:eastAsia="zh-CN" w:bidi="ar"/>
              </w:rPr>
              <w:t>1.0~2.0</w:t>
            </w:r>
          </w:p>
        </w:tc>
        <w:tc>
          <w:tcPr>
            <w:tcW w:w="476" w:type="pct"/>
            <w:tcBorders>
              <w:top w:val="single" w:color="auto" w:sz="4" w:space="0"/>
              <w:left w:val="nil"/>
              <w:bottom w:val="single" w:color="auto" w:sz="4" w:space="0"/>
              <w:right w:val="single" w:color="auto" w:sz="4" w:space="0"/>
            </w:tcBorders>
            <w:shd w:val="clear" w:color="auto" w:fill="auto"/>
            <w:noWrap/>
            <w:vAlign w:val="center"/>
          </w:tcPr>
          <w:p w14:paraId="5B973A42">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21"/>
                <w:szCs w:val="21"/>
                <w:highlight w:val="none"/>
                <w:u w:val="none"/>
                <w:lang w:val="en-US" w:eastAsia="zh-CN" w:bidi="ar"/>
              </w:rPr>
            </w:pPr>
            <w:r>
              <w:rPr>
                <w:rFonts w:hint="default" w:ascii="Times New Roman" w:hAnsi="Times New Roman" w:cs="Times New Roman"/>
                <w:b/>
                <w:bCs/>
                <w:i w:val="0"/>
                <w:iCs w:val="0"/>
                <w:color w:val="000000"/>
                <w:kern w:val="0"/>
                <w:sz w:val="21"/>
                <w:szCs w:val="21"/>
                <w:highlight w:val="none"/>
                <w:u w:val="none"/>
                <w:lang w:val="en-US" w:eastAsia="zh-CN" w:bidi="ar"/>
              </w:rPr>
              <w:t>2.0~5.0</w:t>
            </w:r>
          </w:p>
        </w:tc>
        <w:tc>
          <w:tcPr>
            <w:tcW w:w="534" w:type="pct"/>
            <w:tcBorders>
              <w:top w:val="single" w:color="auto" w:sz="4" w:space="0"/>
              <w:left w:val="nil"/>
              <w:bottom w:val="single" w:color="auto" w:sz="4" w:space="0"/>
              <w:right w:val="single" w:color="auto" w:sz="4" w:space="0"/>
            </w:tcBorders>
            <w:shd w:val="clear" w:color="auto" w:fill="auto"/>
            <w:noWrap/>
            <w:vAlign w:val="center"/>
          </w:tcPr>
          <w:p w14:paraId="3F633ED4">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宋体" w:cs="Times New Roman"/>
                <w:b/>
                <w:bCs/>
                <w:i w:val="0"/>
                <w:iCs w:val="0"/>
                <w:color w:val="000000"/>
                <w:kern w:val="0"/>
                <w:sz w:val="21"/>
                <w:szCs w:val="21"/>
                <w:highlight w:val="none"/>
                <w:u w:val="none"/>
                <w:lang w:val="en-US" w:eastAsia="zh-CN" w:bidi="ar"/>
              </w:rPr>
            </w:pPr>
            <w:r>
              <w:rPr>
                <w:rFonts w:hint="default" w:ascii="Times New Roman" w:hAnsi="Times New Roman" w:cs="Times New Roman"/>
                <w:b/>
                <w:bCs/>
                <w:i w:val="0"/>
                <w:iCs w:val="0"/>
                <w:color w:val="000000"/>
                <w:kern w:val="0"/>
                <w:sz w:val="21"/>
                <w:szCs w:val="21"/>
                <w:highlight w:val="none"/>
                <w:u w:val="none"/>
                <w:lang w:val="en-US" w:eastAsia="zh-CN" w:bidi="ar"/>
              </w:rPr>
              <w:t>5.0~10.0</w:t>
            </w:r>
          </w:p>
        </w:tc>
        <w:tc>
          <w:tcPr>
            <w:tcW w:w="446" w:type="pct"/>
            <w:tcBorders>
              <w:top w:val="single" w:color="auto" w:sz="4" w:space="0"/>
              <w:left w:val="nil"/>
              <w:bottom w:val="single" w:color="auto" w:sz="4" w:space="0"/>
              <w:right w:val="single" w:color="auto" w:sz="4" w:space="0"/>
            </w:tcBorders>
            <w:shd w:val="clear" w:color="auto" w:fill="auto"/>
            <w:noWrap/>
            <w:vAlign w:val="center"/>
          </w:tcPr>
          <w:p w14:paraId="48443BC8">
            <w:pPr>
              <w:keepNext/>
              <w:keepLines w:val="0"/>
              <w:pageBreakBefore w:val="0"/>
              <w:widowControl w:val="0"/>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cs="Times New Roman"/>
                <w:b/>
                <w:bCs/>
                <w:i w:val="0"/>
                <w:iCs w:val="0"/>
                <w:color w:val="000000"/>
                <w:kern w:val="0"/>
                <w:sz w:val="21"/>
                <w:szCs w:val="21"/>
                <w:highlight w:val="none"/>
                <w:u w:val="none"/>
                <w:lang w:val="en-US" w:eastAsia="zh-CN" w:bidi="ar"/>
              </w:rPr>
            </w:pPr>
            <w:r>
              <w:rPr>
                <w:rFonts w:hint="default" w:ascii="Times New Roman" w:hAnsi="Times New Roman" w:cs="Times New Roman"/>
                <w:b/>
                <w:bCs/>
                <w:i w:val="0"/>
                <w:iCs w:val="0"/>
                <w:color w:val="000000"/>
                <w:kern w:val="0"/>
                <w:sz w:val="21"/>
                <w:szCs w:val="21"/>
                <w:highlight w:val="none"/>
                <w:u w:val="none"/>
                <w:lang w:val="en-US" w:eastAsia="zh-CN" w:bidi="ar"/>
              </w:rPr>
              <w:t>＞10.0</w:t>
            </w:r>
          </w:p>
        </w:tc>
      </w:tr>
      <w:tr w14:paraId="6DBAAE2A">
        <w:tblPrEx>
          <w:tblCellMar>
            <w:top w:w="0" w:type="dxa"/>
            <w:left w:w="108" w:type="dxa"/>
            <w:bottom w:w="0" w:type="dxa"/>
            <w:right w:w="108" w:type="dxa"/>
          </w:tblCellMar>
        </w:tblPrEx>
        <w:trPr>
          <w:trHeight w:val="555" w:hRule="atLeast"/>
          <w:jc w:val="center"/>
        </w:trPr>
        <w:tc>
          <w:tcPr>
            <w:tcW w:w="1084" w:type="pct"/>
            <w:tcBorders>
              <w:top w:val="nil"/>
              <w:left w:val="single" w:color="auto" w:sz="4" w:space="0"/>
              <w:bottom w:val="single" w:color="auto" w:sz="4" w:space="0"/>
              <w:right w:val="single" w:color="auto" w:sz="4" w:space="0"/>
            </w:tcBorders>
            <w:shd w:val="clear" w:color="auto" w:fill="auto"/>
            <w:noWrap/>
            <w:vAlign w:val="center"/>
          </w:tcPr>
          <w:p w14:paraId="2357EA6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rPr>
            </w:pPr>
            <w:r>
              <w:rPr>
                <w:rFonts w:hint="default" w:ascii="Times New Roman" w:hAnsi="Times New Roman" w:cs="Times New Roman"/>
                <w:b w:val="0"/>
                <w:bCs w:val="0"/>
                <w:color w:val="000000"/>
                <w:kern w:val="0"/>
                <w:sz w:val="21"/>
                <w:szCs w:val="21"/>
                <w:highlight w:val="none"/>
                <w:lang w:val="en-US" w:eastAsia="zh-CN"/>
              </w:rPr>
              <w:t>排气筒数量（个）</w:t>
            </w:r>
          </w:p>
        </w:tc>
        <w:tc>
          <w:tcPr>
            <w:tcW w:w="859" w:type="dxa"/>
            <w:tcBorders>
              <w:top w:val="nil"/>
              <w:left w:val="nil"/>
              <w:bottom w:val="single" w:color="auto" w:sz="4" w:space="0"/>
              <w:right w:val="single" w:color="auto" w:sz="4" w:space="0"/>
            </w:tcBorders>
            <w:shd w:val="clear" w:color="auto" w:fill="auto"/>
            <w:noWrap/>
            <w:vAlign w:val="center"/>
          </w:tcPr>
          <w:p w14:paraId="14510B0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41</w:t>
            </w:r>
          </w:p>
        </w:tc>
        <w:tc>
          <w:tcPr>
            <w:tcW w:w="803" w:type="dxa"/>
            <w:tcBorders>
              <w:top w:val="nil"/>
              <w:left w:val="nil"/>
              <w:bottom w:val="single" w:color="auto" w:sz="4" w:space="0"/>
              <w:right w:val="single" w:color="auto" w:sz="4" w:space="0"/>
            </w:tcBorders>
            <w:shd w:val="clear" w:color="auto" w:fill="auto"/>
            <w:noWrap/>
            <w:vAlign w:val="center"/>
          </w:tcPr>
          <w:p w14:paraId="249D90A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59</w:t>
            </w:r>
          </w:p>
        </w:tc>
        <w:tc>
          <w:tcPr>
            <w:tcW w:w="877" w:type="dxa"/>
            <w:tcBorders>
              <w:top w:val="nil"/>
              <w:left w:val="nil"/>
              <w:bottom w:val="single" w:color="auto" w:sz="4" w:space="0"/>
              <w:right w:val="single" w:color="auto" w:sz="4" w:space="0"/>
            </w:tcBorders>
            <w:shd w:val="clear" w:color="auto" w:fill="auto"/>
            <w:noWrap/>
            <w:vAlign w:val="center"/>
          </w:tcPr>
          <w:p w14:paraId="09FF709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89</w:t>
            </w:r>
          </w:p>
        </w:tc>
        <w:tc>
          <w:tcPr>
            <w:tcW w:w="840" w:type="dxa"/>
            <w:tcBorders>
              <w:top w:val="nil"/>
              <w:left w:val="nil"/>
              <w:bottom w:val="single" w:color="auto" w:sz="4" w:space="0"/>
              <w:right w:val="single" w:color="auto" w:sz="4" w:space="0"/>
            </w:tcBorders>
            <w:shd w:val="clear" w:color="auto" w:fill="auto"/>
            <w:noWrap/>
            <w:vAlign w:val="center"/>
          </w:tcPr>
          <w:p w14:paraId="5BE3969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32</w:t>
            </w:r>
          </w:p>
        </w:tc>
        <w:tc>
          <w:tcPr>
            <w:tcW w:w="813" w:type="dxa"/>
            <w:tcBorders>
              <w:top w:val="nil"/>
              <w:left w:val="nil"/>
              <w:bottom w:val="single" w:color="auto" w:sz="4" w:space="0"/>
              <w:right w:val="single" w:color="auto" w:sz="4" w:space="0"/>
            </w:tcBorders>
            <w:shd w:val="clear" w:color="auto" w:fill="auto"/>
            <w:noWrap/>
            <w:vAlign w:val="center"/>
          </w:tcPr>
          <w:p w14:paraId="1DC2228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43</w:t>
            </w:r>
          </w:p>
        </w:tc>
        <w:tc>
          <w:tcPr>
            <w:tcW w:w="813" w:type="dxa"/>
            <w:tcBorders>
              <w:top w:val="nil"/>
              <w:left w:val="nil"/>
              <w:bottom w:val="single" w:color="auto" w:sz="4" w:space="0"/>
              <w:right w:val="single" w:color="auto" w:sz="4" w:space="0"/>
            </w:tcBorders>
            <w:shd w:val="clear" w:color="auto" w:fill="auto"/>
            <w:noWrap/>
            <w:vAlign w:val="center"/>
          </w:tcPr>
          <w:p w14:paraId="3670F43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15</w:t>
            </w:r>
          </w:p>
        </w:tc>
        <w:tc>
          <w:tcPr>
            <w:tcW w:w="912" w:type="dxa"/>
            <w:tcBorders>
              <w:top w:val="nil"/>
              <w:left w:val="nil"/>
              <w:bottom w:val="single" w:color="auto" w:sz="4" w:space="0"/>
              <w:right w:val="single" w:color="auto" w:sz="4" w:space="0"/>
            </w:tcBorders>
            <w:shd w:val="clear" w:color="auto" w:fill="auto"/>
            <w:noWrap/>
            <w:vAlign w:val="center"/>
          </w:tcPr>
          <w:p w14:paraId="195A259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1</w:t>
            </w:r>
          </w:p>
        </w:tc>
        <w:tc>
          <w:tcPr>
            <w:tcW w:w="762" w:type="dxa"/>
            <w:tcBorders>
              <w:top w:val="nil"/>
              <w:left w:val="nil"/>
              <w:bottom w:val="single" w:color="auto" w:sz="4" w:space="0"/>
              <w:right w:val="single" w:color="auto" w:sz="4" w:space="0"/>
            </w:tcBorders>
            <w:shd w:val="clear" w:color="auto" w:fill="auto"/>
            <w:noWrap/>
            <w:vAlign w:val="center"/>
          </w:tcPr>
          <w:p w14:paraId="77E33BD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2</w:t>
            </w:r>
          </w:p>
        </w:tc>
      </w:tr>
      <w:tr w14:paraId="101BFF21">
        <w:tblPrEx>
          <w:tblCellMar>
            <w:top w:w="0" w:type="dxa"/>
            <w:left w:w="108" w:type="dxa"/>
            <w:bottom w:w="0" w:type="dxa"/>
            <w:right w:w="108" w:type="dxa"/>
          </w:tblCellMar>
        </w:tblPrEx>
        <w:trPr>
          <w:trHeight w:val="555" w:hRule="atLeast"/>
          <w:jc w:val="center"/>
        </w:trPr>
        <w:tc>
          <w:tcPr>
            <w:tcW w:w="1084" w:type="pct"/>
            <w:tcBorders>
              <w:top w:val="nil"/>
              <w:left w:val="single" w:color="auto" w:sz="4" w:space="0"/>
              <w:bottom w:val="single" w:color="auto" w:sz="4" w:space="0"/>
              <w:right w:val="single" w:color="auto" w:sz="4" w:space="0"/>
            </w:tcBorders>
            <w:shd w:val="clear" w:color="auto" w:fill="auto"/>
            <w:noWrap/>
            <w:vAlign w:val="center"/>
          </w:tcPr>
          <w:p w14:paraId="4F6638E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rPr>
            </w:pPr>
            <w:r>
              <w:rPr>
                <w:rFonts w:hint="default" w:ascii="Times New Roman" w:hAnsi="Times New Roman" w:cs="Times New Roman"/>
                <w:b w:val="0"/>
                <w:bCs w:val="0"/>
                <w:color w:val="000000"/>
                <w:kern w:val="0"/>
                <w:sz w:val="21"/>
                <w:szCs w:val="21"/>
                <w:highlight w:val="none"/>
                <w:lang w:val="en-US" w:eastAsia="zh-CN"/>
              </w:rPr>
              <w:t>占比（%）</w:t>
            </w:r>
          </w:p>
        </w:tc>
        <w:tc>
          <w:tcPr>
            <w:tcW w:w="859" w:type="dxa"/>
            <w:tcBorders>
              <w:top w:val="nil"/>
              <w:left w:val="nil"/>
              <w:bottom w:val="single" w:color="auto" w:sz="4" w:space="0"/>
              <w:right w:val="single" w:color="auto" w:sz="4" w:space="0"/>
            </w:tcBorders>
            <w:shd w:val="clear" w:color="auto" w:fill="auto"/>
            <w:noWrap/>
            <w:vAlign w:val="center"/>
          </w:tcPr>
          <w:p w14:paraId="40DCCF7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14.5%</w:t>
            </w:r>
          </w:p>
        </w:tc>
        <w:tc>
          <w:tcPr>
            <w:tcW w:w="803" w:type="dxa"/>
            <w:tcBorders>
              <w:top w:val="nil"/>
              <w:left w:val="nil"/>
              <w:bottom w:val="single" w:color="auto" w:sz="4" w:space="0"/>
              <w:right w:val="single" w:color="auto" w:sz="4" w:space="0"/>
            </w:tcBorders>
            <w:shd w:val="clear" w:color="auto" w:fill="auto"/>
            <w:noWrap/>
            <w:vAlign w:val="center"/>
          </w:tcPr>
          <w:p w14:paraId="1B5B779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20.9%</w:t>
            </w:r>
          </w:p>
        </w:tc>
        <w:tc>
          <w:tcPr>
            <w:tcW w:w="877" w:type="dxa"/>
            <w:tcBorders>
              <w:top w:val="nil"/>
              <w:left w:val="nil"/>
              <w:bottom w:val="single" w:color="auto" w:sz="4" w:space="0"/>
              <w:right w:val="single" w:color="auto" w:sz="4" w:space="0"/>
            </w:tcBorders>
            <w:shd w:val="clear" w:color="auto" w:fill="auto"/>
            <w:noWrap/>
            <w:vAlign w:val="center"/>
          </w:tcPr>
          <w:p w14:paraId="4F11A5C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31.6%</w:t>
            </w:r>
          </w:p>
        </w:tc>
        <w:tc>
          <w:tcPr>
            <w:tcW w:w="840" w:type="dxa"/>
            <w:tcBorders>
              <w:top w:val="nil"/>
              <w:left w:val="nil"/>
              <w:bottom w:val="single" w:color="auto" w:sz="4" w:space="0"/>
              <w:right w:val="single" w:color="auto" w:sz="4" w:space="0"/>
            </w:tcBorders>
            <w:shd w:val="clear" w:color="auto" w:fill="auto"/>
            <w:noWrap/>
            <w:vAlign w:val="center"/>
          </w:tcPr>
          <w:p w14:paraId="2A4CBD4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11.3%</w:t>
            </w:r>
          </w:p>
        </w:tc>
        <w:tc>
          <w:tcPr>
            <w:tcW w:w="813" w:type="dxa"/>
            <w:tcBorders>
              <w:top w:val="nil"/>
              <w:left w:val="nil"/>
              <w:bottom w:val="single" w:color="auto" w:sz="4" w:space="0"/>
              <w:right w:val="single" w:color="auto" w:sz="4" w:space="0"/>
            </w:tcBorders>
            <w:shd w:val="clear" w:color="auto" w:fill="auto"/>
            <w:noWrap/>
            <w:vAlign w:val="center"/>
          </w:tcPr>
          <w:p w14:paraId="2D3DC8B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15.2%</w:t>
            </w:r>
          </w:p>
        </w:tc>
        <w:tc>
          <w:tcPr>
            <w:tcW w:w="813" w:type="dxa"/>
            <w:tcBorders>
              <w:top w:val="nil"/>
              <w:left w:val="nil"/>
              <w:bottom w:val="single" w:color="auto" w:sz="4" w:space="0"/>
              <w:right w:val="single" w:color="auto" w:sz="4" w:space="0"/>
            </w:tcBorders>
            <w:shd w:val="clear" w:color="auto" w:fill="auto"/>
            <w:noWrap/>
            <w:vAlign w:val="center"/>
          </w:tcPr>
          <w:p w14:paraId="30C8E10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5.3%</w:t>
            </w:r>
          </w:p>
        </w:tc>
        <w:tc>
          <w:tcPr>
            <w:tcW w:w="912" w:type="dxa"/>
            <w:tcBorders>
              <w:top w:val="nil"/>
              <w:left w:val="nil"/>
              <w:bottom w:val="single" w:color="auto" w:sz="4" w:space="0"/>
              <w:right w:val="single" w:color="auto" w:sz="4" w:space="0"/>
            </w:tcBorders>
            <w:shd w:val="clear" w:color="auto" w:fill="auto"/>
            <w:noWrap/>
            <w:vAlign w:val="center"/>
          </w:tcPr>
          <w:p w14:paraId="0CB3848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0.4%</w:t>
            </w:r>
          </w:p>
        </w:tc>
        <w:tc>
          <w:tcPr>
            <w:tcW w:w="762" w:type="dxa"/>
            <w:tcBorders>
              <w:top w:val="nil"/>
              <w:left w:val="nil"/>
              <w:bottom w:val="single" w:color="auto" w:sz="4" w:space="0"/>
              <w:right w:val="single" w:color="auto" w:sz="4" w:space="0"/>
            </w:tcBorders>
            <w:shd w:val="clear" w:color="auto" w:fill="auto"/>
            <w:noWrap/>
            <w:vAlign w:val="center"/>
          </w:tcPr>
          <w:p w14:paraId="27E1C5B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0.7%</w:t>
            </w:r>
          </w:p>
        </w:tc>
      </w:tr>
    </w:tbl>
    <w:p w14:paraId="3B0C7988">
      <w:pPr>
        <w:keepNext/>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highlight w:val="none"/>
          <w:lang w:eastAsia="zh-CN"/>
        </w:rPr>
      </w:pPr>
      <w:r>
        <w:rPr>
          <w:rFonts w:hint="default" w:ascii="Times New Roman" w:hAnsi="Times New Roman" w:eastAsia="宋体" w:cs="Times New Roman"/>
          <w:highlight w:val="none"/>
          <w:lang w:eastAsia="zh-CN"/>
        </w:rPr>
        <w:drawing>
          <wp:inline distT="0" distB="0" distL="114300" distR="114300">
            <wp:extent cx="5256530" cy="2489200"/>
            <wp:effectExtent l="0" t="0" r="1270" b="10160"/>
            <wp:docPr id="26" name="图表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0341E3FE">
      <w:pPr>
        <w:keepNext/>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kern w:val="0"/>
          <w:szCs w:val="21"/>
          <w:highlight w:val="none"/>
          <w:lang w:val="en-US" w:eastAsia="zh-CN"/>
        </w:rPr>
      </w:pPr>
      <w:r>
        <w:rPr>
          <w:rFonts w:hint="default" w:ascii="Times New Roman" w:hAnsi="Times New Roman" w:cs="Times New Roman"/>
          <w:kern w:val="0"/>
          <w:szCs w:val="21"/>
          <w:highlight w:val="none"/>
          <w:lang w:val="en-US" w:eastAsia="zh-CN"/>
        </w:rPr>
        <w:t>图</w:t>
      </w:r>
      <w:r>
        <w:rPr>
          <w:rFonts w:hint="eastAsia" w:cs="Times New Roman"/>
          <w:kern w:val="0"/>
          <w:szCs w:val="21"/>
          <w:highlight w:val="none"/>
          <w:lang w:val="en-US" w:eastAsia="zh-CN"/>
        </w:rPr>
        <w:t>7.5</w:t>
      </w:r>
      <w:r>
        <w:rPr>
          <w:rFonts w:hint="default" w:ascii="Times New Roman" w:hAnsi="Times New Roman" w:cs="Times New Roman"/>
          <w:kern w:val="0"/>
          <w:szCs w:val="21"/>
          <w:highlight w:val="none"/>
          <w:lang w:val="en-US" w:eastAsia="zh-CN"/>
        </w:rPr>
        <w:t>-</w:t>
      </w:r>
      <w:r>
        <w:rPr>
          <w:rFonts w:hint="eastAsia" w:cs="Times New Roman"/>
          <w:kern w:val="0"/>
          <w:szCs w:val="21"/>
          <w:highlight w:val="none"/>
          <w:lang w:val="en-US" w:eastAsia="zh-CN"/>
        </w:rPr>
        <w:t>5</w:t>
      </w:r>
      <w:r>
        <w:rPr>
          <w:rFonts w:hint="default" w:ascii="Times New Roman" w:hAnsi="Times New Roman" w:cs="Times New Roman"/>
          <w:kern w:val="0"/>
          <w:szCs w:val="21"/>
          <w:highlight w:val="none"/>
          <w:lang w:val="en-US" w:eastAsia="zh-CN"/>
        </w:rPr>
        <w:t xml:space="preserve"> 不同汽修等级</w:t>
      </w:r>
      <w:r>
        <w:rPr>
          <w:rFonts w:hint="eastAsia" w:ascii="Times New Roman" w:hAnsi="Times New Roman" w:cs="Times New Roman"/>
          <w:kern w:val="0"/>
          <w:szCs w:val="21"/>
          <w:highlight w:val="none"/>
          <w:lang w:val="en-US" w:eastAsia="zh-CN"/>
        </w:rPr>
        <w:t>苯系物</w:t>
      </w:r>
      <w:r>
        <w:rPr>
          <w:rFonts w:hint="default" w:ascii="Times New Roman" w:hAnsi="Times New Roman" w:cs="Times New Roman"/>
          <w:kern w:val="0"/>
          <w:szCs w:val="21"/>
          <w:highlight w:val="none"/>
          <w:lang w:val="en-US" w:eastAsia="zh-CN"/>
        </w:rPr>
        <w:t>浓度分布</w:t>
      </w:r>
    </w:p>
    <w:p w14:paraId="52AD16CD">
      <w:pPr>
        <w:keepNext/>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highlight w:val="none"/>
          <w:lang w:eastAsia="zh-CN"/>
        </w:rPr>
      </w:pPr>
      <w:r>
        <w:rPr>
          <w:rFonts w:hint="default" w:ascii="Times New Roman" w:hAnsi="Times New Roman" w:eastAsia="宋体" w:cs="Times New Roman"/>
          <w:highlight w:val="none"/>
          <w:lang w:eastAsia="zh-CN"/>
        </w:rPr>
        <w:drawing>
          <wp:inline distT="0" distB="0" distL="114300" distR="114300">
            <wp:extent cx="5256530" cy="2454910"/>
            <wp:effectExtent l="0" t="0" r="1270" b="13970"/>
            <wp:docPr id="27" name="图表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397DF0E3">
      <w:pPr>
        <w:keepNext/>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kern w:val="0"/>
          <w:szCs w:val="21"/>
          <w:highlight w:val="none"/>
          <w:lang w:val="en-US" w:eastAsia="zh-CN"/>
        </w:rPr>
      </w:pPr>
      <w:r>
        <w:rPr>
          <w:rFonts w:hint="default" w:ascii="Times New Roman" w:hAnsi="Times New Roman" w:cs="Times New Roman"/>
          <w:kern w:val="0"/>
          <w:szCs w:val="21"/>
          <w:highlight w:val="none"/>
          <w:lang w:val="en-US" w:eastAsia="zh-CN"/>
        </w:rPr>
        <w:t>图</w:t>
      </w:r>
      <w:r>
        <w:rPr>
          <w:rFonts w:hint="eastAsia" w:cs="Times New Roman"/>
          <w:kern w:val="0"/>
          <w:szCs w:val="21"/>
          <w:highlight w:val="none"/>
          <w:lang w:val="en-US" w:eastAsia="zh-CN"/>
        </w:rPr>
        <w:t>7.5</w:t>
      </w:r>
      <w:r>
        <w:rPr>
          <w:rFonts w:hint="default" w:ascii="Times New Roman" w:hAnsi="Times New Roman" w:cs="Times New Roman"/>
          <w:kern w:val="0"/>
          <w:szCs w:val="21"/>
          <w:highlight w:val="none"/>
          <w:lang w:val="en-US" w:eastAsia="zh-CN"/>
        </w:rPr>
        <w:t>-</w:t>
      </w:r>
      <w:r>
        <w:rPr>
          <w:rFonts w:hint="eastAsia" w:cs="Times New Roman"/>
          <w:kern w:val="0"/>
          <w:szCs w:val="21"/>
          <w:highlight w:val="none"/>
          <w:lang w:val="en-US" w:eastAsia="zh-CN"/>
        </w:rPr>
        <w:t>6</w:t>
      </w:r>
      <w:r>
        <w:rPr>
          <w:rFonts w:hint="default" w:ascii="Times New Roman" w:hAnsi="Times New Roman" w:cs="Times New Roman"/>
          <w:kern w:val="0"/>
          <w:szCs w:val="21"/>
          <w:highlight w:val="none"/>
          <w:lang w:val="en-US" w:eastAsia="zh-CN"/>
        </w:rPr>
        <w:t xml:space="preserve"> 不同治理设施类型</w:t>
      </w:r>
      <w:r>
        <w:rPr>
          <w:rFonts w:hint="eastAsia" w:ascii="Times New Roman" w:hAnsi="Times New Roman" w:cs="Times New Roman"/>
          <w:kern w:val="0"/>
          <w:szCs w:val="21"/>
          <w:highlight w:val="none"/>
          <w:lang w:val="en-US" w:eastAsia="zh-CN"/>
        </w:rPr>
        <w:t>苯系物</w:t>
      </w:r>
      <w:r>
        <w:rPr>
          <w:rFonts w:hint="default" w:ascii="Times New Roman" w:hAnsi="Times New Roman" w:cs="Times New Roman"/>
          <w:kern w:val="0"/>
          <w:szCs w:val="21"/>
          <w:highlight w:val="none"/>
          <w:lang w:val="en-US" w:eastAsia="zh-CN"/>
        </w:rPr>
        <w:t>浓度分布</w:t>
      </w:r>
    </w:p>
    <w:p w14:paraId="4918778A">
      <w:pPr>
        <w:pStyle w:val="5"/>
        <w:keepNext/>
        <w:keepLines w:val="0"/>
        <w:pageBreakBefore w:val="0"/>
        <w:widowControl w:val="0"/>
        <w:kinsoku/>
        <w:wordWrap/>
        <w:autoSpaceDE/>
        <w:autoSpaceDN/>
        <w:bidi w:val="0"/>
        <w:rPr>
          <w:rFonts w:hint="default"/>
          <w:highlight w:val="none"/>
        </w:rPr>
      </w:pPr>
      <w:bookmarkStart w:id="119" w:name="_Toc19529"/>
      <w:r>
        <w:rPr>
          <w:rFonts w:hint="default"/>
          <w:highlight w:val="none"/>
        </w:rPr>
        <w:t>非甲烷总烃</w:t>
      </w:r>
      <w:bookmarkEnd w:id="119"/>
    </w:p>
    <w:p w14:paraId="0916133F">
      <w:pPr>
        <w:keepNext/>
        <w:keepLines w:val="0"/>
        <w:pageBreakBefore w:val="0"/>
        <w:widowControl w:val="0"/>
        <w:kinsoku/>
        <w:wordWrap/>
        <w:autoSpaceDE/>
        <w:autoSpaceDN/>
        <w:bidi w:val="0"/>
        <w:spacing w:line="360" w:lineRule="auto"/>
        <w:ind w:firstLine="480" w:firstLineChars="200"/>
        <w:rPr>
          <w:rFonts w:hint="default" w:ascii="Times New Roman" w:hAnsi="Times New Roman" w:cs="Times New Roman"/>
          <w:kern w:val="0"/>
          <w:sz w:val="24"/>
          <w:highlight w:val="none"/>
        </w:rPr>
      </w:pPr>
      <w:r>
        <w:rPr>
          <w:rFonts w:hint="default" w:ascii="Times New Roman" w:hAnsi="Times New Roman" w:cs="Times New Roman"/>
          <w:kern w:val="0"/>
          <w:sz w:val="24"/>
          <w:highlight w:val="none"/>
        </w:rPr>
        <w:t>非甲烷总烃作为综合性指标，易监测，能反映</w:t>
      </w:r>
      <w:r>
        <w:rPr>
          <w:rFonts w:hint="default" w:ascii="Times New Roman" w:hAnsi="Times New Roman" w:cs="Times New Roman"/>
          <w:kern w:val="0"/>
          <w:sz w:val="24"/>
          <w:highlight w:val="none"/>
          <w:lang w:eastAsia="zh-CN"/>
        </w:rPr>
        <w:t>VOCs</w:t>
      </w:r>
      <w:r>
        <w:rPr>
          <w:rFonts w:hint="default" w:ascii="Times New Roman" w:hAnsi="Times New Roman" w:cs="Times New Roman"/>
          <w:kern w:val="0"/>
          <w:sz w:val="24"/>
          <w:highlight w:val="none"/>
        </w:rPr>
        <w:t>的排放水平，因此本研究拟定筛选对该指标进行管控。</w:t>
      </w:r>
    </w:p>
    <w:p w14:paraId="497F4B1A">
      <w:pPr>
        <w:keepNext/>
        <w:keepLines w:val="0"/>
        <w:pageBreakBefore w:val="0"/>
        <w:widowControl w:val="0"/>
        <w:kinsoku/>
        <w:wordWrap/>
        <w:autoSpaceDE/>
        <w:autoSpaceDN/>
        <w:bidi w:val="0"/>
        <w:spacing w:line="360" w:lineRule="auto"/>
        <w:ind w:firstLine="482" w:firstLineChars="200"/>
        <w:rPr>
          <w:rFonts w:hint="default" w:ascii="Times New Roman" w:hAnsi="Times New Roman" w:eastAsia="宋体" w:cs="Times New Roman"/>
          <w:b/>
          <w:bCs/>
          <w:kern w:val="0"/>
          <w:sz w:val="24"/>
          <w:highlight w:val="none"/>
          <w:lang w:val="en-US" w:eastAsia="zh-CN"/>
        </w:rPr>
      </w:pPr>
      <w:r>
        <w:rPr>
          <w:rFonts w:hint="default" w:ascii="Times New Roman" w:hAnsi="Times New Roman" w:cs="Times New Roman"/>
          <w:b/>
          <w:bCs/>
          <w:kern w:val="0"/>
          <w:sz w:val="24"/>
          <w:highlight w:val="none"/>
          <w:lang w:eastAsia="zh-CN"/>
        </w:rPr>
        <w:t>（</w:t>
      </w:r>
      <w:r>
        <w:rPr>
          <w:rFonts w:hint="default" w:ascii="Times New Roman" w:hAnsi="Times New Roman" w:cs="Times New Roman"/>
          <w:b/>
          <w:bCs/>
          <w:kern w:val="0"/>
          <w:sz w:val="24"/>
          <w:highlight w:val="none"/>
          <w:lang w:val="en-US" w:eastAsia="zh-CN"/>
        </w:rPr>
        <w:t>1</w:t>
      </w:r>
      <w:r>
        <w:rPr>
          <w:rFonts w:hint="default" w:ascii="Times New Roman" w:hAnsi="Times New Roman" w:cs="Times New Roman"/>
          <w:b/>
          <w:bCs/>
          <w:kern w:val="0"/>
          <w:sz w:val="24"/>
          <w:highlight w:val="none"/>
          <w:lang w:eastAsia="zh-CN"/>
        </w:rPr>
        <w:t>）</w:t>
      </w:r>
      <w:r>
        <w:rPr>
          <w:rFonts w:hint="default" w:ascii="Times New Roman" w:hAnsi="Times New Roman" w:cs="Times New Roman"/>
          <w:b/>
          <w:bCs/>
          <w:kern w:val="0"/>
          <w:sz w:val="24"/>
          <w:highlight w:val="none"/>
          <w:lang w:val="en-US" w:eastAsia="zh-CN"/>
        </w:rPr>
        <w:t>调研实测</w:t>
      </w:r>
    </w:p>
    <w:p w14:paraId="189465D6">
      <w:pPr>
        <w:keepNext/>
        <w:keepLines w:val="0"/>
        <w:pageBreakBefore w:val="0"/>
        <w:widowControl w:val="0"/>
        <w:kinsoku/>
        <w:wordWrap/>
        <w:autoSpaceDE/>
        <w:autoSpaceDN/>
        <w:bidi w:val="0"/>
        <w:spacing w:line="360" w:lineRule="auto"/>
        <w:ind w:firstLine="480" w:firstLineChars="200"/>
        <w:rPr>
          <w:rFonts w:hint="default" w:ascii="Times New Roman" w:hAnsi="Times New Roman" w:cs="Times New Roman"/>
          <w:kern w:val="0"/>
          <w:sz w:val="24"/>
          <w:highlight w:val="none"/>
        </w:rPr>
      </w:pPr>
      <w:r>
        <w:rPr>
          <w:rFonts w:hint="default" w:ascii="Times New Roman" w:hAnsi="Times New Roman" w:cs="Times New Roman"/>
          <w:kern w:val="0"/>
          <w:sz w:val="24"/>
          <w:highlight w:val="none"/>
          <w:lang w:val="en-US" w:eastAsia="zh-CN"/>
        </w:rPr>
        <w:t>下表</w:t>
      </w:r>
      <w:r>
        <w:rPr>
          <w:rFonts w:hint="default" w:ascii="Times New Roman" w:hAnsi="Times New Roman" w:cs="Times New Roman"/>
          <w:kern w:val="0"/>
          <w:sz w:val="24"/>
          <w:highlight w:val="none"/>
        </w:rPr>
        <w:t>为喷烤漆房有组织废气中</w:t>
      </w:r>
      <w:r>
        <w:rPr>
          <w:rFonts w:hint="default" w:ascii="Times New Roman" w:hAnsi="Times New Roman" w:cs="Times New Roman"/>
          <w:kern w:val="0"/>
          <w:sz w:val="24"/>
          <w:highlight w:val="none"/>
          <w:lang w:val="en-US" w:eastAsia="zh-CN"/>
        </w:rPr>
        <w:t>非甲烷总烃</w:t>
      </w:r>
      <w:r>
        <w:rPr>
          <w:rFonts w:hint="default" w:ascii="Times New Roman" w:hAnsi="Times New Roman" w:cs="Times New Roman"/>
          <w:kern w:val="0"/>
          <w:sz w:val="24"/>
          <w:highlight w:val="none"/>
        </w:rPr>
        <w:t>的排放浓度情况，</w:t>
      </w:r>
      <w:r>
        <w:rPr>
          <w:rFonts w:hint="default" w:ascii="Times New Roman" w:hAnsi="Times New Roman" w:cs="Times New Roman"/>
          <w:kern w:val="0"/>
          <w:sz w:val="24"/>
          <w:highlight w:val="none"/>
          <w:lang w:val="en-US" w:eastAsia="zh-CN"/>
        </w:rPr>
        <w:t>73个排气筒</w:t>
      </w:r>
      <w:r>
        <w:rPr>
          <w:rFonts w:hint="default" w:ascii="Times New Roman" w:hAnsi="Times New Roman" w:cs="Times New Roman"/>
          <w:kern w:val="0"/>
          <w:sz w:val="24"/>
          <w:highlight w:val="none"/>
        </w:rPr>
        <w:t>数据均来自于</w:t>
      </w:r>
      <w:r>
        <w:rPr>
          <w:rFonts w:hint="default" w:ascii="Times New Roman" w:hAnsi="Times New Roman" w:cs="Times New Roman"/>
          <w:highlight w:val="none"/>
          <w:lang w:val="en-US" w:eastAsia="zh-CN"/>
        </w:rPr>
        <w:t>编制组</w:t>
      </w:r>
      <w:r>
        <w:rPr>
          <w:rFonts w:hint="default" w:ascii="Times New Roman" w:hAnsi="Times New Roman" w:cs="Times New Roman"/>
          <w:kern w:val="0"/>
          <w:sz w:val="24"/>
          <w:highlight w:val="none"/>
        </w:rPr>
        <w:t>实测数据</w:t>
      </w:r>
      <w:r>
        <w:rPr>
          <w:rFonts w:hint="default" w:ascii="Times New Roman" w:hAnsi="Times New Roman" w:cs="Times New Roman"/>
          <w:sz w:val="24"/>
          <w:highlight w:val="none"/>
        </w:rPr>
        <w:t>。可以看出，浓度范围在</w:t>
      </w:r>
      <w:r>
        <w:rPr>
          <w:rFonts w:hint="default" w:ascii="Times New Roman" w:hAnsi="Times New Roman" w:cs="Times New Roman"/>
          <w:sz w:val="24"/>
          <w:highlight w:val="none"/>
          <w:lang w:val="en-US" w:eastAsia="zh-CN"/>
        </w:rPr>
        <w:t>1.1</w:t>
      </w:r>
      <w:r>
        <w:rPr>
          <w:rFonts w:hint="default" w:ascii="Times New Roman" w:hAnsi="Times New Roman" w:cs="Times New Roman"/>
          <w:sz w:val="24"/>
          <w:highlight w:val="none"/>
        </w:rPr>
        <w:t>~</w:t>
      </w:r>
      <w:r>
        <w:rPr>
          <w:rFonts w:hint="default" w:ascii="Times New Roman" w:hAnsi="Times New Roman" w:cs="Times New Roman"/>
          <w:sz w:val="24"/>
          <w:highlight w:val="none"/>
          <w:lang w:val="en-US" w:eastAsia="zh-CN"/>
        </w:rPr>
        <w:t>191.1</w:t>
      </w:r>
      <w:r>
        <w:rPr>
          <w:rFonts w:hint="eastAsia" w:cs="Times New Roman"/>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color w:val="000000"/>
          <w:kern w:val="0"/>
          <w:sz w:val="24"/>
          <w:highlight w:val="none"/>
          <w:lang w:val="en-US" w:eastAsia="zh-CN"/>
        </w:rPr>
        <w:t>平均浓度为25.4±35.9</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vertAlign w:val="baseline"/>
          <w:lang w:eastAsia="zh-CN"/>
        </w:rPr>
        <w:t>，</w:t>
      </w:r>
      <w:r>
        <w:rPr>
          <w:rFonts w:hint="default" w:ascii="Times New Roman" w:hAnsi="Times New Roman" w:cs="Times New Roman"/>
          <w:sz w:val="24"/>
          <w:highlight w:val="none"/>
          <w:lang w:val="en-US" w:eastAsia="zh-CN"/>
        </w:rPr>
        <w:t>64个排气筒</w:t>
      </w:r>
      <w:r>
        <w:rPr>
          <w:rFonts w:hint="default" w:ascii="Times New Roman" w:hAnsi="Times New Roman" w:cs="Times New Roman"/>
          <w:sz w:val="24"/>
          <w:highlight w:val="none"/>
        </w:rPr>
        <w:t>有组织废气</w:t>
      </w:r>
      <w:r>
        <w:rPr>
          <w:rFonts w:hint="default" w:ascii="Times New Roman" w:hAnsi="Times New Roman" w:cs="Times New Roman"/>
          <w:sz w:val="24"/>
          <w:highlight w:val="none"/>
          <w:lang w:val="en-US" w:eastAsia="zh-CN"/>
        </w:rPr>
        <w:t>非甲烷总烃</w:t>
      </w:r>
      <w:r>
        <w:rPr>
          <w:rFonts w:hint="default" w:ascii="Times New Roman" w:hAnsi="Times New Roman" w:cs="Times New Roman"/>
          <w:sz w:val="24"/>
          <w:highlight w:val="none"/>
        </w:rPr>
        <w:t>的排放浓度小于</w:t>
      </w:r>
      <w:r>
        <w:rPr>
          <w:rFonts w:hint="default" w:ascii="Times New Roman" w:hAnsi="Times New Roman" w:cs="Times New Roman"/>
          <w:sz w:val="24"/>
          <w:highlight w:val="none"/>
          <w:lang w:val="en-US" w:eastAsia="zh-CN"/>
        </w:rPr>
        <w:t>四川省现执行的</w:t>
      </w:r>
      <w:r>
        <w:rPr>
          <w:rFonts w:hint="default" w:ascii="Times New Roman" w:hAnsi="Times New Roman" w:cs="Times New Roman"/>
          <w:sz w:val="24"/>
          <w:highlight w:val="none"/>
        </w:rPr>
        <w:t>《四川省固定源大气挥发性有机物排放标准》（DB51/2377</w:t>
      </w:r>
      <w:r>
        <w:rPr>
          <w:rFonts w:hint="eastAsia" w:ascii="Times New Roman" w:hAnsi="Times New Roman" w:cs="Times New Roman"/>
          <w:sz w:val="24"/>
          <w:highlight w:val="none"/>
          <w:lang w:eastAsia="zh-CN"/>
        </w:rPr>
        <w:t>—</w:t>
      </w:r>
      <w:r>
        <w:rPr>
          <w:rFonts w:hint="default" w:ascii="Times New Roman" w:hAnsi="Times New Roman" w:cs="Times New Roman"/>
          <w:sz w:val="24"/>
          <w:highlight w:val="none"/>
        </w:rPr>
        <w:t>20</w:t>
      </w:r>
      <w:r>
        <w:rPr>
          <w:rFonts w:hint="default" w:ascii="Times New Roman" w:hAnsi="Times New Roman" w:cs="Times New Roman"/>
          <w:sz w:val="24"/>
          <w:highlight w:val="none"/>
          <w:lang w:val="en-US" w:eastAsia="zh-CN"/>
        </w:rPr>
        <w:t>17</w:t>
      </w:r>
      <w:r>
        <w:rPr>
          <w:rFonts w:hint="default" w:ascii="Times New Roman" w:hAnsi="Times New Roman" w:cs="Times New Roman"/>
          <w:sz w:val="24"/>
          <w:highlight w:val="none"/>
        </w:rPr>
        <w:t>）表</w:t>
      </w:r>
      <w:r>
        <w:rPr>
          <w:rFonts w:hint="default" w:ascii="Times New Roman" w:hAnsi="Times New Roman" w:cs="Times New Roman"/>
          <w:sz w:val="24"/>
          <w:highlight w:val="none"/>
          <w:lang w:val="en-US" w:eastAsia="zh-CN"/>
        </w:rPr>
        <w:t>3</w:t>
      </w:r>
      <w:r>
        <w:rPr>
          <w:rFonts w:hint="default" w:ascii="Times New Roman" w:hAnsi="Times New Roman" w:cs="Times New Roman"/>
          <w:sz w:val="24"/>
          <w:highlight w:val="none"/>
        </w:rPr>
        <w:t>中表面涂装排放标准要求</w:t>
      </w:r>
      <w:r>
        <w:rPr>
          <w:rFonts w:hint="default" w:ascii="Times New Roman" w:hAnsi="Times New Roman" w:cs="Times New Roman"/>
          <w:sz w:val="24"/>
          <w:highlight w:val="none"/>
          <w:lang w:val="en-US" w:eastAsia="zh-CN"/>
        </w:rPr>
        <w:t>60</w:t>
      </w:r>
      <w:r>
        <w:rPr>
          <w:rFonts w:hint="eastAsia" w:cs="Times New Roman"/>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vertAlign w:val="baseline"/>
          <w:lang w:eastAsia="zh-CN"/>
        </w:rPr>
        <w:t>，</w:t>
      </w:r>
      <w:r>
        <w:rPr>
          <w:rFonts w:hint="default" w:ascii="Times New Roman" w:hAnsi="Times New Roman" w:cs="Times New Roman"/>
          <w:color w:val="000000"/>
          <w:kern w:val="0"/>
          <w:sz w:val="24"/>
          <w:highlight w:val="none"/>
          <w:vertAlign w:val="baseline"/>
          <w:lang w:val="en-US" w:eastAsia="zh-CN"/>
        </w:rPr>
        <w:t>达标率88%</w:t>
      </w:r>
      <w:r>
        <w:rPr>
          <w:rFonts w:hint="default" w:ascii="Times New Roman" w:hAnsi="Times New Roman" w:cs="Times New Roman"/>
          <w:sz w:val="24"/>
          <w:highlight w:val="none"/>
        </w:rPr>
        <w:t>。</w:t>
      </w:r>
      <w:r>
        <w:rPr>
          <w:rFonts w:hint="default" w:ascii="Times New Roman" w:hAnsi="Times New Roman" w:cs="Times New Roman"/>
          <w:sz w:val="24"/>
          <w:highlight w:val="none"/>
          <w:lang w:val="en-US" w:eastAsia="zh-CN"/>
        </w:rPr>
        <w:t>9个排气筒浓度超过60</w:t>
      </w:r>
      <w:r>
        <w:rPr>
          <w:rFonts w:hint="eastAsia" w:cs="Times New Roman"/>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vertAlign w:val="baseline"/>
          <w:lang w:eastAsia="zh-CN"/>
        </w:rPr>
        <w:t>，</w:t>
      </w:r>
      <w:r>
        <w:rPr>
          <w:rFonts w:hint="default" w:ascii="Times New Roman" w:hAnsi="Times New Roman" w:cs="Times New Roman"/>
          <w:color w:val="000000"/>
          <w:kern w:val="0"/>
          <w:sz w:val="24"/>
          <w:highlight w:val="none"/>
          <w:vertAlign w:val="baseline"/>
          <w:lang w:val="en-US" w:eastAsia="zh-CN"/>
        </w:rPr>
        <w:t>实测浓度为67.0~</w:t>
      </w:r>
      <w:r>
        <w:rPr>
          <w:rFonts w:hint="default" w:ascii="Times New Roman" w:hAnsi="Times New Roman" w:cs="Times New Roman"/>
          <w:sz w:val="24"/>
          <w:highlight w:val="none"/>
          <w:lang w:val="en-US" w:eastAsia="zh-CN"/>
        </w:rPr>
        <w:t>191.1</w:t>
      </w:r>
      <w:r>
        <w:rPr>
          <w:rFonts w:hint="eastAsia" w:cs="Times New Roman"/>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vertAlign w:val="baseline"/>
          <w:lang w:eastAsia="zh-CN"/>
        </w:rPr>
        <w:t>，</w:t>
      </w:r>
      <w:r>
        <w:rPr>
          <w:rFonts w:hint="default" w:ascii="Times New Roman" w:hAnsi="Times New Roman" w:cs="Times New Roman"/>
          <w:color w:val="000000"/>
          <w:kern w:val="0"/>
          <w:sz w:val="24"/>
          <w:highlight w:val="none"/>
          <w:vertAlign w:val="baseline"/>
          <w:lang w:val="en-US" w:eastAsia="zh-CN"/>
        </w:rPr>
        <w:t>56%为二类汽车维修，33%为一类，11%为三类；78%企业治理设施采用UV光氧+活性炭/二级活性炭</w:t>
      </w:r>
      <w:r>
        <w:rPr>
          <w:rFonts w:hint="default" w:ascii="Times New Roman" w:hAnsi="Times New Roman" w:cs="Times New Roman"/>
          <w:color w:val="000000"/>
          <w:kern w:val="0"/>
          <w:sz w:val="24"/>
          <w:highlight w:val="none"/>
          <w:vertAlign w:val="baseline"/>
          <w:lang w:eastAsia="zh-CN"/>
        </w:rPr>
        <w:t>。</w:t>
      </w:r>
    </w:p>
    <w:p w14:paraId="1136237E">
      <w:pPr>
        <w:keepNext/>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kern w:val="0"/>
          <w:szCs w:val="21"/>
          <w:highlight w:val="none"/>
        </w:rPr>
      </w:pPr>
      <w:r>
        <w:rPr>
          <w:rFonts w:hint="eastAsia" w:cs="Times New Roman"/>
          <w:kern w:val="0"/>
          <w:szCs w:val="21"/>
          <w:highlight w:val="none"/>
          <w:lang w:val="en-US" w:eastAsia="zh-CN"/>
        </w:rPr>
        <w:t>表7.5</w:t>
      </w:r>
      <w:r>
        <w:rPr>
          <w:rFonts w:hint="default" w:ascii="Times New Roman" w:hAnsi="Times New Roman" w:cs="Times New Roman"/>
          <w:kern w:val="0"/>
          <w:szCs w:val="21"/>
          <w:highlight w:val="none"/>
        </w:rPr>
        <w:t>-</w:t>
      </w:r>
      <w:r>
        <w:rPr>
          <w:rFonts w:hint="eastAsia" w:cs="Times New Roman"/>
          <w:kern w:val="0"/>
          <w:szCs w:val="21"/>
          <w:highlight w:val="none"/>
          <w:lang w:val="en-US" w:eastAsia="zh-CN"/>
        </w:rPr>
        <w:t>8</w:t>
      </w:r>
      <w:r>
        <w:rPr>
          <w:rFonts w:hint="default" w:ascii="Times New Roman" w:hAnsi="Times New Roman" w:cs="Times New Roman"/>
          <w:kern w:val="0"/>
          <w:szCs w:val="21"/>
          <w:highlight w:val="none"/>
        </w:rPr>
        <w:t xml:space="preserve"> </w:t>
      </w:r>
      <w:r>
        <w:rPr>
          <w:rFonts w:hint="default" w:ascii="Times New Roman" w:hAnsi="Times New Roman" w:cs="Times New Roman"/>
          <w:kern w:val="0"/>
          <w:szCs w:val="21"/>
          <w:highlight w:val="none"/>
          <w:lang w:val="en-US" w:eastAsia="zh-CN"/>
        </w:rPr>
        <w:t>调研实测</w:t>
      </w:r>
      <w:r>
        <w:rPr>
          <w:rFonts w:hint="default" w:ascii="Times New Roman" w:hAnsi="Times New Roman" w:cs="Times New Roman"/>
          <w:kern w:val="0"/>
          <w:szCs w:val="21"/>
          <w:highlight w:val="none"/>
        </w:rPr>
        <w:t>有组织废气非甲烷总烃的排放浓度测试结果</w:t>
      </w:r>
    </w:p>
    <w:tbl>
      <w:tblPr>
        <w:tblStyle w:val="21"/>
        <w:tblW w:w="4998"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345"/>
        <w:gridCol w:w="1496"/>
        <w:gridCol w:w="1346"/>
        <w:gridCol w:w="1496"/>
        <w:gridCol w:w="1346"/>
        <w:gridCol w:w="1496"/>
      </w:tblGrid>
      <w:tr w14:paraId="409FCBB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6" w:hRule="atLeast"/>
          <w:tblHeader/>
        </w:trPr>
        <w:tc>
          <w:tcPr>
            <w:tcW w:w="78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F3D4E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lang w:val="en-US" w:eastAsia="zh-CN"/>
              </w:rPr>
            </w:pPr>
            <w:r>
              <w:rPr>
                <w:rFonts w:hint="default" w:ascii="Times New Roman" w:hAnsi="Times New Roman" w:cs="Times New Roman"/>
                <w:b/>
                <w:bCs/>
                <w:color w:val="000000"/>
                <w:kern w:val="0"/>
                <w:sz w:val="21"/>
                <w:szCs w:val="21"/>
                <w:highlight w:val="none"/>
                <w:lang w:val="en-US" w:eastAsia="zh-CN"/>
              </w:rPr>
              <w:t>序号</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AB7B0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lang w:val="en-US" w:eastAsia="zh-CN"/>
              </w:rPr>
            </w:pPr>
            <w:r>
              <w:rPr>
                <w:rFonts w:hint="default" w:ascii="Times New Roman" w:hAnsi="Times New Roman" w:cs="Times New Roman"/>
                <w:b/>
                <w:bCs/>
                <w:color w:val="000000"/>
                <w:kern w:val="0"/>
                <w:sz w:val="21"/>
                <w:szCs w:val="21"/>
                <w:highlight w:val="none"/>
                <w:lang w:val="en-US" w:eastAsia="zh-CN"/>
              </w:rPr>
              <w:t>非甲烷总烃浓度（mg/m</w:t>
            </w:r>
            <w:r>
              <w:rPr>
                <w:rFonts w:hint="default" w:ascii="Times New Roman" w:hAnsi="Times New Roman" w:cs="Times New Roman"/>
                <w:b/>
                <w:bCs/>
                <w:color w:val="000000"/>
                <w:kern w:val="0"/>
                <w:sz w:val="21"/>
                <w:szCs w:val="21"/>
                <w:highlight w:val="none"/>
                <w:vertAlign w:val="superscript"/>
                <w:lang w:val="en-US" w:eastAsia="zh-CN"/>
              </w:rPr>
              <w:t>3</w:t>
            </w:r>
            <w:r>
              <w:rPr>
                <w:rFonts w:hint="default" w:ascii="Times New Roman" w:hAnsi="Times New Roman" w:cs="Times New Roman"/>
                <w:b/>
                <w:bCs/>
                <w:color w:val="000000"/>
                <w:kern w:val="0"/>
                <w:sz w:val="21"/>
                <w:szCs w:val="21"/>
                <w:highlight w:val="none"/>
                <w:lang w:val="en-US" w:eastAsia="zh-CN"/>
              </w:rPr>
              <w:t>）</w:t>
            </w:r>
          </w:p>
        </w:tc>
        <w:tc>
          <w:tcPr>
            <w:tcW w:w="78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5085E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lang w:val="en-US" w:eastAsia="zh-CN"/>
              </w:rPr>
            </w:pPr>
            <w:r>
              <w:rPr>
                <w:rFonts w:hint="default" w:ascii="Times New Roman" w:hAnsi="Times New Roman" w:cs="Times New Roman"/>
                <w:b/>
                <w:bCs/>
                <w:color w:val="000000"/>
                <w:kern w:val="0"/>
                <w:sz w:val="21"/>
                <w:szCs w:val="21"/>
                <w:highlight w:val="none"/>
                <w:lang w:val="en-US" w:eastAsia="zh-CN"/>
              </w:rPr>
              <w:t>序号</w:t>
            </w:r>
          </w:p>
        </w:tc>
        <w:tc>
          <w:tcPr>
            <w:tcW w:w="14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5FF05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lang w:val="en-US" w:eastAsia="zh-CN"/>
              </w:rPr>
            </w:pPr>
            <w:r>
              <w:rPr>
                <w:rFonts w:hint="default" w:ascii="Times New Roman" w:hAnsi="Times New Roman" w:cs="Times New Roman"/>
                <w:b/>
                <w:bCs/>
                <w:color w:val="000000"/>
                <w:kern w:val="0"/>
                <w:sz w:val="21"/>
                <w:szCs w:val="21"/>
                <w:highlight w:val="none"/>
                <w:lang w:val="en-US" w:eastAsia="zh-CN"/>
              </w:rPr>
              <w:t>非甲烷总烃浓度（mg/m</w:t>
            </w:r>
            <w:r>
              <w:rPr>
                <w:rFonts w:hint="default" w:ascii="Times New Roman" w:hAnsi="Times New Roman" w:cs="Times New Roman"/>
                <w:b/>
                <w:bCs/>
                <w:color w:val="000000"/>
                <w:kern w:val="0"/>
                <w:sz w:val="21"/>
                <w:szCs w:val="21"/>
                <w:highlight w:val="none"/>
                <w:vertAlign w:val="superscript"/>
                <w:lang w:val="en-US" w:eastAsia="zh-CN"/>
              </w:rPr>
              <w:t>3</w:t>
            </w:r>
            <w:r>
              <w:rPr>
                <w:rFonts w:hint="default" w:ascii="Times New Roman" w:hAnsi="Times New Roman" w:cs="Times New Roman"/>
                <w:b/>
                <w:bCs/>
                <w:color w:val="000000"/>
                <w:kern w:val="0"/>
                <w:sz w:val="21"/>
                <w:szCs w:val="21"/>
                <w:highlight w:val="none"/>
                <w:lang w:val="en-US" w:eastAsia="zh-CN"/>
              </w:rPr>
              <w:t>）</w:t>
            </w:r>
          </w:p>
        </w:tc>
        <w:tc>
          <w:tcPr>
            <w:tcW w:w="78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A693B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lang w:val="en-US" w:eastAsia="zh-CN"/>
              </w:rPr>
            </w:pPr>
            <w:r>
              <w:rPr>
                <w:rFonts w:hint="default" w:ascii="Times New Roman" w:hAnsi="Times New Roman" w:cs="Times New Roman"/>
                <w:b/>
                <w:bCs/>
                <w:color w:val="000000"/>
                <w:kern w:val="0"/>
                <w:sz w:val="21"/>
                <w:szCs w:val="21"/>
                <w:highlight w:val="none"/>
                <w:lang w:val="en-US" w:eastAsia="zh-CN"/>
              </w:rPr>
              <w:t>序号</w:t>
            </w:r>
          </w:p>
        </w:tc>
        <w:tc>
          <w:tcPr>
            <w:tcW w:w="14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7F8F6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lang w:val="en-US" w:eastAsia="zh-CN"/>
              </w:rPr>
            </w:pPr>
            <w:r>
              <w:rPr>
                <w:rFonts w:hint="default" w:ascii="Times New Roman" w:hAnsi="Times New Roman" w:cs="Times New Roman"/>
                <w:b/>
                <w:bCs/>
                <w:color w:val="000000"/>
                <w:kern w:val="0"/>
                <w:sz w:val="21"/>
                <w:szCs w:val="21"/>
                <w:highlight w:val="none"/>
                <w:lang w:val="en-US" w:eastAsia="zh-CN"/>
              </w:rPr>
              <w:t>非甲烷总烃浓度（mg/m</w:t>
            </w:r>
            <w:r>
              <w:rPr>
                <w:rFonts w:hint="default" w:ascii="Times New Roman" w:hAnsi="Times New Roman" w:cs="Times New Roman"/>
                <w:b/>
                <w:bCs/>
                <w:color w:val="000000"/>
                <w:kern w:val="0"/>
                <w:sz w:val="21"/>
                <w:szCs w:val="21"/>
                <w:highlight w:val="none"/>
                <w:vertAlign w:val="superscript"/>
                <w:lang w:val="en-US" w:eastAsia="zh-CN"/>
              </w:rPr>
              <w:t>3</w:t>
            </w:r>
            <w:r>
              <w:rPr>
                <w:rFonts w:hint="default" w:ascii="Times New Roman" w:hAnsi="Times New Roman" w:cs="Times New Roman"/>
                <w:b/>
                <w:bCs/>
                <w:color w:val="000000"/>
                <w:kern w:val="0"/>
                <w:sz w:val="21"/>
                <w:szCs w:val="21"/>
                <w:highlight w:val="none"/>
                <w:lang w:val="en-US" w:eastAsia="zh-CN"/>
              </w:rPr>
              <w:t>）</w:t>
            </w:r>
          </w:p>
        </w:tc>
      </w:tr>
      <w:tr w14:paraId="177F28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038EA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排气筒1</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CE903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2.0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9C106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排气筒26</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3E9E6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2.5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A89FB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排气筒51</w:t>
            </w:r>
          </w:p>
        </w:tc>
        <w:tc>
          <w:tcPr>
            <w:tcW w:w="14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F04D9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80.3 </w:t>
            </w:r>
          </w:p>
        </w:tc>
      </w:tr>
      <w:tr w14:paraId="781C59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475BD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排气筒2</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9EB7D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84.2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A24CB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排气筒27</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EC475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2.2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B5A2E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排气筒52</w:t>
            </w:r>
          </w:p>
        </w:tc>
        <w:tc>
          <w:tcPr>
            <w:tcW w:w="14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6BB49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22.7 </w:t>
            </w:r>
          </w:p>
        </w:tc>
      </w:tr>
      <w:tr w14:paraId="4480050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9D636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排气筒3</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7A31C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35.3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178A9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排气筒28</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83711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2.3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15F55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排气筒53</w:t>
            </w:r>
          </w:p>
        </w:tc>
        <w:tc>
          <w:tcPr>
            <w:tcW w:w="14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B984C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27.5 </w:t>
            </w:r>
          </w:p>
        </w:tc>
      </w:tr>
      <w:tr w14:paraId="5C81B6E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83C17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排气筒4</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55727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9.3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8FC79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排气筒29</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BA263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2.3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895D9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排气筒54</w:t>
            </w:r>
          </w:p>
        </w:tc>
        <w:tc>
          <w:tcPr>
            <w:tcW w:w="14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FDBCA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43.1 </w:t>
            </w:r>
          </w:p>
        </w:tc>
      </w:tr>
      <w:tr w14:paraId="5570C43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6136F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排气筒5</w:t>
            </w:r>
          </w:p>
        </w:tc>
        <w:tc>
          <w:tcPr>
            <w:tcW w:w="8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F1E84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2.1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5FDE9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排气筒30</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7C96C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2.4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0DD0B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排气筒55</w:t>
            </w:r>
          </w:p>
        </w:tc>
        <w:tc>
          <w:tcPr>
            <w:tcW w:w="14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98377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49.6 </w:t>
            </w:r>
          </w:p>
        </w:tc>
      </w:tr>
      <w:tr w14:paraId="50B9C9A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1AE12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排气筒6</w:t>
            </w:r>
          </w:p>
        </w:tc>
        <w:tc>
          <w:tcPr>
            <w:tcW w:w="8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2199E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12.0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0FB7B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排气筒31</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2D072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1.1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99314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排气筒56</w:t>
            </w:r>
          </w:p>
        </w:tc>
        <w:tc>
          <w:tcPr>
            <w:tcW w:w="14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98009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17.8 </w:t>
            </w:r>
          </w:p>
        </w:tc>
      </w:tr>
      <w:tr w14:paraId="509E617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8DADC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排气筒7</w:t>
            </w:r>
          </w:p>
        </w:tc>
        <w:tc>
          <w:tcPr>
            <w:tcW w:w="8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C2FCE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2.7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7AD3A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排气筒32</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7CFAF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4.2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58E60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排气筒57</w:t>
            </w:r>
          </w:p>
        </w:tc>
        <w:tc>
          <w:tcPr>
            <w:tcW w:w="14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B8CBD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12.9 </w:t>
            </w:r>
          </w:p>
        </w:tc>
      </w:tr>
      <w:tr w14:paraId="7F113C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88169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排气筒8</w:t>
            </w:r>
          </w:p>
        </w:tc>
        <w:tc>
          <w:tcPr>
            <w:tcW w:w="8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0E5DA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3.8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88C71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排气筒33</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8CD0C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2.2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A8974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排气筒58</w:t>
            </w:r>
          </w:p>
        </w:tc>
        <w:tc>
          <w:tcPr>
            <w:tcW w:w="14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D7C02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77.0 </w:t>
            </w:r>
          </w:p>
        </w:tc>
      </w:tr>
      <w:tr w14:paraId="6447D94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60FB2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排气筒9</w:t>
            </w:r>
          </w:p>
        </w:tc>
        <w:tc>
          <w:tcPr>
            <w:tcW w:w="8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CCE61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2.6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CA51F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排气筒34</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DB704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2.1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89D6C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排气筒59</w:t>
            </w:r>
          </w:p>
        </w:tc>
        <w:tc>
          <w:tcPr>
            <w:tcW w:w="14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95C27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10.6 </w:t>
            </w:r>
          </w:p>
        </w:tc>
      </w:tr>
      <w:tr w14:paraId="3E22FCB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2B7AC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排气筒10</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35923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14.4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D8283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排气筒35</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9E489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2.6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50DAF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排气筒60</w:t>
            </w:r>
          </w:p>
        </w:tc>
        <w:tc>
          <w:tcPr>
            <w:tcW w:w="14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5C6F7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38.4 </w:t>
            </w:r>
          </w:p>
        </w:tc>
      </w:tr>
      <w:tr w14:paraId="194CE7C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F7ED1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排气筒11</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13067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26.8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7CE41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排气筒36</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7AC88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3.4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76EC8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排气筒61</w:t>
            </w:r>
          </w:p>
        </w:tc>
        <w:tc>
          <w:tcPr>
            <w:tcW w:w="14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A272F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52.1 </w:t>
            </w:r>
          </w:p>
        </w:tc>
      </w:tr>
      <w:tr w14:paraId="305C9E3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A8788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排气筒12</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A2E61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1.8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0D3B1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排气筒37</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2B791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3.2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145EB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排气筒62</w:t>
            </w:r>
          </w:p>
        </w:tc>
        <w:tc>
          <w:tcPr>
            <w:tcW w:w="14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99DCC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10.7 </w:t>
            </w:r>
          </w:p>
        </w:tc>
      </w:tr>
      <w:tr w14:paraId="224DBCE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D7518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排气筒13</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5E08F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14.3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C4CFF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排气筒38</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659B5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191.1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B2973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排气筒63</w:t>
            </w:r>
          </w:p>
        </w:tc>
        <w:tc>
          <w:tcPr>
            <w:tcW w:w="14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F6CD8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8.1 </w:t>
            </w:r>
          </w:p>
        </w:tc>
      </w:tr>
      <w:tr w14:paraId="7C5EFB6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BCCD6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排气筒14</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26C4A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164.1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19938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排气筒39</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7F5E4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31.6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788FA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排气筒64</w:t>
            </w:r>
          </w:p>
        </w:tc>
        <w:tc>
          <w:tcPr>
            <w:tcW w:w="14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3CBB8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11.1 </w:t>
            </w:r>
          </w:p>
        </w:tc>
      </w:tr>
      <w:tr w14:paraId="0969DA3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19683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排气筒15</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0F150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19.4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39D75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排气筒40</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97F68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14.9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00153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排气筒65</w:t>
            </w:r>
          </w:p>
        </w:tc>
        <w:tc>
          <w:tcPr>
            <w:tcW w:w="14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1D3D9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4.7 </w:t>
            </w:r>
          </w:p>
        </w:tc>
      </w:tr>
      <w:tr w14:paraId="307BC0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DDAFC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排气筒16</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B013F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22.0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D628A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排气筒41</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ADEAE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4.2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4A4B0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排气筒66</w:t>
            </w:r>
          </w:p>
        </w:tc>
        <w:tc>
          <w:tcPr>
            <w:tcW w:w="14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42654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7.2 </w:t>
            </w:r>
          </w:p>
        </w:tc>
      </w:tr>
      <w:tr w14:paraId="22A51F9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477E0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排气筒17</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62961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9.5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BBF16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排气筒42</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6909B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13.3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6E90A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排气筒67</w:t>
            </w:r>
          </w:p>
        </w:tc>
        <w:tc>
          <w:tcPr>
            <w:tcW w:w="14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049DD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3.5 </w:t>
            </w:r>
          </w:p>
        </w:tc>
      </w:tr>
      <w:tr w14:paraId="5CC1844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14901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排气筒18</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C5536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21.6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B216D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排气筒43</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FC1EC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72.3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01616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排气筒68</w:t>
            </w:r>
          </w:p>
        </w:tc>
        <w:tc>
          <w:tcPr>
            <w:tcW w:w="14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72A1E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15.4 </w:t>
            </w:r>
          </w:p>
        </w:tc>
      </w:tr>
      <w:tr w14:paraId="461FEA6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130A4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排气筒19</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66BC5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5.5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80E46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排气筒44</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73A73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124.8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12B9F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排气筒69</w:t>
            </w:r>
          </w:p>
        </w:tc>
        <w:tc>
          <w:tcPr>
            <w:tcW w:w="14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5F95E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4.9 </w:t>
            </w:r>
          </w:p>
        </w:tc>
      </w:tr>
      <w:tr w14:paraId="56C5916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78579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排气筒20</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9606B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24.0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D802E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排气筒45</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93F8C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51.9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68F5F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排气筒70</w:t>
            </w:r>
          </w:p>
        </w:tc>
        <w:tc>
          <w:tcPr>
            <w:tcW w:w="14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CF63A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26.3 </w:t>
            </w:r>
          </w:p>
        </w:tc>
      </w:tr>
      <w:tr w14:paraId="77601A6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FEC99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排气筒21</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78A70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7.2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DD926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排气筒46</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66816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78.1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F5F2C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排气筒71</w:t>
            </w:r>
          </w:p>
        </w:tc>
        <w:tc>
          <w:tcPr>
            <w:tcW w:w="14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6E7C5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48.2 </w:t>
            </w:r>
          </w:p>
        </w:tc>
      </w:tr>
      <w:tr w14:paraId="75032C1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28A58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排气筒22</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095E9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17.5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8949A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排气筒47</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02B94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54.8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6B84C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排气筒72</w:t>
            </w:r>
          </w:p>
        </w:tc>
        <w:tc>
          <w:tcPr>
            <w:tcW w:w="14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0D33D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8.0 </w:t>
            </w:r>
          </w:p>
        </w:tc>
      </w:tr>
      <w:tr w14:paraId="572FDBF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8273D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排气筒23</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293A1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2.3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A91C3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排气筒48</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3E168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16.5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03215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排气筒73</w:t>
            </w:r>
          </w:p>
        </w:tc>
        <w:tc>
          <w:tcPr>
            <w:tcW w:w="14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83C82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6.6 </w:t>
            </w:r>
          </w:p>
        </w:tc>
      </w:tr>
      <w:tr w14:paraId="557D5AC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91472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排气筒24</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91102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2.5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299DC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排气筒49</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E7037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67.0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10F04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p>
        </w:tc>
        <w:tc>
          <w:tcPr>
            <w:tcW w:w="8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BE185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p>
        </w:tc>
      </w:tr>
      <w:tr w14:paraId="283B147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B3607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排气筒25</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9B51F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2.8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D1A9E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排气筒50</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C0B70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lang w:val="en-US" w:eastAsia="zh-CN"/>
              </w:rPr>
              <w:t xml:space="preserve">7.0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AF972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p>
        </w:tc>
        <w:tc>
          <w:tcPr>
            <w:tcW w:w="8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8636B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val="0"/>
                <w:bCs w:val="0"/>
                <w:color w:val="000000"/>
                <w:kern w:val="0"/>
                <w:sz w:val="21"/>
                <w:szCs w:val="21"/>
                <w:highlight w:val="none"/>
                <w:lang w:val="en-US" w:eastAsia="zh-CN"/>
              </w:rPr>
            </w:pPr>
          </w:p>
        </w:tc>
      </w:tr>
    </w:tbl>
    <w:p w14:paraId="62AEEB8C">
      <w:pPr>
        <w:keepNext/>
        <w:keepLines w:val="0"/>
        <w:pageBreakBefore w:val="0"/>
        <w:widowControl w:val="0"/>
        <w:kinsoku/>
        <w:wordWrap/>
        <w:autoSpaceDE/>
        <w:autoSpaceDN/>
        <w:bidi w:val="0"/>
        <w:spacing w:line="360" w:lineRule="auto"/>
        <w:ind w:firstLine="482" w:firstLineChars="200"/>
        <w:rPr>
          <w:rFonts w:hint="default" w:ascii="Times New Roman" w:hAnsi="Times New Roman" w:eastAsia="宋体" w:cs="Times New Roman"/>
          <w:b/>
          <w:bCs/>
          <w:kern w:val="0"/>
          <w:sz w:val="24"/>
          <w:highlight w:val="none"/>
          <w:lang w:val="en-US" w:eastAsia="zh-CN"/>
        </w:rPr>
      </w:pPr>
      <w:r>
        <w:rPr>
          <w:rFonts w:hint="default" w:ascii="Times New Roman" w:hAnsi="Times New Roman" w:cs="Times New Roman"/>
          <w:b/>
          <w:bCs/>
          <w:kern w:val="0"/>
          <w:sz w:val="24"/>
          <w:highlight w:val="none"/>
          <w:lang w:eastAsia="zh-CN"/>
        </w:rPr>
        <w:t>（</w:t>
      </w:r>
      <w:r>
        <w:rPr>
          <w:rFonts w:hint="default" w:ascii="Times New Roman" w:hAnsi="Times New Roman" w:cs="Times New Roman"/>
          <w:b/>
          <w:bCs/>
          <w:kern w:val="0"/>
          <w:sz w:val="24"/>
          <w:highlight w:val="none"/>
          <w:lang w:val="en-US" w:eastAsia="zh-CN"/>
        </w:rPr>
        <w:t>2</w:t>
      </w:r>
      <w:r>
        <w:rPr>
          <w:rFonts w:hint="default" w:ascii="Times New Roman" w:hAnsi="Times New Roman" w:cs="Times New Roman"/>
          <w:b/>
          <w:bCs/>
          <w:kern w:val="0"/>
          <w:sz w:val="24"/>
          <w:highlight w:val="none"/>
          <w:lang w:eastAsia="zh-CN"/>
        </w:rPr>
        <w:t>）</w:t>
      </w:r>
      <w:r>
        <w:rPr>
          <w:rFonts w:hint="default" w:ascii="Times New Roman" w:hAnsi="Times New Roman" w:cs="Times New Roman"/>
          <w:b/>
          <w:bCs/>
          <w:kern w:val="0"/>
          <w:sz w:val="24"/>
          <w:highlight w:val="none"/>
          <w:lang w:val="en-US" w:eastAsia="zh-CN"/>
        </w:rPr>
        <w:t>企业自行监测报告</w:t>
      </w:r>
    </w:p>
    <w:p w14:paraId="7A65F2DB">
      <w:pPr>
        <w:keepNext/>
        <w:keepLines w:val="0"/>
        <w:pageBreakBefore w:val="0"/>
        <w:widowControl w:val="0"/>
        <w:kinsoku/>
        <w:wordWrap/>
        <w:autoSpaceDE/>
        <w:autoSpaceDN/>
        <w:bidi w:val="0"/>
        <w:spacing w:line="360" w:lineRule="auto"/>
        <w:ind w:firstLine="480" w:firstLineChars="200"/>
        <w:rPr>
          <w:rFonts w:hint="default" w:ascii="Times New Roman" w:hAnsi="Times New Roman" w:cs="Times New Roman"/>
          <w:sz w:val="24"/>
          <w:highlight w:val="none"/>
        </w:rPr>
      </w:pPr>
      <w:r>
        <w:rPr>
          <w:rFonts w:hint="default" w:ascii="Times New Roman" w:hAnsi="Times New Roman" w:cs="Times New Roman"/>
          <w:sz w:val="24"/>
          <w:highlight w:val="none"/>
        </w:rPr>
        <w:t>同时，我们对收集的企业自行监测的数据进行统计分析，其中有</w:t>
      </w:r>
      <w:r>
        <w:rPr>
          <w:rFonts w:hint="default" w:ascii="Times New Roman" w:hAnsi="Times New Roman" w:cs="Times New Roman"/>
          <w:sz w:val="24"/>
          <w:highlight w:val="none"/>
          <w:lang w:val="en-US" w:eastAsia="zh-CN"/>
        </w:rPr>
        <w:t>220个排气筒</w:t>
      </w:r>
      <w:r>
        <w:rPr>
          <w:rFonts w:hint="default" w:ascii="Times New Roman" w:hAnsi="Times New Roman" w:cs="Times New Roman"/>
          <w:sz w:val="24"/>
          <w:highlight w:val="none"/>
        </w:rPr>
        <w:t>对</w:t>
      </w:r>
      <w:r>
        <w:rPr>
          <w:rFonts w:hint="default" w:ascii="Times New Roman" w:hAnsi="Times New Roman" w:cs="Times New Roman"/>
          <w:sz w:val="24"/>
          <w:highlight w:val="none"/>
          <w:lang w:val="en-US" w:eastAsia="zh-CN"/>
        </w:rPr>
        <w:t>非甲烷总烃</w:t>
      </w:r>
      <w:r>
        <w:rPr>
          <w:rFonts w:hint="default" w:ascii="Times New Roman" w:hAnsi="Times New Roman" w:cs="Times New Roman"/>
          <w:sz w:val="24"/>
          <w:highlight w:val="none"/>
        </w:rPr>
        <w:t>进行监测，浓度范围在0.0</w:t>
      </w:r>
      <w:r>
        <w:rPr>
          <w:rFonts w:hint="default" w:ascii="Times New Roman" w:hAnsi="Times New Roman" w:cs="Times New Roman"/>
          <w:sz w:val="24"/>
          <w:highlight w:val="none"/>
          <w:lang w:val="en-US" w:eastAsia="zh-CN"/>
        </w:rPr>
        <w:t>4</w:t>
      </w:r>
      <w:r>
        <w:rPr>
          <w:rFonts w:hint="default" w:ascii="Times New Roman" w:hAnsi="Times New Roman" w:cs="Times New Roman"/>
          <w:sz w:val="24"/>
          <w:highlight w:val="none"/>
        </w:rPr>
        <w:t>~</w:t>
      </w:r>
      <w:r>
        <w:rPr>
          <w:rFonts w:hint="default" w:ascii="Times New Roman" w:hAnsi="Times New Roman" w:cs="Times New Roman"/>
          <w:sz w:val="24"/>
          <w:highlight w:val="none"/>
          <w:lang w:val="en-US" w:eastAsia="zh-CN"/>
        </w:rPr>
        <w:t>58.4</w:t>
      </w:r>
      <w:r>
        <w:rPr>
          <w:rFonts w:hint="eastAsia" w:cs="Times New Roman"/>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sz w:val="24"/>
          <w:highlight w:val="none"/>
        </w:rPr>
        <w:t>均低于四川省现执行的《四川省固定源大气挥发性有机物排放标准》（DB51/2377</w:t>
      </w:r>
      <w:r>
        <w:rPr>
          <w:rFonts w:hint="eastAsia" w:ascii="Times New Roman" w:hAnsi="Times New Roman" w:cs="Times New Roman"/>
          <w:sz w:val="24"/>
          <w:highlight w:val="none"/>
          <w:lang w:eastAsia="zh-CN"/>
        </w:rPr>
        <w:t>—</w:t>
      </w:r>
      <w:r>
        <w:rPr>
          <w:rFonts w:hint="default" w:ascii="Times New Roman" w:hAnsi="Times New Roman" w:cs="Times New Roman"/>
          <w:sz w:val="24"/>
          <w:highlight w:val="none"/>
        </w:rPr>
        <w:t>2017）表3中表面涂装排放标准要求60</w:t>
      </w:r>
      <w:r>
        <w:rPr>
          <w:rFonts w:hint="default" w:ascii="Times New Roman" w:hAnsi="Times New Roman" w:cs="Times New Roman"/>
          <w:color w:val="000000"/>
          <w:kern w:val="0"/>
          <w:sz w:val="24"/>
          <w:highlight w:val="none"/>
        </w:rPr>
        <w:t xml:space="preserve"> 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vertAlign w:val="baseline"/>
          <w:lang w:eastAsia="zh-CN"/>
        </w:rPr>
        <w:t>，</w:t>
      </w:r>
      <w:r>
        <w:rPr>
          <w:rFonts w:hint="default" w:ascii="Times New Roman" w:hAnsi="Times New Roman" w:cs="Times New Roman"/>
          <w:color w:val="000000"/>
          <w:kern w:val="0"/>
          <w:sz w:val="24"/>
          <w:highlight w:val="none"/>
          <w:vertAlign w:val="baseline"/>
          <w:lang w:val="en-US" w:eastAsia="zh-CN"/>
        </w:rPr>
        <w:t>达标率100%</w:t>
      </w:r>
      <w:r>
        <w:rPr>
          <w:rFonts w:hint="default" w:ascii="Times New Roman" w:hAnsi="Times New Roman" w:cs="Times New Roman"/>
          <w:sz w:val="24"/>
          <w:highlight w:val="none"/>
        </w:rPr>
        <w:t>。</w:t>
      </w:r>
      <w:r>
        <w:rPr>
          <w:rFonts w:hint="default" w:ascii="Times New Roman" w:hAnsi="Times New Roman" w:cs="Times New Roman"/>
          <w:color w:val="000000"/>
          <w:kern w:val="0"/>
          <w:sz w:val="24"/>
          <w:highlight w:val="none"/>
          <w:lang w:val="en-US" w:eastAsia="zh-CN"/>
        </w:rPr>
        <w:t>超过20</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vertAlign w:val="baseline"/>
          <w:lang w:val="en-US" w:eastAsia="zh-CN"/>
        </w:rPr>
        <w:t>的9条排气筒，占比为4%，其中</w:t>
      </w:r>
      <w:r>
        <w:rPr>
          <w:rFonts w:hint="default" w:ascii="Times New Roman" w:hAnsi="Times New Roman" w:cs="Times New Roman"/>
          <w:color w:val="000000"/>
          <w:kern w:val="0"/>
          <w:sz w:val="24"/>
          <w:highlight w:val="none"/>
          <w:lang w:val="en-US" w:eastAsia="zh-CN"/>
        </w:rPr>
        <w:t>78%为二类汽车维修，22%为一类汽车维修，</w:t>
      </w:r>
      <w:r>
        <w:rPr>
          <w:rFonts w:hint="default" w:ascii="Times New Roman" w:hAnsi="Times New Roman" w:cs="Times New Roman"/>
          <w:color w:val="000000"/>
          <w:kern w:val="0"/>
          <w:sz w:val="24"/>
          <w:highlight w:val="none"/>
        </w:rPr>
        <w:t>对应的末端治理工艺</w:t>
      </w:r>
      <w:r>
        <w:rPr>
          <w:rFonts w:hint="default" w:ascii="Times New Roman" w:hAnsi="Times New Roman" w:cs="Times New Roman"/>
          <w:color w:val="000000"/>
          <w:kern w:val="0"/>
          <w:sz w:val="24"/>
          <w:highlight w:val="none"/>
          <w:lang w:val="en-US" w:eastAsia="zh-CN"/>
        </w:rPr>
        <w:t>33%</w:t>
      </w:r>
      <w:r>
        <w:rPr>
          <w:rFonts w:hint="default" w:ascii="Times New Roman" w:hAnsi="Times New Roman" w:cs="Times New Roman"/>
          <w:color w:val="000000"/>
          <w:kern w:val="0"/>
          <w:sz w:val="24"/>
          <w:highlight w:val="none"/>
        </w:rPr>
        <w:t>为</w:t>
      </w:r>
      <w:r>
        <w:rPr>
          <w:rFonts w:hint="default" w:ascii="Times New Roman" w:hAnsi="Times New Roman" w:cs="Times New Roman"/>
          <w:color w:val="000000"/>
          <w:kern w:val="0"/>
          <w:sz w:val="24"/>
          <w:highlight w:val="none"/>
          <w:lang w:val="en-US" w:eastAsia="zh-CN"/>
        </w:rPr>
        <w:t>UV光氧+活性炭/二级活性炭，56%为燃烧法（催化燃烧/蓄热催化燃烧）</w:t>
      </w:r>
      <w:r>
        <w:rPr>
          <w:rFonts w:hint="default" w:ascii="Times New Roman" w:hAnsi="Times New Roman" w:cs="Times New Roman"/>
          <w:color w:val="000000"/>
          <w:kern w:val="0"/>
          <w:sz w:val="24"/>
          <w:highlight w:val="none"/>
        </w:rPr>
        <w:t>。</w:t>
      </w:r>
    </w:p>
    <w:p w14:paraId="6B960242">
      <w:pPr>
        <w:keepNext/>
        <w:keepLines w:val="0"/>
        <w:pageBreakBefore w:val="0"/>
        <w:widowControl w:val="0"/>
        <w:kinsoku/>
        <w:wordWrap/>
        <w:autoSpaceDE/>
        <w:autoSpaceDN/>
        <w:bidi w:val="0"/>
        <w:spacing w:line="360" w:lineRule="auto"/>
        <w:ind w:firstLine="480" w:firstLineChars="200"/>
        <w:rPr>
          <w:rFonts w:hint="default" w:ascii="Times New Roman" w:hAnsi="Times New Roman" w:cs="Times New Roman"/>
          <w:color w:val="000000"/>
          <w:kern w:val="0"/>
          <w:sz w:val="24"/>
          <w:highlight w:val="none"/>
        </w:rPr>
      </w:pPr>
      <w:r>
        <w:rPr>
          <w:rFonts w:hint="eastAsia" w:ascii="Times New Roman" w:hAnsi="Times New Roman" w:cs="Times New Roman"/>
          <w:color w:val="000000"/>
          <w:kern w:val="0"/>
          <w:sz w:val="24"/>
          <w:highlight w:val="none"/>
          <w:lang w:val="en-US" w:eastAsia="zh-CN"/>
        </w:rPr>
        <w:t>非甲烷总烃</w:t>
      </w:r>
      <w:r>
        <w:rPr>
          <w:rFonts w:hint="default" w:ascii="Times New Roman" w:hAnsi="Times New Roman" w:cs="Times New Roman"/>
          <w:color w:val="000000"/>
          <w:kern w:val="0"/>
          <w:sz w:val="24"/>
          <w:highlight w:val="none"/>
          <w:lang w:val="en-US" w:eastAsia="zh-CN"/>
        </w:rPr>
        <w:t>平均浓度</w:t>
      </w:r>
      <w:r>
        <w:rPr>
          <w:rFonts w:hint="default" w:ascii="Times New Roman" w:hAnsi="Times New Roman" w:cs="Times New Roman"/>
          <w:color w:val="000000"/>
          <w:kern w:val="0"/>
          <w:sz w:val="24"/>
          <w:highlight w:val="none"/>
        </w:rPr>
        <w:t>为</w:t>
      </w:r>
      <w:r>
        <w:rPr>
          <w:rFonts w:hint="default" w:ascii="Times New Roman" w:hAnsi="Times New Roman" w:cs="Times New Roman"/>
          <w:color w:val="000000"/>
          <w:kern w:val="0"/>
          <w:sz w:val="24"/>
          <w:highlight w:val="none"/>
          <w:lang w:val="en-US" w:eastAsia="zh-CN"/>
        </w:rPr>
        <w:t>6.4</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val="en-US" w:eastAsia="zh-CN"/>
        </w:rPr>
        <w:t>8.3</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w:t>
      </w:r>
      <w:r>
        <w:rPr>
          <w:rFonts w:hint="default" w:ascii="Times New Roman" w:hAnsi="Times New Roman" w:cs="Times New Roman"/>
          <w:kern w:val="0"/>
          <w:sz w:val="24"/>
          <w:highlight w:val="none"/>
          <w:lang w:val="en-US" w:eastAsia="zh-CN"/>
        </w:rPr>
        <w:t>浓度主要分布</w:t>
      </w:r>
      <w:r>
        <w:rPr>
          <w:rFonts w:hint="default" w:ascii="Times New Roman" w:hAnsi="Times New Roman" w:cs="Times New Roman"/>
          <w:color w:val="000000"/>
          <w:kern w:val="0"/>
          <w:sz w:val="24"/>
          <w:highlight w:val="none"/>
          <w:lang w:val="en-US" w:eastAsia="zh-CN"/>
        </w:rPr>
        <w:t>在</w:t>
      </w:r>
      <w:r>
        <w:rPr>
          <w:rFonts w:hint="default" w:ascii="Times New Roman" w:hAnsi="Times New Roman" w:eastAsia="等线" w:cs="Times New Roman"/>
          <w:color w:val="000000"/>
          <w:kern w:val="0"/>
          <w:sz w:val="24"/>
          <w:highlight w:val="none"/>
        </w:rPr>
        <w:t>0~5</w:t>
      </w:r>
      <w:r>
        <w:rPr>
          <w:rFonts w:hint="default" w:ascii="Times New Roman" w:hAnsi="Times New Roman" w:cs="Times New Roman"/>
          <w:color w:val="000000"/>
          <w:kern w:val="0"/>
          <w:sz w:val="24"/>
          <w:highlight w:val="none"/>
        </w:rPr>
        <w:t xml:space="preserve"> 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rPr>
        <w:t>占比</w:t>
      </w:r>
      <w:r>
        <w:rPr>
          <w:rFonts w:hint="default" w:ascii="Times New Roman" w:hAnsi="Times New Roman" w:cs="Times New Roman"/>
          <w:color w:val="000000"/>
          <w:kern w:val="0"/>
          <w:sz w:val="24"/>
          <w:highlight w:val="none"/>
          <w:lang w:val="en-US" w:eastAsia="zh-CN"/>
        </w:rPr>
        <w:t>69</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rPr>
        <w:t>5~10 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之间占比1</w:t>
      </w:r>
      <w:r>
        <w:rPr>
          <w:rFonts w:hint="default" w:ascii="Times New Roman" w:hAnsi="Times New Roman" w:cs="Times New Roman"/>
          <w:color w:val="000000"/>
          <w:kern w:val="0"/>
          <w:sz w:val="24"/>
          <w:highlight w:val="none"/>
          <w:lang w:val="en-US" w:eastAsia="zh-CN"/>
        </w:rPr>
        <w:t>5</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eastAsia="zh-CN"/>
        </w:rPr>
        <w:t>，</w:t>
      </w:r>
      <w:r>
        <w:rPr>
          <w:rFonts w:hint="default" w:ascii="Times New Roman" w:hAnsi="Times New Roman" w:eastAsia="等线" w:cs="Times New Roman"/>
          <w:color w:val="000000"/>
          <w:kern w:val="0"/>
          <w:sz w:val="24"/>
          <w:highlight w:val="none"/>
        </w:rPr>
        <w:t>10~15</w:t>
      </w:r>
      <w:r>
        <w:rPr>
          <w:rFonts w:hint="default" w:ascii="Times New Roman" w:hAnsi="Times New Roman" w:cs="Times New Roman"/>
          <w:color w:val="000000"/>
          <w:kern w:val="0"/>
          <w:sz w:val="24"/>
          <w:highlight w:val="none"/>
        </w:rPr>
        <w:t xml:space="preserve"> 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之间占比</w:t>
      </w:r>
      <w:r>
        <w:rPr>
          <w:rFonts w:hint="default" w:ascii="Times New Roman" w:hAnsi="Times New Roman" w:cs="Times New Roman"/>
          <w:color w:val="000000"/>
          <w:kern w:val="0"/>
          <w:sz w:val="24"/>
          <w:highlight w:val="none"/>
          <w:lang w:val="en-US" w:eastAsia="zh-CN"/>
        </w:rPr>
        <w:t>14</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eastAsia="zh-CN"/>
        </w:rPr>
        <w:t>，</w:t>
      </w:r>
      <w:r>
        <w:rPr>
          <w:rFonts w:hint="default" w:ascii="Times New Roman" w:hAnsi="Times New Roman" w:eastAsia="等线" w:cs="Times New Roman"/>
          <w:color w:val="000000"/>
          <w:kern w:val="0"/>
          <w:sz w:val="24"/>
          <w:highlight w:val="none"/>
        </w:rPr>
        <w:t>15~20</w:t>
      </w:r>
      <w:r>
        <w:rPr>
          <w:rFonts w:hint="eastAsia" w:eastAsia="等线"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之间占比</w:t>
      </w:r>
      <w:r>
        <w:rPr>
          <w:rFonts w:hint="default" w:ascii="Times New Roman" w:hAnsi="Times New Roman" w:cs="Times New Roman"/>
          <w:color w:val="000000"/>
          <w:kern w:val="0"/>
          <w:sz w:val="24"/>
          <w:highlight w:val="none"/>
          <w:lang w:val="en-US" w:eastAsia="zh-CN"/>
        </w:rPr>
        <w:t>5</w:t>
      </w:r>
      <w:r>
        <w:rPr>
          <w:rFonts w:hint="default" w:ascii="Times New Roman" w:hAnsi="Times New Roman" w:cs="Times New Roman"/>
          <w:color w:val="000000"/>
          <w:kern w:val="0"/>
          <w:sz w:val="24"/>
          <w:highlight w:val="none"/>
        </w:rPr>
        <w:t>%，</w:t>
      </w:r>
      <w:r>
        <w:rPr>
          <w:rFonts w:hint="default" w:ascii="Times New Roman" w:hAnsi="Times New Roman" w:eastAsia="等线" w:cs="Times New Roman"/>
          <w:color w:val="000000"/>
          <w:kern w:val="0"/>
          <w:sz w:val="24"/>
          <w:highlight w:val="none"/>
          <w:lang w:val="en-US" w:eastAsia="zh-CN"/>
        </w:rPr>
        <w:t>20</w:t>
      </w:r>
      <w:r>
        <w:rPr>
          <w:rFonts w:hint="default" w:ascii="Times New Roman" w:hAnsi="Times New Roman" w:eastAsia="等线" w:cs="Times New Roman"/>
          <w:color w:val="000000"/>
          <w:kern w:val="0"/>
          <w:sz w:val="24"/>
          <w:highlight w:val="none"/>
        </w:rPr>
        <w:t>~</w:t>
      </w:r>
      <w:r>
        <w:rPr>
          <w:rFonts w:hint="default" w:ascii="Times New Roman" w:hAnsi="Times New Roman" w:eastAsia="等线" w:cs="Times New Roman"/>
          <w:color w:val="000000"/>
          <w:kern w:val="0"/>
          <w:sz w:val="24"/>
          <w:highlight w:val="none"/>
          <w:lang w:val="en-US" w:eastAsia="zh-CN"/>
        </w:rPr>
        <w:t>40</w:t>
      </w:r>
      <w:r>
        <w:rPr>
          <w:rFonts w:hint="eastAsia" w:eastAsia="等线"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之间占比</w:t>
      </w:r>
      <w:r>
        <w:rPr>
          <w:rFonts w:hint="default" w:ascii="Times New Roman" w:hAnsi="Times New Roman" w:cs="Times New Roman"/>
          <w:color w:val="000000"/>
          <w:kern w:val="0"/>
          <w:sz w:val="24"/>
          <w:highlight w:val="none"/>
          <w:lang w:val="en-US" w:eastAsia="zh-CN"/>
        </w:rPr>
        <w:t>3</w:t>
      </w:r>
      <w:r>
        <w:rPr>
          <w:rFonts w:hint="default" w:ascii="Times New Roman" w:hAnsi="Times New Roman" w:cs="Times New Roman"/>
          <w:color w:val="000000"/>
          <w:kern w:val="0"/>
          <w:sz w:val="24"/>
          <w:highlight w:val="none"/>
        </w:rPr>
        <w:t>%，</w:t>
      </w:r>
      <w:r>
        <w:rPr>
          <w:rFonts w:hint="default" w:ascii="Times New Roman" w:hAnsi="Times New Roman" w:eastAsia="等线" w:cs="Times New Roman"/>
          <w:color w:val="000000"/>
          <w:kern w:val="0"/>
          <w:sz w:val="24"/>
          <w:highlight w:val="none"/>
          <w:lang w:val="en-US" w:eastAsia="zh-CN"/>
        </w:rPr>
        <w:t>40</w:t>
      </w:r>
      <w:r>
        <w:rPr>
          <w:rFonts w:hint="default" w:ascii="Times New Roman" w:hAnsi="Times New Roman" w:eastAsia="等线" w:cs="Times New Roman"/>
          <w:color w:val="000000"/>
          <w:kern w:val="0"/>
          <w:sz w:val="24"/>
          <w:highlight w:val="none"/>
        </w:rPr>
        <w:t>~</w:t>
      </w:r>
      <w:r>
        <w:rPr>
          <w:rFonts w:hint="default" w:ascii="Times New Roman" w:hAnsi="Times New Roman" w:eastAsia="等线" w:cs="Times New Roman"/>
          <w:color w:val="000000"/>
          <w:kern w:val="0"/>
          <w:sz w:val="24"/>
          <w:highlight w:val="none"/>
          <w:lang w:val="en-US" w:eastAsia="zh-CN"/>
        </w:rPr>
        <w:t>60</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之间占比</w:t>
      </w:r>
      <w:r>
        <w:rPr>
          <w:rFonts w:hint="default" w:ascii="Times New Roman" w:hAnsi="Times New Roman" w:cs="Times New Roman"/>
          <w:color w:val="000000"/>
          <w:kern w:val="0"/>
          <w:sz w:val="24"/>
          <w:highlight w:val="none"/>
          <w:lang w:val="en-US" w:eastAsia="zh-CN"/>
        </w:rPr>
        <w:t>1</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eastAsia="zh-CN"/>
        </w:rPr>
        <w:t>。</w:t>
      </w:r>
    </w:p>
    <w:p w14:paraId="3FA28572">
      <w:pPr>
        <w:keepNext/>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kern w:val="0"/>
          <w:szCs w:val="21"/>
          <w:highlight w:val="none"/>
        </w:rPr>
      </w:pPr>
      <w:r>
        <w:rPr>
          <w:rFonts w:hint="eastAsia" w:cs="Times New Roman"/>
          <w:kern w:val="0"/>
          <w:szCs w:val="21"/>
          <w:highlight w:val="none"/>
          <w:lang w:val="en-US" w:eastAsia="zh-CN"/>
        </w:rPr>
        <w:t>表7.5</w:t>
      </w:r>
      <w:r>
        <w:rPr>
          <w:rFonts w:hint="default" w:ascii="Times New Roman" w:hAnsi="Times New Roman" w:cs="Times New Roman"/>
          <w:kern w:val="0"/>
          <w:szCs w:val="21"/>
          <w:highlight w:val="none"/>
        </w:rPr>
        <w:t>-</w:t>
      </w:r>
      <w:r>
        <w:rPr>
          <w:rFonts w:hint="eastAsia" w:cs="Times New Roman"/>
          <w:kern w:val="0"/>
          <w:szCs w:val="21"/>
          <w:highlight w:val="none"/>
          <w:lang w:val="en-US" w:eastAsia="zh-CN"/>
        </w:rPr>
        <w:t>9</w:t>
      </w:r>
      <w:r>
        <w:rPr>
          <w:rFonts w:hint="default" w:ascii="Times New Roman" w:hAnsi="Times New Roman" w:cs="Times New Roman"/>
          <w:kern w:val="0"/>
          <w:szCs w:val="21"/>
          <w:highlight w:val="none"/>
        </w:rPr>
        <w:t xml:space="preserve"> 企业自行监测有组织废气非甲烷总烃的排放浓度情况</w:t>
      </w:r>
    </w:p>
    <w:tbl>
      <w:tblPr>
        <w:tblStyle w:val="21"/>
        <w:tblW w:w="4998" w:type="pct"/>
        <w:jc w:val="center"/>
        <w:tblLayout w:type="autofit"/>
        <w:tblCellMar>
          <w:top w:w="0" w:type="dxa"/>
          <w:left w:w="108" w:type="dxa"/>
          <w:bottom w:w="0" w:type="dxa"/>
          <w:right w:w="108" w:type="dxa"/>
        </w:tblCellMar>
      </w:tblPr>
      <w:tblGrid>
        <w:gridCol w:w="2695"/>
        <w:gridCol w:w="920"/>
        <w:gridCol w:w="920"/>
        <w:gridCol w:w="996"/>
        <w:gridCol w:w="998"/>
        <w:gridCol w:w="998"/>
        <w:gridCol w:w="998"/>
      </w:tblGrid>
      <w:tr w14:paraId="617C72EE">
        <w:tblPrEx>
          <w:tblCellMar>
            <w:top w:w="0" w:type="dxa"/>
            <w:left w:w="108" w:type="dxa"/>
            <w:bottom w:w="0" w:type="dxa"/>
            <w:right w:w="108" w:type="dxa"/>
          </w:tblCellMar>
        </w:tblPrEx>
        <w:trPr>
          <w:trHeight w:val="300" w:hRule="atLeast"/>
          <w:jc w:val="center"/>
        </w:trPr>
        <w:tc>
          <w:tcPr>
            <w:tcW w:w="1385" w:type="pct"/>
            <w:tcBorders>
              <w:top w:val="single" w:color="auto" w:sz="4" w:space="0"/>
              <w:left w:val="single" w:color="auto" w:sz="4" w:space="0"/>
              <w:bottom w:val="single" w:color="auto" w:sz="4" w:space="0"/>
              <w:right w:val="single" w:color="auto" w:sz="4" w:space="0"/>
            </w:tcBorders>
            <w:shd w:val="clear" w:color="auto" w:fill="auto"/>
            <w:noWrap/>
            <w:vAlign w:val="center"/>
          </w:tcPr>
          <w:p w14:paraId="0C61D6B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rPr>
            </w:pPr>
            <w:r>
              <w:rPr>
                <w:rFonts w:hint="default" w:ascii="Times New Roman" w:hAnsi="Times New Roman" w:cs="Times New Roman"/>
                <w:b/>
                <w:bCs/>
                <w:color w:val="000000"/>
                <w:kern w:val="0"/>
                <w:sz w:val="21"/>
                <w:szCs w:val="21"/>
                <w:highlight w:val="none"/>
                <w:lang w:val="en-US" w:eastAsia="zh-CN"/>
              </w:rPr>
              <w:t>非甲烷总烃</w:t>
            </w:r>
            <w:r>
              <w:rPr>
                <w:rFonts w:hint="default" w:ascii="Times New Roman" w:hAnsi="Times New Roman" w:cs="Times New Roman"/>
                <w:b/>
                <w:bCs/>
                <w:color w:val="000000"/>
                <w:kern w:val="0"/>
                <w:sz w:val="21"/>
                <w:szCs w:val="21"/>
                <w:highlight w:val="none"/>
              </w:rPr>
              <w:t>浓度（mg/m</w:t>
            </w:r>
            <w:r>
              <w:rPr>
                <w:rFonts w:hint="default" w:ascii="Times New Roman" w:hAnsi="Times New Roman" w:cs="Times New Roman"/>
                <w:b/>
                <w:bCs/>
                <w:color w:val="000000"/>
                <w:kern w:val="0"/>
                <w:sz w:val="21"/>
                <w:szCs w:val="21"/>
                <w:highlight w:val="none"/>
                <w:vertAlign w:val="superscript"/>
              </w:rPr>
              <w:t>3</w:t>
            </w:r>
            <w:r>
              <w:rPr>
                <w:rFonts w:hint="default" w:ascii="Times New Roman" w:hAnsi="Times New Roman" w:cs="Times New Roman"/>
                <w:b/>
                <w:bCs/>
                <w:color w:val="000000"/>
                <w:kern w:val="0"/>
                <w:sz w:val="21"/>
                <w:szCs w:val="21"/>
                <w:highlight w:val="none"/>
              </w:rPr>
              <w:t>）</w:t>
            </w:r>
          </w:p>
        </w:tc>
        <w:tc>
          <w:tcPr>
            <w:tcW w:w="572" w:type="pct"/>
            <w:tcBorders>
              <w:top w:val="single" w:color="auto" w:sz="4" w:space="0"/>
              <w:left w:val="nil"/>
              <w:bottom w:val="single" w:color="auto" w:sz="4" w:space="0"/>
              <w:right w:val="single" w:color="auto" w:sz="4" w:space="0"/>
            </w:tcBorders>
            <w:shd w:val="clear" w:color="auto" w:fill="auto"/>
            <w:noWrap/>
            <w:vAlign w:val="center"/>
          </w:tcPr>
          <w:p w14:paraId="0559A60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b/>
                <w:bCs/>
                <w:color w:val="000000"/>
                <w:kern w:val="0"/>
                <w:sz w:val="21"/>
                <w:szCs w:val="21"/>
                <w:highlight w:val="none"/>
              </w:rPr>
            </w:pPr>
            <w:r>
              <w:rPr>
                <w:rFonts w:hint="default" w:ascii="Times New Roman" w:hAnsi="Times New Roman" w:eastAsia="等线" w:cs="Times New Roman"/>
                <w:b/>
                <w:bCs/>
                <w:color w:val="000000"/>
                <w:kern w:val="0"/>
                <w:sz w:val="21"/>
                <w:szCs w:val="21"/>
                <w:highlight w:val="none"/>
              </w:rPr>
              <w:t>0~5</w:t>
            </w:r>
          </w:p>
        </w:tc>
        <w:tc>
          <w:tcPr>
            <w:tcW w:w="572" w:type="pct"/>
            <w:tcBorders>
              <w:top w:val="single" w:color="auto" w:sz="4" w:space="0"/>
              <w:left w:val="nil"/>
              <w:bottom w:val="single" w:color="auto" w:sz="4" w:space="0"/>
              <w:right w:val="single" w:color="auto" w:sz="4" w:space="0"/>
            </w:tcBorders>
            <w:shd w:val="clear" w:color="auto" w:fill="auto"/>
            <w:noWrap/>
            <w:vAlign w:val="center"/>
          </w:tcPr>
          <w:p w14:paraId="0B5B1E4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b/>
                <w:bCs/>
                <w:color w:val="000000"/>
                <w:kern w:val="0"/>
                <w:sz w:val="21"/>
                <w:szCs w:val="21"/>
                <w:highlight w:val="none"/>
              </w:rPr>
            </w:pPr>
            <w:r>
              <w:rPr>
                <w:rFonts w:hint="default" w:ascii="Times New Roman" w:hAnsi="Times New Roman" w:eastAsia="等线" w:cs="Times New Roman"/>
                <w:b/>
                <w:bCs/>
                <w:color w:val="000000"/>
                <w:kern w:val="0"/>
                <w:sz w:val="21"/>
                <w:szCs w:val="21"/>
                <w:highlight w:val="none"/>
              </w:rPr>
              <w:t>5~10</w:t>
            </w:r>
          </w:p>
        </w:tc>
        <w:tc>
          <w:tcPr>
            <w:tcW w:w="616" w:type="pct"/>
            <w:tcBorders>
              <w:top w:val="single" w:color="auto" w:sz="4" w:space="0"/>
              <w:left w:val="nil"/>
              <w:bottom w:val="single" w:color="auto" w:sz="4" w:space="0"/>
              <w:right w:val="single" w:color="auto" w:sz="4" w:space="0"/>
            </w:tcBorders>
            <w:shd w:val="clear" w:color="auto" w:fill="auto"/>
            <w:noWrap/>
            <w:vAlign w:val="center"/>
          </w:tcPr>
          <w:p w14:paraId="01BDCE4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b/>
                <w:bCs/>
                <w:color w:val="000000"/>
                <w:kern w:val="0"/>
                <w:sz w:val="21"/>
                <w:szCs w:val="21"/>
                <w:highlight w:val="none"/>
              </w:rPr>
            </w:pPr>
            <w:r>
              <w:rPr>
                <w:rFonts w:hint="default" w:ascii="Times New Roman" w:hAnsi="Times New Roman" w:eastAsia="等线" w:cs="Times New Roman"/>
                <w:b/>
                <w:bCs/>
                <w:color w:val="000000"/>
                <w:kern w:val="0"/>
                <w:sz w:val="21"/>
                <w:szCs w:val="21"/>
                <w:highlight w:val="none"/>
              </w:rPr>
              <w:t>10~15</w:t>
            </w:r>
          </w:p>
        </w:tc>
        <w:tc>
          <w:tcPr>
            <w:tcW w:w="617" w:type="pct"/>
            <w:tcBorders>
              <w:top w:val="single" w:color="auto" w:sz="4" w:space="0"/>
              <w:left w:val="nil"/>
              <w:bottom w:val="single" w:color="auto" w:sz="4" w:space="0"/>
              <w:right w:val="single" w:color="auto" w:sz="4" w:space="0"/>
            </w:tcBorders>
            <w:shd w:val="clear" w:color="auto" w:fill="auto"/>
            <w:noWrap/>
            <w:vAlign w:val="center"/>
          </w:tcPr>
          <w:p w14:paraId="337738B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b/>
                <w:bCs/>
                <w:color w:val="000000"/>
                <w:kern w:val="0"/>
                <w:sz w:val="21"/>
                <w:szCs w:val="21"/>
                <w:highlight w:val="none"/>
              </w:rPr>
            </w:pPr>
            <w:r>
              <w:rPr>
                <w:rFonts w:hint="default" w:ascii="Times New Roman" w:hAnsi="Times New Roman" w:eastAsia="等线" w:cs="Times New Roman"/>
                <w:b/>
                <w:bCs/>
                <w:color w:val="000000"/>
                <w:kern w:val="0"/>
                <w:sz w:val="21"/>
                <w:szCs w:val="21"/>
                <w:highlight w:val="none"/>
              </w:rPr>
              <w:t>15~20</w:t>
            </w:r>
          </w:p>
        </w:tc>
        <w:tc>
          <w:tcPr>
            <w:tcW w:w="617" w:type="pct"/>
            <w:tcBorders>
              <w:top w:val="single" w:color="auto" w:sz="4" w:space="0"/>
              <w:left w:val="nil"/>
              <w:bottom w:val="single" w:color="auto" w:sz="4" w:space="0"/>
              <w:right w:val="single" w:color="auto" w:sz="4" w:space="0"/>
            </w:tcBorders>
            <w:shd w:val="clear" w:color="auto" w:fill="auto"/>
            <w:noWrap/>
            <w:vAlign w:val="center"/>
          </w:tcPr>
          <w:p w14:paraId="7732162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b/>
                <w:bCs/>
                <w:color w:val="000000"/>
                <w:kern w:val="0"/>
                <w:sz w:val="21"/>
                <w:szCs w:val="21"/>
                <w:highlight w:val="none"/>
              </w:rPr>
            </w:pPr>
            <w:r>
              <w:rPr>
                <w:rFonts w:hint="default" w:ascii="Times New Roman" w:hAnsi="Times New Roman" w:eastAsia="等线" w:cs="Times New Roman"/>
                <w:b/>
                <w:bCs/>
                <w:color w:val="000000"/>
                <w:kern w:val="0"/>
                <w:sz w:val="21"/>
                <w:szCs w:val="21"/>
                <w:highlight w:val="none"/>
              </w:rPr>
              <w:t>20~</w:t>
            </w:r>
            <w:r>
              <w:rPr>
                <w:rFonts w:hint="default" w:ascii="Times New Roman" w:hAnsi="Times New Roman" w:eastAsia="等线" w:cs="Times New Roman"/>
                <w:b/>
                <w:bCs/>
                <w:color w:val="000000"/>
                <w:kern w:val="0"/>
                <w:sz w:val="21"/>
                <w:szCs w:val="21"/>
                <w:highlight w:val="none"/>
                <w:lang w:val="en-US" w:eastAsia="zh-CN"/>
              </w:rPr>
              <w:t>4</w:t>
            </w:r>
            <w:r>
              <w:rPr>
                <w:rFonts w:hint="default" w:ascii="Times New Roman" w:hAnsi="Times New Roman" w:eastAsia="等线" w:cs="Times New Roman"/>
                <w:b/>
                <w:bCs/>
                <w:color w:val="000000"/>
                <w:kern w:val="0"/>
                <w:sz w:val="21"/>
                <w:szCs w:val="21"/>
                <w:highlight w:val="none"/>
              </w:rPr>
              <w:t>0</w:t>
            </w:r>
          </w:p>
        </w:tc>
        <w:tc>
          <w:tcPr>
            <w:tcW w:w="617" w:type="pct"/>
            <w:tcBorders>
              <w:top w:val="single" w:color="auto" w:sz="4" w:space="0"/>
              <w:left w:val="nil"/>
              <w:bottom w:val="single" w:color="auto" w:sz="4" w:space="0"/>
              <w:right w:val="single" w:color="auto" w:sz="4" w:space="0"/>
            </w:tcBorders>
            <w:shd w:val="clear" w:color="auto" w:fill="auto"/>
            <w:noWrap/>
            <w:vAlign w:val="center"/>
          </w:tcPr>
          <w:p w14:paraId="5EB9493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b/>
                <w:bCs/>
                <w:color w:val="000000"/>
                <w:kern w:val="0"/>
                <w:sz w:val="21"/>
                <w:szCs w:val="21"/>
                <w:highlight w:val="none"/>
                <w:lang w:val="en-US" w:eastAsia="zh-CN"/>
              </w:rPr>
            </w:pPr>
            <w:r>
              <w:rPr>
                <w:rFonts w:hint="default" w:ascii="Times New Roman" w:hAnsi="Times New Roman" w:eastAsia="等线" w:cs="Times New Roman"/>
                <w:b/>
                <w:bCs/>
                <w:color w:val="000000"/>
                <w:kern w:val="0"/>
                <w:sz w:val="21"/>
                <w:szCs w:val="21"/>
                <w:highlight w:val="none"/>
                <w:lang w:val="en-US" w:eastAsia="zh-CN"/>
              </w:rPr>
              <w:t>40~60</w:t>
            </w:r>
          </w:p>
        </w:tc>
      </w:tr>
      <w:tr w14:paraId="004A91E0">
        <w:tblPrEx>
          <w:tblCellMar>
            <w:top w:w="0" w:type="dxa"/>
            <w:left w:w="108" w:type="dxa"/>
            <w:bottom w:w="0" w:type="dxa"/>
            <w:right w:w="108" w:type="dxa"/>
          </w:tblCellMar>
        </w:tblPrEx>
        <w:trPr>
          <w:trHeight w:val="300" w:hRule="atLeast"/>
          <w:jc w:val="center"/>
        </w:trPr>
        <w:tc>
          <w:tcPr>
            <w:tcW w:w="1385" w:type="pct"/>
            <w:tcBorders>
              <w:top w:val="nil"/>
              <w:left w:val="single" w:color="auto" w:sz="4" w:space="0"/>
              <w:bottom w:val="single" w:color="auto" w:sz="4" w:space="0"/>
              <w:right w:val="single" w:color="auto" w:sz="4" w:space="0"/>
            </w:tcBorders>
            <w:shd w:val="clear" w:color="auto" w:fill="auto"/>
            <w:noWrap/>
            <w:vAlign w:val="center"/>
          </w:tcPr>
          <w:p w14:paraId="31BCB70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排气筒数量（个）</w:t>
            </w:r>
          </w:p>
        </w:tc>
        <w:tc>
          <w:tcPr>
            <w:tcW w:w="920" w:type="dxa"/>
            <w:tcBorders>
              <w:top w:val="nil"/>
              <w:left w:val="nil"/>
              <w:bottom w:val="single" w:color="auto" w:sz="4" w:space="0"/>
              <w:right w:val="single" w:color="auto" w:sz="4" w:space="0"/>
            </w:tcBorders>
            <w:shd w:val="clear" w:color="auto" w:fill="auto"/>
            <w:noWrap/>
            <w:vAlign w:val="center"/>
          </w:tcPr>
          <w:p w14:paraId="4714FB3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152</w:t>
            </w:r>
          </w:p>
        </w:tc>
        <w:tc>
          <w:tcPr>
            <w:tcW w:w="920" w:type="dxa"/>
            <w:tcBorders>
              <w:top w:val="nil"/>
              <w:left w:val="nil"/>
              <w:bottom w:val="single" w:color="auto" w:sz="4" w:space="0"/>
              <w:right w:val="single" w:color="auto" w:sz="4" w:space="0"/>
            </w:tcBorders>
            <w:shd w:val="clear" w:color="auto" w:fill="auto"/>
            <w:noWrap/>
            <w:vAlign w:val="center"/>
          </w:tcPr>
          <w:p w14:paraId="325FB79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34</w:t>
            </w:r>
          </w:p>
        </w:tc>
        <w:tc>
          <w:tcPr>
            <w:tcW w:w="996" w:type="dxa"/>
            <w:tcBorders>
              <w:top w:val="nil"/>
              <w:left w:val="nil"/>
              <w:bottom w:val="single" w:color="auto" w:sz="4" w:space="0"/>
              <w:right w:val="single" w:color="auto" w:sz="4" w:space="0"/>
            </w:tcBorders>
            <w:shd w:val="clear" w:color="auto" w:fill="auto"/>
            <w:noWrap/>
            <w:vAlign w:val="center"/>
          </w:tcPr>
          <w:p w14:paraId="0C7BDEB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14</w:t>
            </w:r>
          </w:p>
        </w:tc>
        <w:tc>
          <w:tcPr>
            <w:tcW w:w="998" w:type="dxa"/>
            <w:tcBorders>
              <w:top w:val="nil"/>
              <w:left w:val="nil"/>
              <w:bottom w:val="single" w:color="auto" w:sz="4" w:space="0"/>
              <w:right w:val="single" w:color="auto" w:sz="4" w:space="0"/>
            </w:tcBorders>
            <w:shd w:val="clear" w:color="auto" w:fill="auto"/>
            <w:noWrap/>
            <w:vAlign w:val="center"/>
          </w:tcPr>
          <w:p w14:paraId="1EC5191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11</w:t>
            </w:r>
          </w:p>
        </w:tc>
        <w:tc>
          <w:tcPr>
            <w:tcW w:w="998" w:type="dxa"/>
            <w:tcBorders>
              <w:top w:val="nil"/>
              <w:left w:val="nil"/>
              <w:bottom w:val="single" w:color="auto" w:sz="4" w:space="0"/>
              <w:right w:val="single" w:color="auto" w:sz="4" w:space="0"/>
            </w:tcBorders>
            <w:shd w:val="clear" w:color="auto" w:fill="auto"/>
            <w:noWrap/>
            <w:vAlign w:val="center"/>
          </w:tcPr>
          <w:p w14:paraId="3BC740B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7</w:t>
            </w:r>
          </w:p>
        </w:tc>
        <w:tc>
          <w:tcPr>
            <w:tcW w:w="998" w:type="dxa"/>
            <w:tcBorders>
              <w:top w:val="nil"/>
              <w:left w:val="nil"/>
              <w:bottom w:val="single" w:color="auto" w:sz="4" w:space="0"/>
              <w:right w:val="single" w:color="auto" w:sz="4" w:space="0"/>
            </w:tcBorders>
            <w:shd w:val="clear" w:color="auto" w:fill="auto"/>
            <w:noWrap/>
            <w:vAlign w:val="center"/>
          </w:tcPr>
          <w:p w14:paraId="2E09F85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2</w:t>
            </w:r>
          </w:p>
        </w:tc>
      </w:tr>
      <w:tr w14:paraId="076C90B1">
        <w:tblPrEx>
          <w:tblCellMar>
            <w:top w:w="0" w:type="dxa"/>
            <w:left w:w="108" w:type="dxa"/>
            <w:bottom w:w="0" w:type="dxa"/>
            <w:right w:w="108" w:type="dxa"/>
          </w:tblCellMar>
        </w:tblPrEx>
        <w:trPr>
          <w:trHeight w:val="322" w:hRule="atLeast"/>
          <w:jc w:val="center"/>
        </w:trPr>
        <w:tc>
          <w:tcPr>
            <w:tcW w:w="1385" w:type="pct"/>
            <w:tcBorders>
              <w:top w:val="nil"/>
              <w:left w:val="single" w:color="auto" w:sz="4" w:space="0"/>
              <w:bottom w:val="single" w:color="auto" w:sz="4" w:space="0"/>
              <w:right w:val="single" w:color="auto" w:sz="4" w:space="0"/>
            </w:tcBorders>
            <w:shd w:val="clear" w:color="auto" w:fill="auto"/>
            <w:noWrap/>
            <w:vAlign w:val="center"/>
          </w:tcPr>
          <w:p w14:paraId="1F1235A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占比（%）</w:t>
            </w:r>
          </w:p>
        </w:tc>
        <w:tc>
          <w:tcPr>
            <w:tcW w:w="920" w:type="dxa"/>
            <w:tcBorders>
              <w:top w:val="nil"/>
              <w:left w:val="nil"/>
              <w:bottom w:val="single" w:color="auto" w:sz="4" w:space="0"/>
              <w:right w:val="single" w:color="auto" w:sz="4" w:space="0"/>
            </w:tcBorders>
            <w:shd w:val="clear" w:color="auto" w:fill="auto"/>
            <w:noWrap/>
            <w:vAlign w:val="center"/>
          </w:tcPr>
          <w:p w14:paraId="41FFF18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69%</w:t>
            </w:r>
          </w:p>
        </w:tc>
        <w:tc>
          <w:tcPr>
            <w:tcW w:w="920" w:type="dxa"/>
            <w:tcBorders>
              <w:top w:val="nil"/>
              <w:left w:val="nil"/>
              <w:bottom w:val="single" w:color="auto" w:sz="4" w:space="0"/>
              <w:right w:val="single" w:color="auto" w:sz="4" w:space="0"/>
            </w:tcBorders>
            <w:shd w:val="clear" w:color="auto" w:fill="auto"/>
            <w:noWrap/>
            <w:vAlign w:val="center"/>
          </w:tcPr>
          <w:p w14:paraId="303795C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15%</w:t>
            </w:r>
          </w:p>
        </w:tc>
        <w:tc>
          <w:tcPr>
            <w:tcW w:w="996" w:type="dxa"/>
            <w:tcBorders>
              <w:top w:val="nil"/>
              <w:left w:val="nil"/>
              <w:bottom w:val="single" w:color="auto" w:sz="4" w:space="0"/>
              <w:right w:val="single" w:color="auto" w:sz="4" w:space="0"/>
            </w:tcBorders>
            <w:shd w:val="clear" w:color="auto" w:fill="auto"/>
            <w:noWrap/>
            <w:vAlign w:val="center"/>
          </w:tcPr>
          <w:p w14:paraId="20D204E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6%</w:t>
            </w:r>
          </w:p>
        </w:tc>
        <w:tc>
          <w:tcPr>
            <w:tcW w:w="998" w:type="dxa"/>
            <w:tcBorders>
              <w:top w:val="nil"/>
              <w:left w:val="nil"/>
              <w:bottom w:val="single" w:color="auto" w:sz="4" w:space="0"/>
              <w:right w:val="single" w:color="auto" w:sz="4" w:space="0"/>
            </w:tcBorders>
            <w:shd w:val="clear" w:color="auto" w:fill="auto"/>
            <w:noWrap/>
            <w:vAlign w:val="center"/>
          </w:tcPr>
          <w:p w14:paraId="1DBA66C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5%</w:t>
            </w:r>
          </w:p>
        </w:tc>
        <w:tc>
          <w:tcPr>
            <w:tcW w:w="998" w:type="dxa"/>
            <w:tcBorders>
              <w:top w:val="nil"/>
              <w:left w:val="nil"/>
              <w:bottom w:val="single" w:color="auto" w:sz="4" w:space="0"/>
              <w:right w:val="single" w:color="auto" w:sz="4" w:space="0"/>
            </w:tcBorders>
            <w:shd w:val="clear" w:color="auto" w:fill="auto"/>
            <w:noWrap/>
            <w:vAlign w:val="center"/>
          </w:tcPr>
          <w:p w14:paraId="3516FDB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3%</w:t>
            </w:r>
          </w:p>
        </w:tc>
        <w:tc>
          <w:tcPr>
            <w:tcW w:w="998" w:type="dxa"/>
            <w:tcBorders>
              <w:top w:val="nil"/>
              <w:left w:val="nil"/>
              <w:bottom w:val="single" w:color="auto" w:sz="4" w:space="0"/>
              <w:right w:val="single" w:color="auto" w:sz="4" w:space="0"/>
            </w:tcBorders>
            <w:shd w:val="clear" w:color="auto" w:fill="auto"/>
            <w:noWrap/>
            <w:vAlign w:val="center"/>
          </w:tcPr>
          <w:p w14:paraId="6DD7F3C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w:t>
            </w:r>
          </w:p>
        </w:tc>
      </w:tr>
    </w:tbl>
    <w:p w14:paraId="67F9AE68">
      <w:pPr>
        <w:keepNext/>
        <w:keepLines w:val="0"/>
        <w:pageBreakBefore w:val="0"/>
        <w:widowControl w:val="0"/>
        <w:kinsoku/>
        <w:wordWrap/>
        <w:autoSpaceDE/>
        <w:autoSpaceDN/>
        <w:bidi w:val="0"/>
        <w:spacing w:line="360" w:lineRule="auto"/>
        <w:ind w:firstLine="482" w:firstLineChars="200"/>
        <w:rPr>
          <w:rFonts w:hint="default" w:ascii="Times New Roman" w:hAnsi="Times New Roman" w:eastAsia="宋体" w:cs="Times New Roman"/>
          <w:b/>
          <w:bCs/>
          <w:kern w:val="0"/>
          <w:sz w:val="24"/>
          <w:highlight w:val="none"/>
          <w:lang w:val="en-US" w:eastAsia="zh-CN"/>
        </w:rPr>
      </w:pPr>
      <w:r>
        <w:rPr>
          <w:rFonts w:hint="default" w:ascii="Times New Roman" w:hAnsi="Times New Roman" w:cs="Times New Roman"/>
          <w:b/>
          <w:bCs/>
          <w:kern w:val="0"/>
          <w:sz w:val="24"/>
          <w:highlight w:val="none"/>
          <w:lang w:val="en-US" w:eastAsia="zh-CN"/>
        </w:rPr>
        <w:t>（3）在线监测</w:t>
      </w:r>
    </w:p>
    <w:p w14:paraId="34731DCB">
      <w:pPr>
        <w:keepNext/>
        <w:keepLines w:val="0"/>
        <w:pageBreakBefore w:val="0"/>
        <w:widowControl w:val="0"/>
        <w:kinsoku/>
        <w:wordWrap/>
        <w:autoSpaceDE/>
        <w:autoSpaceDN/>
        <w:bidi w:val="0"/>
        <w:spacing w:line="360" w:lineRule="auto"/>
        <w:ind w:firstLine="480" w:firstLineChars="200"/>
        <w:rPr>
          <w:rFonts w:hint="default" w:ascii="Times New Roman" w:hAnsi="Times New Roman" w:cs="Times New Roman"/>
          <w:color w:val="000000"/>
          <w:kern w:val="0"/>
          <w:sz w:val="24"/>
          <w:highlight w:val="none"/>
        </w:rPr>
      </w:pPr>
      <w:r>
        <w:rPr>
          <w:rFonts w:hint="default" w:ascii="Times New Roman" w:hAnsi="Times New Roman" w:cs="Times New Roman"/>
          <w:sz w:val="24"/>
          <w:highlight w:val="none"/>
        </w:rPr>
        <w:t>同时，我们对收集的企业</w:t>
      </w:r>
      <w:r>
        <w:rPr>
          <w:rFonts w:hint="default" w:ascii="Times New Roman" w:hAnsi="Times New Roman" w:cs="Times New Roman"/>
          <w:sz w:val="24"/>
          <w:highlight w:val="none"/>
          <w:lang w:val="en-US" w:eastAsia="zh-CN"/>
        </w:rPr>
        <w:t>在线</w:t>
      </w:r>
      <w:r>
        <w:rPr>
          <w:rFonts w:hint="default" w:ascii="Times New Roman" w:hAnsi="Times New Roman" w:cs="Times New Roman"/>
          <w:sz w:val="24"/>
          <w:highlight w:val="none"/>
        </w:rPr>
        <w:t>监测的数据进行统计分析，其中有</w:t>
      </w:r>
      <w:r>
        <w:rPr>
          <w:rFonts w:hint="default" w:ascii="Times New Roman" w:hAnsi="Times New Roman" w:cs="Times New Roman"/>
          <w:sz w:val="24"/>
          <w:highlight w:val="none"/>
          <w:lang w:val="en-US" w:eastAsia="zh-CN"/>
        </w:rPr>
        <w:t>29个排气筒</w:t>
      </w:r>
      <w:r>
        <w:rPr>
          <w:rFonts w:hint="default" w:ascii="Times New Roman" w:hAnsi="Times New Roman" w:cs="Times New Roman"/>
          <w:sz w:val="24"/>
          <w:highlight w:val="none"/>
        </w:rPr>
        <w:t>对</w:t>
      </w:r>
      <w:r>
        <w:rPr>
          <w:rFonts w:hint="default" w:ascii="Times New Roman" w:hAnsi="Times New Roman" w:cs="Times New Roman"/>
          <w:sz w:val="24"/>
          <w:highlight w:val="none"/>
          <w:lang w:val="en-US" w:eastAsia="zh-CN"/>
        </w:rPr>
        <w:t>非甲烷总烃</w:t>
      </w:r>
      <w:r>
        <w:rPr>
          <w:rFonts w:hint="default" w:ascii="Times New Roman" w:hAnsi="Times New Roman" w:cs="Times New Roman"/>
          <w:sz w:val="24"/>
          <w:highlight w:val="none"/>
        </w:rPr>
        <w:t>进行监测，</w:t>
      </w:r>
      <w:r>
        <w:rPr>
          <w:rFonts w:hint="default" w:ascii="Times New Roman" w:hAnsi="Times New Roman" w:cs="Times New Roman"/>
          <w:sz w:val="24"/>
          <w:highlight w:val="none"/>
          <w:lang w:val="en-US" w:eastAsia="zh-CN"/>
        </w:rPr>
        <w:t>每个季度选取1天求均值即为排气筒的浓度数据，</w:t>
      </w:r>
      <w:r>
        <w:rPr>
          <w:rFonts w:hint="default" w:ascii="Times New Roman" w:hAnsi="Times New Roman" w:cs="Times New Roman"/>
          <w:sz w:val="24"/>
          <w:highlight w:val="none"/>
        </w:rPr>
        <w:t>浓度范围在0.</w:t>
      </w:r>
      <w:r>
        <w:rPr>
          <w:rFonts w:hint="default" w:ascii="Times New Roman" w:hAnsi="Times New Roman" w:cs="Times New Roman"/>
          <w:sz w:val="24"/>
          <w:highlight w:val="none"/>
          <w:lang w:val="en-US" w:eastAsia="zh-CN"/>
        </w:rPr>
        <w:t>2</w:t>
      </w:r>
      <w:r>
        <w:rPr>
          <w:rFonts w:hint="default" w:ascii="Times New Roman" w:hAnsi="Times New Roman" w:cs="Times New Roman"/>
          <w:sz w:val="24"/>
          <w:highlight w:val="none"/>
        </w:rPr>
        <w:t>~</w:t>
      </w:r>
      <w:r>
        <w:rPr>
          <w:rFonts w:hint="default" w:ascii="Times New Roman" w:hAnsi="Times New Roman" w:cs="Times New Roman"/>
          <w:sz w:val="24"/>
          <w:highlight w:val="none"/>
          <w:lang w:val="en-US" w:eastAsia="zh-CN"/>
        </w:rPr>
        <w:t>26.2</w:t>
      </w:r>
      <w:r>
        <w:rPr>
          <w:rFonts w:hint="eastAsia" w:cs="Times New Roman"/>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sz w:val="24"/>
          <w:highlight w:val="none"/>
        </w:rPr>
        <w:t>均低于《四川省固定源大气挥发性有机物排放标准》（DB51/2377</w:t>
      </w:r>
      <w:r>
        <w:rPr>
          <w:rFonts w:hint="eastAsia" w:ascii="Times New Roman" w:hAnsi="Times New Roman" w:cs="Times New Roman"/>
          <w:sz w:val="24"/>
          <w:highlight w:val="none"/>
          <w:lang w:eastAsia="zh-CN"/>
        </w:rPr>
        <w:t>—</w:t>
      </w:r>
      <w:r>
        <w:rPr>
          <w:rFonts w:hint="default" w:ascii="Times New Roman" w:hAnsi="Times New Roman" w:cs="Times New Roman"/>
          <w:sz w:val="24"/>
          <w:highlight w:val="none"/>
        </w:rPr>
        <w:t>20</w:t>
      </w:r>
      <w:r>
        <w:rPr>
          <w:rFonts w:hint="default" w:ascii="Times New Roman" w:hAnsi="Times New Roman" w:cs="Times New Roman"/>
          <w:sz w:val="24"/>
          <w:highlight w:val="none"/>
          <w:lang w:val="en-US" w:eastAsia="zh-CN"/>
        </w:rPr>
        <w:t>17</w:t>
      </w:r>
      <w:r>
        <w:rPr>
          <w:rFonts w:hint="default" w:ascii="Times New Roman" w:hAnsi="Times New Roman" w:cs="Times New Roman"/>
          <w:sz w:val="24"/>
          <w:highlight w:val="none"/>
        </w:rPr>
        <w:t>）表</w:t>
      </w:r>
      <w:r>
        <w:rPr>
          <w:rFonts w:hint="default" w:ascii="Times New Roman" w:hAnsi="Times New Roman" w:cs="Times New Roman"/>
          <w:sz w:val="24"/>
          <w:highlight w:val="none"/>
          <w:lang w:val="en-US" w:eastAsia="zh-CN"/>
        </w:rPr>
        <w:t>3</w:t>
      </w:r>
      <w:r>
        <w:rPr>
          <w:rFonts w:hint="default" w:ascii="Times New Roman" w:hAnsi="Times New Roman" w:cs="Times New Roman"/>
          <w:sz w:val="24"/>
          <w:highlight w:val="none"/>
        </w:rPr>
        <w:t>中表面涂装排放标准要求</w:t>
      </w:r>
      <w:r>
        <w:rPr>
          <w:rFonts w:hint="default" w:ascii="Times New Roman" w:hAnsi="Times New Roman" w:cs="Times New Roman"/>
          <w:sz w:val="24"/>
          <w:highlight w:val="none"/>
          <w:lang w:val="en-US" w:eastAsia="zh-CN"/>
        </w:rPr>
        <w:t>60</w:t>
      </w:r>
      <w:r>
        <w:rPr>
          <w:rFonts w:hint="eastAsia" w:cs="Times New Roman"/>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val="en-US" w:eastAsia="zh-CN"/>
        </w:rPr>
        <w:t>2</w:t>
      </w:r>
      <w:r>
        <w:rPr>
          <w:rFonts w:hint="default" w:ascii="Times New Roman" w:hAnsi="Times New Roman" w:cs="Times New Roman"/>
          <w:color w:val="000000"/>
          <w:kern w:val="0"/>
          <w:sz w:val="24"/>
          <w:highlight w:val="none"/>
        </w:rPr>
        <w:t>个排气筒浓度超过</w:t>
      </w:r>
      <w:r>
        <w:rPr>
          <w:rFonts w:hint="default" w:ascii="Times New Roman" w:hAnsi="Times New Roman" w:cs="Times New Roman"/>
          <w:color w:val="000000"/>
          <w:kern w:val="0"/>
          <w:sz w:val="24"/>
          <w:highlight w:val="none"/>
          <w:lang w:val="en-US" w:eastAsia="zh-CN"/>
        </w:rPr>
        <w:t>2</w:t>
      </w:r>
      <w:r>
        <w:rPr>
          <w:rFonts w:hint="default" w:ascii="Times New Roman" w:hAnsi="Times New Roman" w:cs="Times New Roman"/>
          <w:color w:val="000000"/>
          <w:kern w:val="0"/>
          <w:sz w:val="24"/>
          <w:highlight w:val="none"/>
        </w:rPr>
        <w:t>0</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，实测浓度</w:t>
      </w:r>
      <w:r>
        <w:rPr>
          <w:rFonts w:hint="default" w:ascii="Times New Roman" w:hAnsi="Times New Roman" w:cs="Times New Roman"/>
          <w:color w:val="000000"/>
          <w:kern w:val="0"/>
          <w:sz w:val="24"/>
          <w:highlight w:val="none"/>
          <w:lang w:val="en-US" w:eastAsia="zh-CN"/>
        </w:rPr>
        <w:t>分别</w:t>
      </w:r>
      <w:r>
        <w:rPr>
          <w:rFonts w:hint="default" w:ascii="Times New Roman" w:hAnsi="Times New Roman" w:cs="Times New Roman"/>
          <w:color w:val="000000"/>
          <w:kern w:val="0"/>
          <w:sz w:val="24"/>
          <w:highlight w:val="none"/>
        </w:rPr>
        <w:t>为</w:t>
      </w:r>
      <w:r>
        <w:rPr>
          <w:rFonts w:hint="default" w:ascii="Times New Roman" w:hAnsi="Times New Roman" w:cs="Times New Roman"/>
          <w:color w:val="000000"/>
          <w:kern w:val="0"/>
          <w:sz w:val="24"/>
          <w:highlight w:val="none"/>
          <w:lang w:val="en-US" w:eastAsia="zh-CN"/>
        </w:rPr>
        <w:t>22.7</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lang w:val="en-US" w:eastAsia="zh-CN"/>
        </w:rPr>
        <w:t>26.2</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val="en-US" w:eastAsia="zh-CN"/>
        </w:rPr>
        <w:t>均</w:t>
      </w:r>
      <w:r>
        <w:rPr>
          <w:rFonts w:hint="default" w:ascii="Times New Roman" w:hAnsi="Times New Roman" w:cs="Times New Roman"/>
          <w:color w:val="000000"/>
          <w:kern w:val="0"/>
          <w:sz w:val="24"/>
          <w:highlight w:val="none"/>
        </w:rPr>
        <w:t>为</w:t>
      </w:r>
      <w:r>
        <w:rPr>
          <w:rFonts w:hint="default" w:ascii="Times New Roman" w:hAnsi="Times New Roman" w:cs="Times New Roman"/>
          <w:color w:val="000000"/>
          <w:kern w:val="0"/>
          <w:sz w:val="24"/>
          <w:highlight w:val="none"/>
          <w:lang w:val="en-US" w:eastAsia="zh-CN"/>
        </w:rPr>
        <w:t>二</w:t>
      </w:r>
      <w:r>
        <w:rPr>
          <w:rFonts w:hint="default" w:ascii="Times New Roman" w:hAnsi="Times New Roman" w:cs="Times New Roman"/>
          <w:color w:val="000000"/>
          <w:kern w:val="0"/>
          <w:sz w:val="24"/>
          <w:highlight w:val="none"/>
        </w:rPr>
        <w:t>类汽车维修，治理设施</w:t>
      </w:r>
      <w:r>
        <w:rPr>
          <w:rFonts w:hint="default" w:ascii="Times New Roman" w:hAnsi="Times New Roman" w:cs="Times New Roman"/>
          <w:color w:val="000000"/>
          <w:kern w:val="0"/>
          <w:sz w:val="24"/>
          <w:highlight w:val="none"/>
          <w:lang w:val="en-US" w:eastAsia="zh-CN"/>
        </w:rPr>
        <w:t>均为催化燃烧</w:t>
      </w:r>
      <w:r>
        <w:rPr>
          <w:rFonts w:hint="default" w:ascii="Times New Roman" w:hAnsi="Times New Roman" w:cs="Times New Roman"/>
          <w:color w:val="000000"/>
          <w:kern w:val="0"/>
          <w:sz w:val="24"/>
          <w:highlight w:val="none"/>
        </w:rPr>
        <w:t>。</w:t>
      </w:r>
    </w:p>
    <w:p w14:paraId="2F74D338">
      <w:pPr>
        <w:keepNext/>
        <w:keepLines w:val="0"/>
        <w:pageBreakBefore w:val="0"/>
        <w:widowControl w:val="0"/>
        <w:kinsoku/>
        <w:wordWrap/>
        <w:autoSpaceDE/>
        <w:autoSpaceDN/>
        <w:bidi w:val="0"/>
        <w:spacing w:line="360" w:lineRule="auto"/>
        <w:ind w:firstLine="480" w:firstLineChars="200"/>
        <w:rPr>
          <w:rFonts w:hint="default" w:ascii="Times New Roman" w:hAnsi="Times New Roman" w:cs="Times New Roman"/>
          <w:color w:val="000000"/>
          <w:kern w:val="0"/>
          <w:sz w:val="24"/>
          <w:highlight w:val="none"/>
        </w:rPr>
      </w:pPr>
      <w:r>
        <w:rPr>
          <w:rFonts w:hint="eastAsia" w:ascii="Times New Roman" w:hAnsi="Times New Roman" w:cs="Times New Roman"/>
          <w:color w:val="000000"/>
          <w:kern w:val="0"/>
          <w:sz w:val="24"/>
          <w:highlight w:val="none"/>
          <w:lang w:val="en-US" w:eastAsia="zh-CN"/>
        </w:rPr>
        <w:t>非甲烷总烃</w:t>
      </w:r>
      <w:r>
        <w:rPr>
          <w:rFonts w:hint="default" w:ascii="Times New Roman" w:hAnsi="Times New Roman" w:cs="Times New Roman"/>
          <w:color w:val="000000"/>
          <w:kern w:val="0"/>
          <w:sz w:val="24"/>
          <w:highlight w:val="none"/>
          <w:lang w:val="en-US" w:eastAsia="zh-CN"/>
        </w:rPr>
        <w:t>平均浓度</w:t>
      </w:r>
      <w:r>
        <w:rPr>
          <w:rFonts w:hint="default" w:ascii="Times New Roman" w:hAnsi="Times New Roman" w:cs="Times New Roman"/>
          <w:color w:val="000000"/>
          <w:kern w:val="0"/>
          <w:sz w:val="24"/>
          <w:highlight w:val="none"/>
        </w:rPr>
        <w:t>为</w:t>
      </w:r>
      <w:r>
        <w:rPr>
          <w:rFonts w:hint="default" w:ascii="Times New Roman" w:hAnsi="Times New Roman" w:cs="Times New Roman"/>
          <w:color w:val="000000"/>
          <w:kern w:val="0"/>
          <w:sz w:val="24"/>
          <w:highlight w:val="none"/>
          <w:lang w:val="en-US" w:eastAsia="zh-CN"/>
        </w:rPr>
        <w:t>5.2</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val="en-US" w:eastAsia="zh-CN"/>
        </w:rPr>
        <w:t>6.1</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w:t>
      </w:r>
      <w:r>
        <w:rPr>
          <w:rFonts w:hint="default" w:ascii="Times New Roman" w:hAnsi="Times New Roman" w:cs="Times New Roman"/>
          <w:kern w:val="0"/>
          <w:sz w:val="24"/>
          <w:highlight w:val="none"/>
          <w:lang w:val="en-US" w:eastAsia="zh-CN"/>
        </w:rPr>
        <w:t>浓度主要分布</w:t>
      </w:r>
      <w:r>
        <w:rPr>
          <w:rFonts w:hint="default" w:ascii="Times New Roman" w:hAnsi="Times New Roman" w:cs="Times New Roman"/>
          <w:color w:val="000000"/>
          <w:kern w:val="0"/>
          <w:sz w:val="24"/>
          <w:highlight w:val="none"/>
          <w:lang w:val="en-US" w:eastAsia="zh-CN"/>
        </w:rPr>
        <w:t>在</w:t>
      </w:r>
      <w:r>
        <w:rPr>
          <w:rFonts w:hint="default" w:ascii="Times New Roman" w:hAnsi="Times New Roman" w:eastAsia="等线" w:cs="Times New Roman"/>
          <w:color w:val="000000"/>
          <w:kern w:val="0"/>
          <w:sz w:val="24"/>
          <w:highlight w:val="none"/>
        </w:rPr>
        <w:t>0~5</w:t>
      </w:r>
      <w:r>
        <w:rPr>
          <w:rFonts w:hint="default" w:ascii="Times New Roman" w:hAnsi="Times New Roman" w:cs="Times New Roman"/>
          <w:color w:val="000000"/>
          <w:kern w:val="0"/>
          <w:sz w:val="24"/>
          <w:highlight w:val="none"/>
        </w:rPr>
        <w:t xml:space="preserve"> 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rPr>
        <w:t>占比</w:t>
      </w:r>
      <w:r>
        <w:rPr>
          <w:rFonts w:hint="default" w:ascii="Times New Roman" w:hAnsi="Times New Roman" w:cs="Times New Roman"/>
          <w:color w:val="000000"/>
          <w:kern w:val="0"/>
          <w:sz w:val="24"/>
          <w:highlight w:val="none"/>
          <w:lang w:val="en-US" w:eastAsia="zh-CN"/>
        </w:rPr>
        <w:t>72</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rPr>
        <w:t>5~10 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之间占比1</w:t>
      </w:r>
      <w:r>
        <w:rPr>
          <w:rFonts w:hint="default" w:ascii="Times New Roman" w:hAnsi="Times New Roman" w:cs="Times New Roman"/>
          <w:color w:val="000000"/>
          <w:kern w:val="0"/>
          <w:sz w:val="24"/>
          <w:highlight w:val="none"/>
          <w:lang w:val="en-US" w:eastAsia="zh-CN"/>
        </w:rPr>
        <w:t>7</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eastAsia="zh-CN"/>
        </w:rPr>
        <w:t>，</w:t>
      </w:r>
      <w:r>
        <w:rPr>
          <w:rFonts w:hint="default" w:ascii="Times New Roman" w:hAnsi="Times New Roman" w:eastAsia="等线" w:cs="Times New Roman"/>
          <w:color w:val="000000"/>
          <w:kern w:val="0"/>
          <w:sz w:val="24"/>
          <w:highlight w:val="none"/>
        </w:rPr>
        <w:t>15~20</w:t>
      </w:r>
      <w:r>
        <w:rPr>
          <w:rFonts w:hint="eastAsia" w:eastAsia="等线"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之间占比</w:t>
      </w:r>
      <w:r>
        <w:rPr>
          <w:rFonts w:hint="default" w:ascii="Times New Roman" w:hAnsi="Times New Roman" w:cs="Times New Roman"/>
          <w:color w:val="000000"/>
          <w:kern w:val="0"/>
          <w:sz w:val="24"/>
          <w:highlight w:val="none"/>
          <w:lang w:val="en-US" w:eastAsia="zh-CN"/>
        </w:rPr>
        <w:t>3</w:t>
      </w:r>
      <w:r>
        <w:rPr>
          <w:rFonts w:hint="default" w:ascii="Times New Roman" w:hAnsi="Times New Roman" w:cs="Times New Roman"/>
          <w:color w:val="000000"/>
          <w:kern w:val="0"/>
          <w:sz w:val="24"/>
          <w:highlight w:val="none"/>
        </w:rPr>
        <w:t>%，</w:t>
      </w:r>
      <w:r>
        <w:rPr>
          <w:rFonts w:hint="default" w:ascii="Times New Roman" w:hAnsi="Times New Roman" w:eastAsia="等线" w:cs="Times New Roman"/>
          <w:color w:val="000000"/>
          <w:kern w:val="0"/>
          <w:sz w:val="24"/>
          <w:highlight w:val="none"/>
          <w:lang w:val="en-US" w:eastAsia="zh-CN"/>
        </w:rPr>
        <w:t>20</w:t>
      </w:r>
      <w:r>
        <w:rPr>
          <w:rFonts w:hint="default" w:ascii="Times New Roman" w:hAnsi="Times New Roman" w:eastAsia="等线" w:cs="Times New Roman"/>
          <w:color w:val="000000"/>
          <w:kern w:val="0"/>
          <w:sz w:val="24"/>
          <w:highlight w:val="none"/>
        </w:rPr>
        <w:t>~</w:t>
      </w:r>
      <w:r>
        <w:rPr>
          <w:rFonts w:hint="default" w:ascii="Times New Roman" w:hAnsi="Times New Roman" w:eastAsia="等线" w:cs="Times New Roman"/>
          <w:color w:val="000000"/>
          <w:kern w:val="0"/>
          <w:sz w:val="24"/>
          <w:highlight w:val="none"/>
          <w:lang w:val="en-US" w:eastAsia="zh-CN"/>
        </w:rPr>
        <w:t>40</w:t>
      </w:r>
      <w:r>
        <w:rPr>
          <w:rFonts w:hint="eastAsia" w:eastAsia="等线"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之间占比</w:t>
      </w:r>
      <w:r>
        <w:rPr>
          <w:rFonts w:hint="default" w:ascii="Times New Roman" w:hAnsi="Times New Roman" w:cs="Times New Roman"/>
          <w:color w:val="000000"/>
          <w:kern w:val="0"/>
          <w:sz w:val="24"/>
          <w:highlight w:val="none"/>
          <w:lang w:val="en-US" w:eastAsia="zh-CN"/>
        </w:rPr>
        <w:t>7</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eastAsia="zh-CN"/>
        </w:rPr>
        <w:t>。</w:t>
      </w:r>
    </w:p>
    <w:p w14:paraId="05232450">
      <w:pPr>
        <w:keepNext/>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kern w:val="0"/>
          <w:szCs w:val="21"/>
          <w:highlight w:val="none"/>
        </w:rPr>
      </w:pPr>
      <w:r>
        <w:rPr>
          <w:rFonts w:hint="eastAsia" w:cs="Times New Roman"/>
          <w:kern w:val="0"/>
          <w:szCs w:val="21"/>
          <w:highlight w:val="none"/>
          <w:lang w:val="en-US" w:eastAsia="zh-CN"/>
        </w:rPr>
        <w:t>表7.5</w:t>
      </w:r>
      <w:r>
        <w:rPr>
          <w:rFonts w:hint="default" w:ascii="Times New Roman" w:hAnsi="Times New Roman" w:cs="Times New Roman"/>
          <w:kern w:val="0"/>
          <w:szCs w:val="21"/>
          <w:highlight w:val="none"/>
        </w:rPr>
        <w:t>-</w:t>
      </w:r>
      <w:r>
        <w:rPr>
          <w:rFonts w:hint="eastAsia" w:cs="Times New Roman"/>
          <w:kern w:val="0"/>
          <w:szCs w:val="21"/>
          <w:highlight w:val="none"/>
          <w:lang w:val="en-US" w:eastAsia="zh-CN"/>
        </w:rPr>
        <w:t>10</w:t>
      </w:r>
      <w:r>
        <w:rPr>
          <w:rFonts w:hint="default" w:ascii="Times New Roman" w:hAnsi="Times New Roman" w:cs="Times New Roman"/>
          <w:kern w:val="0"/>
          <w:szCs w:val="21"/>
          <w:highlight w:val="none"/>
        </w:rPr>
        <w:t xml:space="preserve"> 企业</w:t>
      </w:r>
      <w:r>
        <w:rPr>
          <w:rFonts w:hint="default" w:ascii="Times New Roman" w:hAnsi="Times New Roman" w:cs="Times New Roman"/>
          <w:kern w:val="0"/>
          <w:szCs w:val="21"/>
          <w:highlight w:val="none"/>
          <w:lang w:val="en-US" w:eastAsia="zh-CN"/>
        </w:rPr>
        <w:t>在线</w:t>
      </w:r>
      <w:r>
        <w:rPr>
          <w:rFonts w:hint="default" w:ascii="Times New Roman" w:hAnsi="Times New Roman" w:cs="Times New Roman"/>
          <w:kern w:val="0"/>
          <w:szCs w:val="21"/>
          <w:highlight w:val="none"/>
        </w:rPr>
        <w:t>监测有组织废气非甲烷总烃的排放浓度情况</w:t>
      </w:r>
    </w:p>
    <w:tbl>
      <w:tblPr>
        <w:tblStyle w:val="21"/>
        <w:tblW w:w="4998" w:type="pct"/>
        <w:jc w:val="center"/>
        <w:tblLayout w:type="autofit"/>
        <w:tblCellMar>
          <w:top w:w="0" w:type="dxa"/>
          <w:left w:w="108" w:type="dxa"/>
          <w:bottom w:w="0" w:type="dxa"/>
          <w:right w:w="108" w:type="dxa"/>
        </w:tblCellMar>
      </w:tblPr>
      <w:tblGrid>
        <w:gridCol w:w="2695"/>
        <w:gridCol w:w="920"/>
        <w:gridCol w:w="920"/>
        <w:gridCol w:w="996"/>
        <w:gridCol w:w="998"/>
        <w:gridCol w:w="998"/>
        <w:gridCol w:w="998"/>
      </w:tblGrid>
      <w:tr w14:paraId="3D4FD0E7">
        <w:tblPrEx>
          <w:tblCellMar>
            <w:top w:w="0" w:type="dxa"/>
            <w:left w:w="108" w:type="dxa"/>
            <w:bottom w:w="0" w:type="dxa"/>
            <w:right w:w="108" w:type="dxa"/>
          </w:tblCellMar>
        </w:tblPrEx>
        <w:trPr>
          <w:trHeight w:val="300" w:hRule="atLeast"/>
          <w:tblHeader/>
          <w:jc w:val="center"/>
        </w:trPr>
        <w:tc>
          <w:tcPr>
            <w:tcW w:w="1385" w:type="pct"/>
            <w:tcBorders>
              <w:top w:val="single" w:color="auto" w:sz="4" w:space="0"/>
              <w:left w:val="single" w:color="auto" w:sz="4" w:space="0"/>
              <w:bottom w:val="single" w:color="auto" w:sz="4" w:space="0"/>
              <w:right w:val="single" w:color="auto" w:sz="4" w:space="0"/>
            </w:tcBorders>
            <w:shd w:val="clear" w:color="auto" w:fill="auto"/>
            <w:noWrap/>
            <w:vAlign w:val="center"/>
          </w:tcPr>
          <w:p w14:paraId="478E8C3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rPr>
            </w:pPr>
            <w:r>
              <w:rPr>
                <w:rFonts w:hint="default" w:ascii="Times New Roman" w:hAnsi="Times New Roman" w:cs="Times New Roman"/>
                <w:b/>
                <w:bCs/>
                <w:color w:val="000000"/>
                <w:kern w:val="0"/>
                <w:sz w:val="21"/>
                <w:szCs w:val="21"/>
                <w:highlight w:val="none"/>
                <w:lang w:val="en-US" w:eastAsia="zh-CN"/>
              </w:rPr>
              <w:t>非甲烷总烃</w:t>
            </w:r>
            <w:r>
              <w:rPr>
                <w:rFonts w:hint="default" w:ascii="Times New Roman" w:hAnsi="Times New Roman" w:cs="Times New Roman"/>
                <w:b/>
                <w:bCs/>
                <w:color w:val="000000"/>
                <w:kern w:val="0"/>
                <w:sz w:val="21"/>
                <w:szCs w:val="21"/>
                <w:highlight w:val="none"/>
              </w:rPr>
              <w:t>浓度（mg/m</w:t>
            </w:r>
            <w:r>
              <w:rPr>
                <w:rFonts w:hint="default" w:ascii="Times New Roman" w:hAnsi="Times New Roman" w:cs="Times New Roman"/>
                <w:b/>
                <w:bCs/>
                <w:color w:val="000000"/>
                <w:kern w:val="0"/>
                <w:sz w:val="21"/>
                <w:szCs w:val="21"/>
                <w:highlight w:val="none"/>
                <w:vertAlign w:val="superscript"/>
              </w:rPr>
              <w:t>3</w:t>
            </w:r>
            <w:r>
              <w:rPr>
                <w:rFonts w:hint="default" w:ascii="Times New Roman" w:hAnsi="Times New Roman" w:cs="Times New Roman"/>
                <w:b/>
                <w:bCs/>
                <w:color w:val="000000"/>
                <w:kern w:val="0"/>
                <w:sz w:val="21"/>
                <w:szCs w:val="21"/>
                <w:highlight w:val="none"/>
              </w:rPr>
              <w:t>）</w:t>
            </w:r>
          </w:p>
        </w:tc>
        <w:tc>
          <w:tcPr>
            <w:tcW w:w="572" w:type="pct"/>
            <w:tcBorders>
              <w:top w:val="single" w:color="auto" w:sz="4" w:space="0"/>
              <w:left w:val="nil"/>
              <w:bottom w:val="single" w:color="auto" w:sz="4" w:space="0"/>
              <w:right w:val="single" w:color="auto" w:sz="4" w:space="0"/>
            </w:tcBorders>
            <w:shd w:val="clear" w:color="auto" w:fill="auto"/>
            <w:noWrap/>
            <w:vAlign w:val="center"/>
          </w:tcPr>
          <w:p w14:paraId="37BD36D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b/>
                <w:bCs/>
                <w:color w:val="000000"/>
                <w:kern w:val="0"/>
                <w:sz w:val="21"/>
                <w:szCs w:val="21"/>
                <w:highlight w:val="none"/>
              </w:rPr>
            </w:pPr>
            <w:r>
              <w:rPr>
                <w:rFonts w:hint="default" w:ascii="Times New Roman" w:hAnsi="Times New Roman" w:eastAsia="等线" w:cs="Times New Roman"/>
                <w:b/>
                <w:bCs/>
                <w:color w:val="000000"/>
                <w:kern w:val="0"/>
                <w:sz w:val="21"/>
                <w:szCs w:val="21"/>
                <w:highlight w:val="none"/>
              </w:rPr>
              <w:t>0~5</w:t>
            </w:r>
          </w:p>
        </w:tc>
        <w:tc>
          <w:tcPr>
            <w:tcW w:w="572" w:type="pct"/>
            <w:tcBorders>
              <w:top w:val="single" w:color="auto" w:sz="4" w:space="0"/>
              <w:left w:val="nil"/>
              <w:bottom w:val="single" w:color="auto" w:sz="4" w:space="0"/>
              <w:right w:val="single" w:color="auto" w:sz="4" w:space="0"/>
            </w:tcBorders>
            <w:shd w:val="clear" w:color="auto" w:fill="auto"/>
            <w:noWrap/>
            <w:vAlign w:val="center"/>
          </w:tcPr>
          <w:p w14:paraId="34038A0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b/>
                <w:bCs/>
                <w:color w:val="000000"/>
                <w:kern w:val="0"/>
                <w:sz w:val="21"/>
                <w:szCs w:val="21"/>
                <w:highlight w:val="none"/>
              </w:rPr>
            </w:pPr>
            <w:r>
              <w:rPr>
                <w:rFonts w:hint="default" w:ascii="Times New Roman" w:hAnsi="Times New Roman" w:eastAsia="等线" w:cs="Times New Roman"/>
                <w:b/>
                <w:bCs/>
                <w:color w:val="000000"/>
                <w:kern w:val="0"/>
                <w:sz w:val="21"/>
                <w:szCs w:val="21"/>
                <w:highlight w:val="none"/>
              </w:rPr>
              <w:t>5~10</w:t>
            </w:r>
          </w:p>
        </w:tc>
        <w:tc>
          <w:tcPr>
            <w:tcW w:w="616" w:type="pct"/>
            <w:tcBorders>
              <w:top w:val="single" w:color="auto" w:sz="4" w:space="0"/>
              <w:left w:val="nil"/>
              <w:bottom w:val="single" w:color="auto" w:sz="4" w:space="0"/>
              <w:right w:val="single" w:color="auto" w:sz="4" w:space="0"/>
            </w:tcBorders>
            <w:shd w:val="clear" w:color="auto" w:fill="auto"/>
            <w:noWrap/>
            <w:vAlign w:val="center"/>
          </w:tcPr>
          <w:p w14:paraId="4F9AB8E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b/>
                <w:bCs/>
                <w:color w:val="000000"/>
                <w:kern w:val="0"/>
                <w:sz w:val="21"/>
                <w:szCs w:val="21"/>
                <w:highlight w:val="none"/>
              </w:rPr>
            </w:pPr>
            <w:r>
              <w:rPr>
                <w:rFonts w:hint="default" w:ascii="Times New Roman" w:hAnsi="Times New Roman" w:eastAsia="等线" w:cs="Times New Roman"/>
                <w:b/>
                <w:bCs/>
                <w:color w:val="000000"/>
                <w:kern w:val="0"/>
                <w:sz w:val="21"/>
                <w:szCs w:val="21"/>
                <w:highlight w:val="none"/>
              </w:rPr>
              <w:t>10~15</w:t>
            </w:r>
          </w:p>
        </w:tc>
        <w:tc>
          <w:tcPr>
            <w:tcW w:w="617" w:type="pct"/>
            <w:tcBorders>
              <w:top w:val="single" w:color="auto" w:sz="4" w:space="0"/>
              <w:left w:val="nil"/>
              <w:bottom w:val="single" w:color="auto" w:sz="4" w:space="0"/>
              <w:right w:val="single" w:color="auto" w:sz="4" w:space="0"/>
            </w:tcBorders>
            <w:shd w:val="clear" w:color="auto" w:fill="auto"/>
            <w:noWrap/>
            <w:vAlign w:val="center"/>
          </w:tcPr>
          <w:p w14:paraId="4788974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b/>
                <w:bCs/>
                <w:color w:val="000000"/>
                <w:kern w:val="0"/>
                <w:sz w:val="21"/>
                <w:szCs w:val="21"/>
                <w:highlight w:val="none"/>
              </w:rPr>
            </w:pPr>
            <w:r>
              <w:rPr>
                <w:rFonts w:hint="default" w:ascii="Times New Roman" w:hAnsi="Times New Roman" w:eastAsia="等线" w:cs="Times New Roman"/>
                <w:b/>
                <w:bCs/>
                <w:color w:val="000000"/>
                <w:kern w:val="0"/>
                <w:sz w:val="21"/>
                <w:szCs w:val="21"/>
                <w:highlight w:val="none"/>
              </w:rPr>
              <w:t>15~20</w:t>
            </w:r>
          </w:p>
        </w:tc>
        <w:tc>
          <w:tcPr>
            <w:tcW w:w="617" w:type="pct"/>
            <w:tcBorders>
              <w:top w:val="single" w:color="auto" w:sz="4" w:space="0"/>
              <w:left w:val="nil"/>
              <w:bottom w:val="single" w:color="auto" w:sz="4" w:space="0"/>
              <w:right w:val="single" w:color="auto" w:sz="4" w:space="0"/>
            </w:tcBorders>
            <w:shd w:val="clear" w:color="auto" w:fill="auto"/>
            <w:noWrap/>
            <w:vAlign w:val="center"/>
          </w:tcPr>
          <w:p w14:paraId="193ED0E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b/>
                <w:bCs/>
                <w:color w:val="000000"/>
                <w:kern w:val="0"/>
                <w:sz w:val="21"/>
                <w:szCs w:val="21"/>
                <w:highlight w:val="none"/>
              </w:rPr>
            </w:pPr>
            <w:r>
              <w:rPr>
                <w:rFonts w:hint="default" w:ascii="Times New Roman" w:hAnsi="Times New Roman" w:eastAsia="等线" w:cs="Times New Roman"/>
                <w:b/>
                <w:bCs/>
                <w:color w:val="000000"/>
                <w:kern w:val="0"/>
                <w:sz w:val="21"/>
                <w:szCs w:val="21"/>
                <w:highlight w:val="none"/>
              </w:rPr>
              <w:t>20~</w:t>
            </w:r>
            <w:r>
              <w:rPr>
                <w:rFonts w:hint="default" w:ascii="Times New Roman" w:hAnsi="Times New Roman" w:eastAsia="等线" w:cs="Times New Roman"/>
                <w:b/>
                <w:bCs/>
                <w:color w:val="000000"/>
                <w:kern w:val="0"/>
                <w:sz w:val="21"/>
                <w:szCs w:val="21"/>
                <w:highlight w:val="none"/>
                <w:lang w:val="en-US" w:eastAsia="zh-CN"/>
              </w:rPr>
              <w:t>4</w:t>
            </w:r>
            <w:r>
              <w:rPr>
                <w:rFonts w:hint="default" w:ascii="Times New Roman" w:hAnsi="Times New Roman" w:eastAsia="等线" w:cs="Times New Roman"/>
                <w:b/>
                <w:bCs/>
                <w:color w:val="000000"/>
                <w:kern w:val="0"/>
                <w:sz w:val="21"/>
                <w:szCs w:val="21"/>
                <w:highlight w:val="none"/>
              </w:rPr>
              <w:t>0</w:t>
            </w:r>
          </w:p>
        </w:tc>
        <w:tc>
          <w:tcPr>
            <w:tcW w:w="617" w:type="pct"/>
            <w:tcBorders>
              <w:top w:val="single" w:color="auto" w:sz="4" w:space="0"/>
              <w:left w:val="nil"/>
              <w:bottom w:val="single" w:color="auto" w:sz="4" w:space="0"/>
              <w:right w:val="single" w:color="auto" w:sz="4" w:space="0"/>
            </w:tcBorders>
            <w:shd w:val="clear" w:color="auto" w:fill="auto"/>
            <w:noWrap/>
            <w:vAlign w:val="center"/>
          </w:tcPr>
          <w:p w14:paraId="420DF1C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b/>
                <w:bCs/>
                <w:color w:val="000000"/>
                <w:kern w:val="0"/>
                <w:sz w:val="21"/>
                <w:szCs w:val="21"/>
                <w:highlight w:val="none"/>
                <w:lang w:val="en-US" w:eastAsia="zh-CN"/>
              </w:rPr>
            </w:pPr>
            <w:r>
              <w:rPr>
                <w:rFonts w:hint="default" w:ascii="Times New Roman" w:hAnsi="Times New Roman" w:eastAsia="等线" w:cs="Times New Roman"/>
                <w:b/>
                <w:bCs/>
                <w:color w:val="000000"/>
                <w:kern w:val="0"/>
                <w:sz w:val="21"/>
                <w:szCs w:val="21"/>
                <w:highlight w:val="none"/>
                <w:lang w:val="en-US" w:eastAsia="zh-CN"/>
              </w:rPr>
              <w:t>40~60</w:t>
            </w:r>
          </w:p>
        </w:tc>
      </w:tr>
      <w:tr w14:paraId="49743A86">
        <w:tblPrEx>
          <w:tblCellMar>
            <w:top w:w="0" w:type="dxa"/>
            <w:left w:w="108" w:type="dxa"/>
            <w:bottom w:w="0" w:type="dxa"/>
            <w:right w:w="108" w:type="dxa"/>
          </w:tblCellMar>
        </w:tblPrEx>
        <w:trPr>
          <w:trHeight w:val="300" w:hRule="atLeast"/>
          <w:jc w:val="center"/>
        </w:trPr>
        <w:tc>
          <w:tcPr>
            <w:tcW w:w="1385" w:type="pct"/>
            <w:tcBorders>
              <w:top w:val="nil"/>
              <w:left w:val="single" w:color="auto" w:sz="4" w:space="0"/>
              <w:bottom w:val="single" w:color="auto" w:sz="4" w:space="0"/>
              <w:right w:val="single" w:color="auto" w:sz="4" w:space="0"/>
            </w:tcBorders>
            <w:shd w:val="clear" w:color="auto" w:fill="auto"/>
            <w:noWrap/>
            <w:vAlign w:val="center"/>
          </w:tcPr>
          <w:p w14:paraId="19D24B6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排气筒数量（个）</w:t>
            </w:r>
          </w:p>
        </w:tc>
        <w:tc>
          <w:tcPr>
            <w:tcW w:w="920" w:type="dxa"/>
            <w:tcBorders>
              <w:top w:val="nil"/>
              <w:left w:val="nil"/>
              <w:bottom w:val="single" w:color="auto" w:sz="4" w:space="0"/>
              <w:right w:val="single" w:color="auto" w:sz="4" w:space="0"/>
            </w:tcBorders>
            <w:shd w:val="clear" w:color="auto" w:fill="auto"/>
            <w:noWrap/>
            <w:vAlign w:val="center"/>
          </w:tcPr>
          <w:p w14:paraId="10C81CB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21</w:t>
            </w:r>
          </w:p>
        </w:tc>
        <w:tc>
          <w:tcPr>
            <w:tcW w:w="920" w:type="dxa"/>
            <w:tcBorders>
              <w:top w:val="nil"/>
              <w:left w:val="nil"/>
              <w:bottom w:val="single" w:color="auto" w:sz="4" w:space="0"/>
              <w:right w:val="single" w:color="auto" w:sz="4" w:space="0"/>
            </w:tcBorders>
            <w:shd w:val="clear" w:color="auto" w:fill="auto"/>
            <w:noWrap/>
            <w:vAlign w:val="center"/>
          </w:tcPr>
          <w:p w14:paraId="129DBC4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5</w:t>
            </w:r>
          </w:p>
        </w:tc>
        <w:tc>
          <w:tcPr>
            <w:tcW w:w="996" w:type="dxa"/>
            <w:tcBorders>
              <w:top w:val="nil"/>
              <w:left w:val="nil"/>
              <w:bottom w:val="single" w:color="auto" w:sz="4" w:space="0"/>
              <w:right w:val="single" w:color="auto" w:sz="4" w:space="0"/>
            </w:tcBorders>
            <w:shd w:val="clear" w:color="auto" w:fill="auto"/>
            <w:noWrap/>
            <w:vAlign w:val="center"/>
          </w:tcPr>
          <w:p w14:paraId="37211AF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0</w:t>
            </w:r>
          </w:p>
        </w:tc>
        <w:tc>
          <w:tcPr>
            <w:tcW w:w="998" w:type="dxa"/>
            <w:tcBorders>
              <w:top w:val="nil"/>
              <w:left w:val="nil"/>
              <w:bottom w:val="single" w:color="auto" w:sz="4" w:space="0"/>
              <w:right w:val="single" w:color="auto" w:sz="4" w:space="0"/>
            </w:tcBorders>
            <w:shd w:val="clear" w:color="auto" w:fill="auto"/>
            <w:noWrap/>
            <w:vAlign w:val="center"/>
          </w:tcPr>
          <w:p w14:paraId="1A227C8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w:t>
            </w:r>
          </w:p>
        </w:tc>
        <w:tc>
          <w:tcPr>
            <w:tcW w:w="998" w:type="dxa"/>
            <w:tcBorders>
              <w:top w:val="nil"/>
              <w:left w:val="nil"/>
              <w:bottom w:val="single" w:color="auto" w:sz="4" w:space="0"/>
              <w:right w:val="single" w:color="auto" w:sz="4" w:space="0"/>
            </w:tcBorders>
            <w:shd w:val="clear" w:color="auto" w:fill="auto"/>
            <w:noWrap/>
            <w:vAlign w:val="center"/>
          </w:tcPr>
          <w:p w14:paraId="0CF36B5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2</w:t>
            </w:r>
          </w:p>
        </w:tc>
        <w:tc>
          <w:tcPr>
            <w:tcW w:w="998" w:type="dxa"/>
            <w:tcBorders>
              <w:top w:val="nil"/>
              <w:left w:val="nil"/>
              <w:bottom w:val="single" w:color="auto" w:sz="4" w:space="0"/>
              <w:right w:val="single" w:color="auto" w:sz="4" w:space="0"/>
            </w:tcBorders>
            <w:shd w:val="clear" w:color="auto" w:fill="auto"/>
            <w:noWrap/>
            <w:vAlign w:val="center"/>
          </w:tcPr>
          <w:p w14:paraId="5270D3E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0</w:t>
            </w:r>
          </w:p>
        </w:tc>
      </w:tr>
      <w:tr w14:paraId="23DD914F">
        <w:tblPrEx>
          <w:tblCellMar>
            <w:top w:w="0" w:type="dxa"/>
            <w:left w:w="108" w:type="dxa"/>
            <w:bottom w:w="0" w:type="dxa"/>
            <w:right w:w="108" w:type="dxa"/>
          </w:tblCellMar>
        </w:tblPrEx>
        <w:trPr>
          <w:trHeight w:val="322" w:hRule="atLeast"/>
          <w:jc w:val="center"/>
        </w:trPr>
        <w:tc>
          <w:tcPr>
            <w:tcW w:w="1385" w:type="pct"/>
            <w:tcBorders>
              <w:top w:val="nil"/>
              <w:left w:val="single" w:color="auto" w:sz="4" w:space="0"/>
              <w:bottom w:val="single" w:color="auto" w:sz="4" w:space="0"/>
              <w:right w:val="single" w:color="auto" w:sz="4" w:space="0"/>
            </w:tcBorders>
            <w:shd w:val="clear" w:color="auto" w:fill="auto"/>
            <w:noWrap/>
            <w:vAlign w:val="center"/>
          </w:tcPr>
          <w:p w14:paraId="5FB05CE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占比（%）</w:t>
            </w:r>
          </w:p>
        </w:tc>
        <w:tc>
          <w:tcPr>
            <w:tcW w:w="920" w:type="dxa"/>
            <w:tcBorders>
              <w:top w:val="nil"/>
              <w:left w:val="nil"/>
              <w:bottom w:val="single" w:color="auto" w:sz="4" w:space="0"/>
              <w:right w:val="single" w:color="auto" w:sz="4" w:space="0"/>
            </w:tcBorders>
            <w:shd w:val="clear" w:color="auto" w:fill="auto"/>
            <w:noWrap/>
            <w:vAlign w:val="center"/>
          </w:tcPr>
          <w:p w14:paraId="0704B7D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72%</w:t>
            </w:r>
          </w:p>
        </w:tc>
        <w:tc>
          <w:tcPr>
            <w:tcW w:w="920" w:type="dxa"/>
            <w:tcBorders>
              <w:top w:val="nil"/>
              <w:left w:val="nil"/>
              <w:bottom w:val="single" w:color="auto" w:sz="4" w:space="0"/>
              <w:right w:val="single" w:color="auto" w:sz="4" w:space="0"/>
            </w:tcBorders>
            <w:shd w:val="clear" w:color="auto" w:fill="auto"/>
            <w:noWrap/>
            <w:vAlign w:val="center"/>
          </w:tcPr>
          <w:p w14:paraId="50F3D42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17%</w:t>
            </w:r>
          </w:p>
        </w:tc>
        <w:tc>
          <w:tcPr>
            <w:tcW w:w="996" w:type="dxa"/>
            <w:tcBorders>
              <w:top w:val="nil"/>
              <w:left w:val="nil"/>
              <w:bottom w:val="single" w:color="auto" w:sz="4" w:space="0"/>
              <w:right w:val="single" w:color="auto" w:sz="4" w:space="0"/>
            </w:tcBorders>
            <w:shd w:val="clear" w:color="auto" w:fill="auto"/>
            <w:noWrap/>
            <w:vAlign w:val="center"/>
          </w:tcPr>
          <w:p w14:paraId="6E1676B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0%</w:t>
            </w:r>
          </w:p>
        </w:tc>
        <w:tc>
          <w:tcPr>
            <w:tcW w:w="998" w:type="dxa"/>
            <w:tcBorders>
              <w:top w:val="nil"/>
              <w:left w:val="nil"/>
              <w:bottom w:val="single" w:color="auto" w:sz="4" w:space="0"/>
              <w:right w:val="single" w:color="auto" w:sz="4" w:space="0"/>
            </w:tcBorders>
            <w:shd w:val="clear" w:color="auto" w:fill="auto"/>
            <w:noWrap/>
            <w:vAlign w:val="center"/>
          </w:tcPr>
          <w:p w14:paraId="3F1EA14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3%</w:t>
            </w:r>
          </w:p>
        </w:tc>
        <w:tc>
          <w:tcPr>
            <w:tcW w:w="998" w:type="dxa"/>
            <w:tcBorders>
              <w:top w:val="nil"/>
              <w:left w:val="nil"/>
              <w:bottom w:val="single" w:color="auto" w:sz="4" w:space="0"/>
              <w:right w:val="single" w:color="auto" w:sz="4" w:space="0"/>
            </w:tcBorders>
            <w:shd w:val="clear" w:color="auto" w:fill="auto"/>
            <w:noWrap/>
            <w:vAlign w:val="center"/>
          </w:tcPr>
          <w:p w14:paraId="28BB083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7%</w:t>
            </w:r>
          </w:p>
        </w:tc>
        <w:tc>
          <w:tcPr>
            <w:tcW w:w="998" w:type="dxa"/>
            <w:tcBorders>
              <w:top w:val="nil"/>
              <w:left w:val="nil"/>
              <w:bottom w:val="single" w:color="auto" w:sz="4" w:space="0"/>
              <w:right w:val="single" w:color="auto" w:sz="4" w:space="0"/>
            </w:tcBorders>
            <w:shd w:val="clear" w:color="auto" w:fill="auto"/>
            <w:noWrap/>
            <w:vAlign w:val="center"/>
          </w:tcPr>
          <w:p w14:paraId="49BE7D4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0%</w:t>
            </w:r>
          </w:p>
        </w:tc>
      </w:tr>
    </w:tbl>
    <w:p w14:paraId="154651ED">
      <w:pPr>
        <w:keepNext/>
        <w:keepLines w:val="0"/>
        <w:pageBreakBefore w:val="0"/>
        <w:widowControl w:val="0"/>
        <w:numPr>
          <w:ilvl w:val="0"/>
          <w:numId w:val="6"/>
        </w:numPr>
        <w:kinsoku/>
        <w:wordWrap/>
        <w:autoSpaceDE/>
        <w:autoSpaceDN/>
        <w:bidi w:val="0"/>
        <w:spacing w:line="360" w:lineRule="auto"/>
        <w:ind w:firstLine="482" w:firstLineChars="200"/>
        <w:rPr>
          <w:rFonts w:hint="default" w:ascii="Times New Roman" w:hAnsi="Times New Roman" w:cs="Times New Roman"/>
          <w:b/>
          <w:bCs/>
          <w:kern w:val="0"/>
          <w:sz w:val="24"/>
          <w:highlight w:val="none"/>
          <w:lang w:val="en-US" w:eastAsia="zh-CN"/>
        </w:rPr>
      </w:pPr>
      <w:r>
        <w:rPr>
          <w:rFonts w:hint="default" w:ascii="Times New Roman" w:hAnsi="Times New Roman" w:cs="Times New Roman"/>
          <w:b/>
          <w:bCs/>
          <w:kern w:val="0"/>
          <w:sz w:val="24"/>
          <w:highlight w:val="none"/>
          <w:lang w:val="en-US" w:eastAsia="zh-CN"/>
        </w:rPr>
        <w:t>综合对比</w:t>
      </w:r>
    </w:p>
    <w:p w14:paraId="2EB154DD">
      <w:pPr>
        <w:keepNext/>
        <w:keepLines w:val="0"/>
        <w:pageBreakBefore w:val="0"/>
        <w:widowControl w:val="0"/>
        <w:kinsoku/>
        <w:wordWrap/>
        <w:autoSpaceDE/>
        <w:autoSpaceDN/>
        <w:bidi w:val="0"/>
        <w:spacing w:line="360" w:lineRule="auto"/>
        <w:ind w:firstLine="480" w:firstLineChars="200"/>
        <w:rPr>
          <w:rFonts w:hint="default" w:ascii="Times New Roman" w:hAnsi="Times New Roman" w:cs="Times New Roman"/>
          <w:sz w:val="24"/>
          <w:highlight w:val="none"/>
        </w:rPr>
      </w:pPr>
      <w:r>
        <w:rPr>
          <w:rFonts w:hint="default" w:ascii="Times New Roman" w:hAnsi="Times New Roman" w:cs="Times New Roman"/>
          <w:color w:val="000000"/>
          <w:kern w:val="0"/>
          <w:sz w:val="24"/>
          <w:highlight w:val="none"/>
          <w:lang w:val="en-US" w:eastAsia="zh-CN"/>
        </w:rPr>
        <w:t>对比调研实测</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lang w:val="en-US" w:eastAsia="zh-CN"/>
        </w:rPr>
        <w:t>企业自行监测、在线监测数据来看，实测的</w:t>
      </w:r>
      <w:r>
        <w:rPr>
          <w:rFonts w:hint="eastAsia" w:ascii="Times New Roman" w:hAnsi="Times New Roman" w:cs="Times New Roman"/>
          <w:color w:val="000000"/>
          <w:kern w:val="0"/>
          <w:sz w:val="24"/>
          <w:highlight w:val="none"/>
          <w:lang w:val="en-US" w:eastAsia="zh-CN"/>
        </w:rPr>
        <w:t>非甲烷总烃</w:t>
      </w:r>
      <w:r>
        <w:rPr>
          <w:rFonts w:hint="default" w:ascii="Times New Roman" w:hAnsi="Times New Roman" w:cs="Times New Roman"/>
          <w:color w:val="000000"/>
          <w:kern w:val="0"/>
          <w:sz w:val="24"/>
          <w:highlight w:val="none"/>
          <w:lang w:val="en-US" w:eastAsia="zh-CN"/>
        </w:rPr>
        <w:t>浓度明显偏高，浓度平均是企业自行监测和在线监测浓度的5~6倍。综合323个排气筒数据，</w:t>
      </w:r>
      <w:r>
        <w:rPr>
          <w:rFonts w:hint="default" w:ascii="Times New Roman" w:hAnsi="Times New Roman" w:cs="Times New Roman"/>
          <w:b/>
          <w:bCs/>
          <w:color w:val="000000"/>
          <w:kern w:val="0"/>
          <w:sz w:val="24"/>
          <w:highlight w:val="none"/>
        </w:rPr>
        <w:t>约</w:t>
      </w:r>
      <w:r>
        <w:rPr>
          <w:rFonts w:hint="default" w:ascii="Times New Roman" w:hAnsi="Times New Roman" w:cs="Times New Roman"/>
          <w:b/>
          <w:bCs/>
          <w:color w:val="000000"/>
          <w:kern w:val="0"/>
          <w:sz w:val="24"/>
          <w:highlight w:val="none"/>
          <w:lang w:val="en-US" w:eastAsia="zh-CN"/>
        </w:rPr>
        <w:t>89</w:t>
      </w:r>
      <w:r>
        <w:rPr>
          <w:rFonts w:hint="default" w:ascii="Times New Roman" w:hAnsi="Times New Roman" w:cs="Times New Roman"/>
          <w:b/>
          <w:bCs/>
          <w:color w:val="000000"/>
          <w:kern w:val="0"/>
          <w:sz w:val="24"/>
          <w:highlight w:val="none"/>
        </w:rPr>
        <w:t>%的排气筒</w:t>
      </w:r>
      <w:r>
        <w:rPr>
          <w:rFonts w:hint="eastAsia" w:ascii="Times New Roman" w:hAnsi="Times New Roman" w:cs="Times New Roman"/>
          <w:b/>
          <w:bCs/>
          <w:color w:val="000000"/>
          <w:kern w:val="0"/>
          <w:sz w:val="24"/>
          <w:highlight w:val="none"/>
          <w:lang w:val="en-US" w:eastAsia="zh-CN"/>
        </w:rPr>
        <w:t>非甲烷总烃</w:t>
      </w:r>
      <w:r>
        <w:rPr>
          <w:rFonts w:hint="default" w:ascii="Times New Roman" w:hAnsi="Times New Roman" w:cs="Times New Roman"/>
          <w:b/>
          <w:bCs/>
          <w:color w:val="000000"/>
          <w:kern w:val="0"/>
          <w:sz w:val="24"/>
          <w:highlight w:val="none"/>
        </w:rPr>
        <w:t>浓度低于</w:t>
      </w:r>
      <w:r>
        <w:rPr>
          <w:rFonts w:hint="default" w:ascii="Times New Roman" w:hAnsi="Times New Roman" w:cs="Times New Roman"/>
          <w:b/>
          <w:bCs/>
          <w:color w:val="000000"/>
          <w:kern w:val="0"/>
          <w:sz w:val="24"/>
          <w:highlight w:val="none"/>
          <w:lang w:val="en-US" w:eastAsia="zh-CN"/>
        </w:rPr>
        <w:t>20</w:t>
      </w:r>
      <w:r>
        <w:rPr>
          <w:rFonts w:hint="default" w:ascii="Times New Roman" w:hAnsi="Times New Roman" w:cs="Times New Roman"/>
          <w:b/>
          <w:bCs/>
          <w:color w:val="000000"/>
          <w:kern w:val="0"/>
          <w:sz w:val="24"/>
          <w:highlight w:val="none"/>
        </w:rPr>
        <w:t xml:space="preserve"> mg/m</w:t>
      </w:r>
      <w:r>
        <w:rPr>
          <w:rFonts w:hint="default" w:ascii="Times New Roman" w:hAnsi="Times New Roman" w:cs="Times New Roman"/>
          <w:b/>
          <w:bCs/>
          <w:color w:val="000000"/>
          <w:kern w:val="0"/>
          <w:sz w:val="24"/>
          <w:highlight w:val="none"/>
          <w:vertAlign w:val="superscript"/>
        </w:rPr>
        <w:t>3</w:t>
      </w:r>
      <w:r>
        <w:rPr>
          <w:rFonts w:hint="default" w:ascii="Times New Roman" w:hAnsi="Times New Roman" w:cs="Times New Roman"/>
          <w:b/>
          <w:bCs/>
          <w:color w:val="000000"/>
          <w:kern w:val="0"/>
          <w:sz w:val="24"/>
          <w:highlight w:val="none"/>
        </w:rPr>
        <w:t>，</w:t>
      </w:r>
      <w:r>
        <w:rPr>
          <w:rFonts w:hint="default" w:ascii="Times New Roman" w:hAnsi="Times New Roman" w:cs="Times New Roman"/>
          <w:b/>
          <w:bCs/>
          <w:color w:val="000000"/>
          <w:kern w:val="0"/>
          <w:sz w:val="24"/>
          <w:highlight w:val="none"/>
          <w:lang w:val="en-US" w:eastAsia="zh-CN"/>
        </w:rPr>
        <w:t>其中调研实测企业中67%的企业低于20</w:t>
      </w:r>
      <w:r>
        <w:rPr>
          <w:rFonts w:hint="default" w:ascii="Times New Roman" w:hAnsi="Times New Roman" w:cs="Times New Roman"/>
          <w:b/>
          <w:bCs/>
          <w:color w:val="000000"/>
          <w:kern w:val="0"/>
          <w:sz w:val="24"/>
          <w:highlight w:val="none"/>
        </w:rPr>
        <w:t xml:space="preserve"> mg/m</w:t>
      </w:r>
      <w:r>
        <w:rPr>
          <w:rFonts w:hint="default" w:ascii="Times New Roman" w:hAnsi="Times New Roman" w:cs="Times New Roman"/>
          <w:b/>
          <w:bCs/>
          <w:color w:val="000000"/>
          <w:kern w:val="0"/>
          <w:sz w:val="24"/>
          <w:highlight w:val="none"/>
          <w:vertAlign w:val="superscript"/>
        </w:rPr>
        <w:t>3</w:t>
      </w:r>
      <w:r>
        <w:rPr>
          <w:rFonts w:hint="default" w:ascii="Times New Roman" w:hAnsi="Times New Roman" w:cs="Times New Roman"/>
          <w:b/>
          <w:bCs/>
          <w:color w:val="000000"/>
          <w:kern w:val="0"/>
          <w:sz w:val="24"/>
          <w:highlight w:val="none"/>
          <w:vertAlign w:val="baseline"/>
          <w:lang w:eastAsia="zh-CN"/>
        </w:rPr>
        <w:t>，</w:t>
      </w:r>
      <w:r>
        <w:rPr>
          <w:rFonts w:hint="default" w:ascii="Times New Roman" w:hAnsi="Times New Roman" w:cs="Times New Roman"/>
          <w:color w:val="000000"/>
          <w:kern w:val="0"/>
          <w:sz w:val="24"/>
          <w:highlight w:val="none"/>
          <w:lang w:eastAsia="zh-CN"/>
        </w:rPr>
        <w:t>具体浓度分布见表</w:t>
      </w:r>
      <w:r>
        <w:rPr>
          <w:rFonts w:hint="eastAsia" w:cs="Times New Roman"/>
          <w:color w:val="000000"/>
          <w:kern w:val="0"/>
          <w:sz w:val="24"/>
          <w:highlight w:val="none"/>
          <w:lang w:val="en-US" w:eastAsia="zh-CN"/>
        </w:rPr>
        <w:t>7.5</w:t>
      </w:r>
      <w:r>
        <w:rPr>
          <w:rFonts w:hint="default" w:ascii="Times New Roman" w:hAnsi="Times New Roman" w:cs="Times New Roman"/>
          <w:color w:val="000000"/>
          <w:kern w:val="0"/>
          <w:sz w:val="24"/>
          <w:highlight w:val="none"/>
          <w:lang w:val="en-US" w:eastAsia="zh-CN"/>
        </w:rPr>
        <w:t>-1</w:t>
      </w:r>
      <w:r>
        <w:rPr>
          <w:rFonts w:hint="eastAsia" w:cs="Times New Roman"/>
          <w:color w:val="000000"/>
          <w:kern w:val="0"/>
          <w:sz w:val="24"/>
          <w:highlight w:val="none"/>
          <w:lang w:val="en-US" w:eastAsia="zh-CN"/>
        </w:rPr>
        <w:t>1</w:t>
      </w:r>
      <w:r>
        <w:rPr>
          <w:rFonts w:hint="default" w:ascii="Times New Roman" w:hAnsi="Times New Roman" w:cs="Times New Roman"/>
          <w:sz w:val="24"/>
          <w:highlight w:val="none"/>
        </w:rPr>
        <w:t>。</w:t>
      </w:r>
    </w:p>
    <w:p w14:paraId="09244EBA">
      <w:pPr>
        <w:keepNext/>
        <w:keepLines w:val="0"/>
        <w:pageBreakBefore w:val="0"/>
        <w:widowControl w:val="0"/>
        <w:kinsoku/>
        <w:wordWrap/>
        <w:autoSpaceDE/>
        <w:autoSpaceDN/>
        <w:bidi w:val="0"/>
        <w:spacing w:line="360" w:lineRule="auto"/>
        <w:ind w:firstLine="480" w:firstLineChars="200"/>
        <w:rPr>
          <w:rFonts w:hint="default" w:ascii="Times New Roman" w:hAnsi="Times New Roman" w:cs="Times New Roman"/>
          <w:color w:val="000000"/>
          <w:kern w:val="0"/>
          <w:sz w:val="24"/>
          <w:highlight w:val="none"/>
        </w:rPr>
      </w:pPr>
      <w:r>
        <w:rPr>
          <w:rFonts w:hint="default" w:ascii="Times New Roman" w:hAnsi="Times New Roman" w:cs="Times New Roman"/>
          <w:color w:val="000000"/>
          <w:kern w:val="0"/>
          <w:sz w:val="24"/>
          <w:highlight w:val="none"/>
        </w:rPr>
        <w:t>分</w:t>
      </w:r>
      <w:r>
        <w:rPr>
          <w:rFonts w:hint="default" w:ascii="Times New Roman" w:hAnsi="Times New Roman" w:cs="Times New Roman"/>
          <w:color w:val="000000"/>
          <w:kern w:val="0"/>
          <w:sz w:val="24"/>
          <w:highlight w:val="none"/>
          <w:lang w:eastAsia="zh-CN"/>
        </w:rPr>
        <w:t>汽车维修</w:t>
      </w:r>
      <w:r>
        <w:rPr>
          <w:rFonts w:hint="default" w:ascii="Times New Roman" w:hAnsi="Times New Roman" w:cs="Times New Roman"/>
          <w:color w:val="000000"/>
          <w:kern w:val="0"/>
          <w:sz w:val="24"/>
          <w:highlight w:val="none"/>
        </w:rPr>
        <w:t>等级来看</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rPr>
        <w:t>一类</w:t>
      </w:r>
      <w:r>
        <w:rPr>
          <w:rFonts w:hint="default" w:ascii="Times New Roman" w:hAnsi="Times New Roman" w:cs="Times New Roman"/>
          <w:color w:val="000000"/>
          <w:kern w:val="0"/>
          <w:sz w:val="24"/>
          <w:highlight w:val="none"/>
          <w:lang w:eastAsia="zh-CN"/>
        </w:rPr>
        <w:t>汽车维修</w:t>
      </w:r>
      <w:r>
        <w:rPr>
          <w:rFonts w:hint="default" w:ascii="Times New Roman" w:hAnsi="Times New Roman" w:cs="Times New Roman"/>
          <w:color w:val="000000"/>
          <w:kern w:val="0"/>
          <w:sz w:val="24"/>
          <w:highlight w:val="none"/>
        </w:rPr>
        <w:t>企业</w:t>
      </w:r>
      <w:r>
        <w:rPr>
          <w:rFonts w:hint="default" w:ascii="Times New Roman" w:hAnsi="Times New Roman" w:cs="Times New Roman"/>
          <w:color w:val="000000"/>
          <w:kern w:val="0"/>
          <w:sz w:val="24"/>
          <w:highlight w:val="none"/>
          <w:lang w:val="en-US" w:eastAsia="zh-CN"/>
        </w:rPr>
        <w:t>非甲烷总烃</w:t>
      </w:r>
      <w:r>
        <w:rPr>
          <w:rFonts w:hint="default" w:ascii="Times New Roman" w:hAnsi="Times New Roman" w:cs="Times New Roman"/>
          <w:color w:val="000000"/>
          <w:kern w:val="0"/>
          <w:sz w:val="24"/>
          <w:highlight w:val="none"/>
        </w:rPr>
        <w:t>的浓度范围在</w:t>
      </w:r>
      <w:r>
        <w:rPr>
          <w:rFonts w:hint="default" w:ascii="Times New Roman" w:hAnsi="Times New Roman" w:cs="Times New Roman"/>
          <w:color w:val="000000"/>
          <w:kern w:val="0"/>
          <w:sz w:val="24"/>
          <w:highlight w:val="none"/>
          <w:lang w:val="en-US" w:eastAsia="zh-CN"/>
        </w:rPr>
        <w:t>0.6</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val="en-US" w:eastAsia="zh-CN"/>
        </w:rPr>
        <w:t>191.1</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color w:val="000000"/>
          <w:kern w:val="0"/>
          <w:sz w:val="24"/>
          <w:highlight w:val="none"/>
          <w:lang w:val="en-US" w:eastAsia="zh-CN"/>
        </w:rPr>
        <w:t>平均浓度为11.4±26.7</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rPr>
        <w:t>二类</w:t>
      </w:r>
      <w:r>
        <w:rPr>
          <w:rFonts w:hint="default" w:ascii="Times New Roman" w:hAnsi="Times New Roman" w:cs="Times New Roman"/>
          <w:color w:val="000000"/>
          <w:kern w:val="0"/>
          <w:sz w:val="24"/>
          <w:highlight w:val="none"/>
          <w:lang w:eastAsia="zh-CN"/>
        </w:rPr>
        <w:t>汽车维修</w:t>
      </w:r>
      <w:r>
        <w:rPr>
          <w:rFonts w:hint="default" w:ascii="Times New Roman" w:hAnsi="Times New Roman" w:cs="Times New Roman"/>
          <w:color w:val="000000"/>
          <w:kern w:val="0"/>
          <w:sz w:val="24"/>
          <w:highlight w:val="none"/>
        </w:rPr>
        <w:t>企业的浓度范围在</w:t>
      </w:r>
      <w:r>
        <w:rPr>
          <w:rFonts w:hint="default" w:ascii="Times New Roman" w:hAnsi="Times New Roman" w:cs="Times New Roman"/>
          <w:color w:val="000000"/>
          <w:kern w:val="0"/>
          <w:sz w:val="24"/>
          <w:highlight w:val="none"/>
          <w:lang w:val="en-US" w:eastAsia="zh-CN"/>
        </w:rPr>
        <w:t>0.2</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val="en-US" w:eastAsia="zh-CN"/>
        </w:rPr>
        <w:t>164.1</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color w:val="000000"/>
          <w:kern w:val="0"/>
          <w:sz w:val="24"/>
          <w:highlight w:val="none"/>
          <w:lang w:val="en-US" w:eastAsia="zh-CN"/>
        </w:rPr>
        <w:t>平均浓度为11.6±21.0</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rPr>
        <w:t>三类</w:t>
      </w:r>
      <w:r>
        <w:rPr>
          <w:rFonts w:hint="default" w:ascii="Times New Roman" w:hAnsi="Times New Roman" w:cs="Times New Roman"/>
          <w:color w:val="000000"/>
          <w:kern w:val="0"/>
          <w:sz w:val="24"/>
          <w:highlight w:val="none"/>
          <w:lang w:eastAsia="zh-CN"/>
        </w:rPr>
        <w:t>汽车维修</w:t>
      </w:r>
      <w:r>
        <w:rPr>
          <w:rFonts w:hint="default" w:ascii="Times New Roman" w:hAnsi="Times New Roman" w:cs="Times New Roman"/>
          <w:color w:val="000000"/>
          <w:kern w:val="0"/>
          <w:sz w:val="24"/>
          <w:highlight w:val="none"/>
        </w:rPr>
        <w:t>企业的浓度范围在</w:t>
      </w:r>
      <w:r>
        <w:rPr>
          <w:rFonts w:hint="default" w:ascii="Times New Roman" w:hAnsi="Times New Roman" w:cs="Times New Roman"/>
          <w:color w:val="000000"/>
          <w:kern w:val="0"/>
          <w:sz w:val="24"/>
          <w:highlight w:val="none"/>
          <w:lang w:val="en-US" w:eastAsia="zh-CN"/>
        </w:rPr>
        <w:t>0.4</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val="en-US" w:eastAsia="zh-CN"/>
        </w:rPr>
        <w:t>84.2</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color w:val="000000"/>
          <w:kern w:val="0"/>
          <w:sz w:val="24"/>
          <w:highlight w:val="none"/>
          <w:lang w:val="en-US" w:eastAsia="zh-CN"/>
        </w:rPr>
        <w:t>平均浓度为9.8±17.0</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lang w:val="en-US" w:eastAsia="zh-CN"/>
        </w:rPr>
        <w:t>不同汽修等级浓度分布见图</w:t>
      </w:r>
      <w:r>
        <w:rPr>
          <w:rFonts w:hint="eastAsia" w:cs="Times New Roman"/>
          <w:color w:val="000000"/>
          <w:kern w:val="0"/>
          <w:sz w:val="24"/>
          <w:highlight w:val="none"/>
          <w:lang w:val="en-US" w:eastAsia="zh-CN"/>
        </w:rPr>
        <w:t>7.5-7</w:t>
      </w:r>
      <w:r>
        <w:rPr>
          <w:rFonts w:hint="default" w:ascii="Times New Roman" w:hAnsi="Times New Roman" w:cs="Times New Roman"/>
          <w:color w:val="000000"/>
          <w:kern w:val="0"/>
          <w:sz w:val="24"/>
          <w:highlight w:val="none"/>
        </w:rPr>
        <w:t>。</w:t>
      </w:r>
    </w:p>
    <w:p w14:paraId="387E8632">
      <w:pPr>
        <w:keepNext/>
        <w:keepLines w:val="0"/>
        <w:pageBreakBefore w:val="0"/>
        <w:widowControl w:val="0"/>
        <w:kinsoku/>
        <w:wordWrap/>
        <w:autoSpaceDE/>
        <w:autoSpaceDN/>
        <w:bidi w:val="0"/>
        <w:spacing w:line="360" w:lineRule="auto"/>
        <w:ind w:firstLine="480" w:firstLineChars="200"/>
        <w:rPr>
          <w:rFonts w:hint="default" w:ascii="Times New Roman" w:hAnsi="Times New Roman" w:cs="Times New Roman"/>
          <w:color w:val="000000"/>
          <w:kern w:val="0"/>
          <w:sz w:val="24"/>
          <w:highlight w:val="none"/>
        </w:rPr>
      </w:pPr>
      <w:r>
        <w:rPr>
          <w:rFonts w:hint="default" w:ascii="Times New Roman" w:hAnsi="Times New Roman" w:cs="Times New Roman"/>
          <w:color w:val="000000"/>
          <w:kern w:val="0"/>
          <w:sz w:val="24"/>
          <w:highlight w:val="none"/>
        </w:rPr>
        <w:t>分</w:t>
      </w:r>
      <w:r>
        <w:rPr>
          <w:rFonts w:hint="default" w:ascii="Times New Roman" w:hAnsi="Times New Roman" w:cs="Times New Roman"/>
          <w:color w:val="000000"/>
          <w:kern w:val="0"/>
          <w:sz w:val="24"/>
          <w:highlight w:val="none"/>
          <w:lang w:val="en-US" w:eastAsia="zh-CN"/>
        </w:rPr>
        <w:t>治理设施类型</w:t>
      </w:r>
      <w:r>
        <w:rPr>
          <w:rFonts w:hint="default" w:ascii="Times New Roman" w:hAnsi="Times New Roman" w:cs="Times New Roman"/>
          <w:color w:val="000000"/>
          <w:kern w:val="0"/>
          <w:sz w:val="24"/>
          <w:highlight w:val="none"/>
        </w:rPr>
        <w:t>来看</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lang w:val="en-US" w:eastAsia="zh-CN"/>
        </w:rPr>
        <w:t>采用UV光氧+活性炭或二级活性炭非甲烷总烃</w:t>
      </w:r>
      <w:r>
        <w:rPr>
          <w:rFonts w:hint="default" w:ascii="Times New Roman" w:hAnsi="Times New Roman" w:cs="Times New Roman"/>
          <w:color w:val="000000"/>
          <w:kern w:val="0"/>
          <w:sz w:val="24"/>
          <w:highlight w:val="none"/>
        </w:rPr>
        <w:t>浓度范围在</w:t>
      </w:r>
      <w:r>
        <w:rPr>
          <w:rFonts w:hint="default" w:ascii="Times New Roman" w:hAnsi="Times New Roman" w:cs="Times New Roman"/>
          <w:color w:val="000000"/>
          <w:kern w:val="0"/>
          <w:sz w:val="24"/>
          <w:highlight w:val="none"/>
          <w:lang w:val="en-US" w:eastAsia="zh-CN"/>
        </w:rPr>
        <w:t>0.6</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val="en-US" w:eastAsia="zh-CN"/>
        </w:rPr>
        <w:t>191.1</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color w:val="000000"/>
          <w:kern w:val="0"/>
          <w:sz w:val="24"/>
          <w:highlight w:val="none"/>
          <w:lang w:val="en-US" w:eastAsia="zh-CN"/>
        </w:rPr>
        <w:t>平均浓度为12.5±25.1</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lang w:eastAsia="zh-CN"/>
        </w:rPr>
        <w:t>；</w:t>
      </w:r>
      <w:r>
        <w:rPr>
          <w:rFonts w:hint="eastAsia" w:ascii="Times New Roman" w:hAnsi="Times New Roman" w:cs="Times New Roman"/>
          <w:color w:val="000000"/>
          <w:kern w:val="0"/>
          <w:sz w:val="24"/>
          <w:highlight w:val="none"/>
          <w:lang w:val="en-US" w:eastAsia="zh-CN"/>
        </w:rPr>
        <w:t>活性炭+低温催化分解</w:t>
      </w:r>
      <w:r>
        <w:rPr>
          <w:rFonts w:hint="default" w:ascii="Times New Roman" w:hAnsi="Times New Roman" w:cs="Times New Roman"/>
          <w:color w:val="000000"/>
          <w:kern w:val="0"/>
          <w:sz w:val="24"/>
          <w:highlight w:val="none"/>
        </w:rPr>
        <w:t>浓度范围在</w:t>
      </w:r>
      <w:r>
        <w:rPr>
          <w:rFonts w:hint="default" w:ascii="Times New Roman" w:hAnsi="Times New Roman" w:cs="Times New Roman"/>
          <w:color w:val="000000"/>
          <w:kern w:val="0"/>
          <w:sz w:val="24"/>
          <w:highlight w:val="none"/>
          <w:lang w:val="en-US" w:eastAsia="zh-CN"/>
        </w:rPr>
        <w:t>2.1</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val="en-US" w:eastAsia="zh-CN"/>
        </w:rPr>
        <w:t>124.8</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color w:val="000000"/>
          <w:kern w:val="0"/>
          <w:sz w:val="24"/>
          <w:highlight w:val="none"/>
          <w:lang w:val="en-US" w:eastAsia="zh-CN"/>
        </w:rPr>
        <w:t>平均浓度为17.6±33.8</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lang w:val="en-US" w:eastAsia="zh-CN"/>
        </w:rPr>
        <w:t>燃烧法（催化燃烧或蓄热催化燃烧）浓度范围在0.9~77.0</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color w:val="000000"/>
          <w:kern w:val="0"/>
          <w:sz w:val="24"/>
          <w:highlight w:val="none"/>
          <w:lang w:val="en-US" w:eastAsia="zh-CN"/>
        </w:rPr>
        <w:t>平均浓度为11.7±16.1</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lang w:val="en-US" w:eastAsia="zh-CN"/>
        </w:rPr>
        <w:t>不同治理设施类型浓度分布见图</w:t>
      </w:r>
      <w:r>
        <w:rPr>
          <w:rFonts w:hint="eastAsia" w:cs="Times New Roman"/>
          <w:color w:val="000000"/>
          <w:kern w:val="0"/>
          <w:sz w:val="24"/>
          <w:highlight w:val="none"/>
          <w:lang w:val="en-US" w:eastAsia="zh-CN"/>
        </w:rPr>
        <w:t>7.5-8</w:t>
      </w:r>
      <w:r>
        <w:rPr>
          <w:rFonts w:hint="default" w:ascii="Times New Roman" w:hAnsi="Times New Roman" w:cs="Times New Roman"/>
          <w:color w:val="000000"/>
          <w:kern w:val="0"/>
          <w:sz w:val="24"/>
          <w:highlight w:val="none"/>
        </w:rPr>
        <w:t>。</w:t>
      </w:r>
    </w:p>
    <w:p w14:paraId="159CE8BD">
      <w:pPr>
        <w:keepNext/>
        <w:keepLines w:val="0"/>
        <w:pageBreakBefore w:val="0"/>
        <w:widowControl w:val="0"/>
        <w:kinsoku/>
        <w:wordWrap/>
        <w:autoSpaceDE/>
        <w:autoSpaceDN/>
        <w:bidi w:val="0"/>
        <w:spacing w:line="360" w:lineRule="auto"/>
        <w:ind w:firstLine="482" w:firstLineChars="200"/>
        <w:rPr>
          <w:rFonts w:hint="default" w:ascii="Times New Roman" w:hAnsi="Times New Roman" w:cs="Times New Roman"/>
          <w:color w:val="000000"/>
          <w:kern w:val="0"/>
          <w:sz w:val="24"/>
          <w:highlight w:val="none"/>
        </w:rPr>
      </w:pPr>
      <w:r>
        <w:rPr>
          <w:rFonts w:hint="default" w:ascii="Times New Roman" w:hAnsi="Times New Roman" w:cs="Times New Roman"/>
          <w:b/>
          <w:bCs/>
          <w:color w:val="000000"/>
          <w:kern w:val="0"/>
          <w:sz w:val="24"/>
          <w:highlight w:val="none"/>
          <w:lang w:val="en-US" w:eastAsia="zh-CN"/>
        </w:rPr>
        <w:t>综合以上，</w:t>
      </w:r>
      <w:r>
        <w:rPr>
          <w:rFonts w:hint="default" w:ascii="Times New Roman" w:hAnsi="Times New Roman" w:cs="Times New Roman"/>
          <w:b/>
          <w:bCs/>
          <w:color w:val="000000"/>
          <w:kern w:val="0"/>
          <w:sz w:val="24"/>
          <w:highlight w:val="none"/>
          <w:lang w:eastAsia="zh-CN"/>
        </w:rPr>
        <w:t>借鉴北京、上海、安徽、江苏等地标限值，</w:t>
      </w:r>
      <w:r>
        <w:rPr>
          <w:rFonts w:hint="default" w:ascii="Times New Roman" w:hAnsi="Times New Roman" w:cs="Times New Roman"/>
          <w:b/>
          <w:bCs/>
          <w:color w:val="000000"/>
          <w:sz w:val="24"/>
          <w:szCs w:val="24"/>
          <w:highlight w:val="none"/>
          <w:lang w:val="en-US" w:eastAsia="zh-CN"/>
        </w:rPr>
        <w:t>本</w:t>
      </w:r>
      <w:r>
        <w:rPr>
          <w:rFonts w:hint="eastAsia" w:cs="Times New Roman"/>
          <w:b/>
          <w:bCs/>
          <w:color w:val="000000"/>
          <w:sz w:val="24"/>
          <w:szCs w:val="24"/>
          <w:highlight w:val="none"/>
          <w:lang w:val="en-US" w:eastAsia="zh-CN"/>
        </w:rPr>
        <w:t>标准</w:t>
      </w:r>
      <w:r>
        <w:rPr>
          <w:rFonts w:hint="default" w:ascii="Times New Roman" w:hAnsi="Times New Roman" w:cs="Times New Roman"/>
          <w:b/>
          <w:bCs/>
          <w:color w:val="000000"/>
          <w:sz w:val="24"/>
          <w:szCs w:val="24"/>
          <w:highlight w:val="none"/>
          <w:lang w:val="en-US" w:eastAsia="zh-CN"/>
        </w:rPr>
        <w:t>将有组织排气筒中</w:t>
      </w:r>
      <w:r>
        <w:rPr>
          <w:rFonts w:hint="default" w:ascii="Times New Roman" w:hAnsi="Times New Roman" w:cs="Times New Roman"/>
          <w:b/>
          <w:bCs/>
          <w:color w:val="000000"/>
          <w:kern w:val="0"/>
          <w:sz w:val="24"/>
          <w:highlight w:val="none"/>
          <w:lang w:val="en-US" w:eastAsia="zh-CN"/>
        </w:rPr>
        <w:t>非甲烷总烃</w:t>
      </w:r>
      <w:r>
        <w:rPr>
          <w:rFonts w:hint="default" w:ascii="Times New Roman" w:hAnsi="Times New Roman" w:cs="Times New Roman"/>
          <w:b/>
          <w:bCs/>
          <w:color w:val="000000"/>
          <w:kern w:val="0"/>
          <w:sz w:val="24"/>
          <w:highlight w:val="none"/>
        </w:rPr>
        <w:t>的限值定为</w:t>
      </w:r>
      <w:r>
        <w:rPr>
          <w:rFonts w:hint="default" w:ascii="Times New Roman" w:hAnsi="Times New Roman" w:cs="Times New Roman"/>
          <w:b/>
          <w:bCs/>
          <w:color w:val="000000"/>
          <w:kern w:val="0"/>
          <w:sz w:val="24"/>
          <w:highlight w:val="none"/>
          <w:lang w:val="en-US" w:eastAsia="zh-CN"/>
        </w:rPr>
        <w:t>20</w:t>
      </w:r>
      <w:r>
        <w:rPr>
          <w:rFonts w:hint="eastAsia" w:cs="Times New Roman"/>
          <w:b/>
          <w:bCs/>
          <w:color w:val="000000"/>
          <w:kern w:val="0"/>
          <w:sz w:val="24"/>
          <w:highlight w:val="none"/>
          <w:lang w:val="en-US" w:eastAsia="zh-CN"/>
        </w:rPr>
        <w:t xml:space="preserve"> </w:t>
      </w:r>
      <w:r>
        <w:rPr>
          <w:rFonts w:hint="default" w:ascii="Times New Roman" w:hAnsi="Times New Roman" w:cs="Times New Roman"/>
          <w:b/>
          <w:bCs/>
          <w:color w:val="000000"/>
          <w:kern w:val="0"/>
          <w:sz w:val="24"/>
          <w:highlight w:val="none"/>
        </w:rPr>
        <w:t>mg/m</w:t>
      </w:r>
      <w:r>
        <w:rPr>
          <w:rFonts w:hint="default" w:ascii="Times New Roman" w:hAnsi="Times New Roman" w:cs="Times New Roman"/>
          <w:b/>
          <w:bCs/>
          <w:color w:val="000000"/>
          <w:kern w:val="0"/>
          <w:sz w:val="24"/>
          <w:highlight w:val="none"/>
          <w:vertAlign w:val="superscript"/>
        </w:rPr>
        <w:t>3</w:t>
      </w:r>
      <w:r>
        <w:rPr>
          <w:rFonts w:hint="default" w:ascii="Times New Roman" w:hAnsi="Times New Roman" w:cs="Times New Roman"/>
          <w:b/>
          <w:bCs/>
          <w:color w:val="000000"/>
          <w:kern w:val="0"/>
          <w:sz w:val="24"/>
          <w:highlight w:val="none"/>
        </w:rPr>
        <w:t>。</w:t>
      </w:r>
    </w:p>
    <w:p w14:paraId="6A453EA3">
      <w:pPr>
        <w:keepNext/>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kern w:val="0"/>
          <w:szCs w:val="21"/>
          <w:highlight w:val="none"/>
        </w:rPr>
      </w:pPr>
      <w:r>
        <w:rPr>
          <w:rFonts w:hint="eastAsia" w:cs="Times New Roman"/>
          <w:kern w:val="0"/>
          <w:szCs w:val="21"/>
          <w:highlight w:val="none"/>
          <w:lang w:val="en-US" w:eastAsia="zh-CN"/>
        </w:rPr>
        <w:t>表7.5</w:t>
      </w:r>
      <w:r>
        <w:rPr>
          <w:rFonts w:hint="default" w:ascii="Times New Roman" w:hAnsi="Times New Roman" w:cs="Times New Roman"/>
          <w:kern w:val="0"/>
          <w:szCs w:val="21"/>
          <w:highlight w:val="none"/>
        </w:rPr>
        <w:t>-</w:t>
      </w:r>
      <w:r>
        <w:rPr>
          <w:rFonts w:hint="default" w:ascii="Times New Roman" w:hAnsi="Times New Roman" w:cs="Times New Roman"/>
          <w:kern w:val="0"/>
          <w:szCs w:val="21"/>
          <w:highlight w:val="none"/>
          <w:lang w:val="en-US" w:eastAsia="zh-CN"/>
        </w:rPr>
        <w:t>1</w:t>
      </w:r>
      <w:r>
        <w:rPr>
          <w:rFonts w:hint="eastAsia" w:cs="Times New Roman"/>
          <w:kern w:val="0"/>
          <w:szCs w:val="21"/>
          <w:highlight w:val="none"/>
          <w:lang w:val="en-US" w:eastAsia="zh-CN"/>
        </w:rPr>
        <w:t>1</w:t>
      </w:r>
      <w:r>
        <w:rPr>
          <w:rFonts w:hint="default" w:ascii="Times New Roman" w:hAnsi="Times New Roman" w:cs="Times New Roman"/>
          <w:kern w:val="0"/>
          <w:szCs w:val="21"/>
          <w:highlight w:val="none"/>
        </w:rPr>
        <w:t xml:space="preserve"> 有组织废气非甲烷总烃的排放浓度情况</w:t>
      </w:r>
    </w:p>
    <w:tbl>
      <w:tblPr>
        <w:tblStyle w:val="21"/>
        <w:tblW w:w="4996" w:type="pct"/>
        <w:jc w:val="center"/>
        <w:tblLayout w:type="autofit"/>
        <w:tblCellMar>
          <w:top w:w="0" w:type="dxa"/>
          <w:left w:w="108" w:type="dxa"/>
          <w:bottom w:w="0" w:type="dxa"/>
          <w:right w:w="108" w:type="dxa"/>
        </w:tblCellMar>
      </w:tblPr>
      <w:tblGrid>
        <w:gridCol w:w="2695"/>
        <w:gridCol w:w="782"/>
        <w:gridCol w:w="782"/>
        <w:gridCol w:w="850"/>
        <w:gridCol w:w="853"/>
        <w:gridCol w:w="853"/>
        <w:gridCol w:w="853"/>
        <w:gridCol w:w="853"/>
      </w:tblGrid>
      <w:tr w14:paraId="31967135">
        <w:tblPrEx>
          <w:tblCellMar>
            <w:top w:w="0" w:type="dxa"/>
            <w:left w:w="108" w:type="dxa"/>
            <w:bottom w:w="0" w:type="dxa"/>
            <w:right w:w="108" w:type="dxa"/>
          </w:tblCellMar>
        </w:tblPrEx>
        <w:trPr>
          <w:trHeight w:val="300" w:hRule="atLeast"/>
          <w:tblHeader/>
          <w:jc w:val="center"/>
        </w:trPr>
        <w:tc>
          <w:tcPr>
            <w:tcW w:w="1415" w:type="pct"/>
            <w:tcBorders>
              <w:top w:val="single" w:color="auto" w:sz="4" w:space="0"/>
              <w:left w:val="single" w:color="auto" w:sz="4" w:space="0"/>
              <w:bottom w:val="single" w:color="auto" w:sz="4" w:space="0"/>
              <w:right w:val="single" w:color="auto" w:sz="4" w:space="0"/>
            </w:tcBorders>
            <w:shd w:val="clear" w:color="auto" w:fill="auto"/>
            <w:noWrap/>
            <w:vAlign w:val="center"/>
          </w:tcPr>
          <w:p w14:paraId="2743332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rPr>
            </w:pPr>
            <w:r>
              <w:rPr>
                <w:rFonts w:hint="default" w:ascii="Times New Roman" w:hAnsi="Times New Roman" w:cs="Times New Roman"/>
                <w:b/>
                <w:bCs/>
                <w:color w:val="000000"/>
                <w:kern w:val="0"/>
                <w:sz w:val="21"/>
                <w:szCs w:val="21"/>
                <w:highlight w:val="none"/>
                <w:lang w:val="en-US" w:eastAsia="zh-CN"/>
              </w:rPr>
              <w:t>非甲烷总烃</w:t>
            </w:r>
            <w:r>
              <w:rPr>
                <w:rFonts w:hint="default" w:ascii="Times New Roman" w:hAnsi="Times New Roman" w:cs="Times New Roman"/>
                <w:b/>
                <w:bCs/>
                <w:color w:val="000000"/>
                <w:kern w:val="0"/>
                <w:sz w:val="21"/>
                <w:szCs w:val="21"/>
                <w:highlight w:val="none"/>
              </w:rPr>
              <w:t>浓度（mg/m</w:t>
            </w:r>
            <w:r>
              <w:rPr>
                <w:rFonts w:hint="default" w:ascii="Times New Roman" w:hAnsi="Times New Roman" w:cs="Times New Roman"/>
                <w:b/>
                <w:bCs/>
                <w:color w:val="000000"/>
                <w:kern w:val="0"/>
                <w:sz w:val="21"/>
                <w:szCs w:val="21"/>
                <w:highlight w:val="none"/>
                <w:vertAlign w:val="superscript"/>
              </w:rPr>
              <w:t>3</w:t>
            </w:r>
            <w:r>
              <w:rPr>
                <w:rFonts w:hint="default" w:ascii="Times New Roman" w:hAnsi="Times New Roman" w:cs="Times New Roman"/>
                <w:b/>
                <w:bCs/>
                <w:color w:val="000000"/>
                <w:kern w:val="0"/>
                <w:sz w:val="21"/>
                <w:szCs w:val="21"/>
                <w:highlight w:val="none"/>
              </w:rPr>
              <w:t>）</w:t>
            </w:r>
          </w:p>
        </w:tc>
        <w:tc>
          <w:tcPr>
            <w:tcW w:w="482" w:type="pct"/>
            <w:tcBorders>
              <w:top w:val="single" w:color="auto" w:sz="4" w:space="0"/>
              <w:left w:val="nil"/>
              <w:bottom w:val="single" w:color="auto" w:sz="4" w:space="0"/>
              <w:right w:val="single" w:color="auto" w:sz="4" w:space="0"/>
            </w:tcBorders>
            <w:shd w:val="clear" w:color="auto" w:fill="auto"/>
            <w:noWrap/>
            <w:vAlign w:val="center"/>
          </w:tcPr>
          <w:p w14:paraId="694CE54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b/>
                <w:bCs/>
                <w:color w:val="000000"/>
                <w:kern w:val="0"/>
                <w:sz w:val="21"/>
                <w:szCs w:val="21"/>
                <w:highlight w:val="none"/>
              </w:rPr>
            </w:pPr>
            <w:r>
              <w:rPr>
                <w:rFonts w:hint="default" w:ascii="Times New Roman" w:hAnsi="Times New Roman" w:eastAsia="等线" w:cs="Times New Roman"/>
                <w:b/>
                <w:bCs/>
                <w:color w:val="000000"/>
                <w:kern w:val="0"/>
                <w:sz w:val="21"/>
                <w:szCs w:val="21"/>
                <w:highlight w:val="none"/>
              </w:rPr>
              <w:t>0~5</w:t>
            </w:r>
          </w:p>
        </w:tc>
        <w:tc>
          <w:tcPr>
            <w:tcW w:w="482" w:type="pct"/>
            <w:tcBorders>
              <w:top w:val="single" w:color="auto" w:sz="4" w:space="0"/>
              <w:left w:val="nil"/>
              <w:bottom w:val="single" w:color="auto" w:sz="4" w:space="0"/>
              <w:right w:val="single" w:color="auto" w:sz="4" w:space="0"/>
            </w:tcBorders>
            <w:shd w:val="clear" w:color="auto" w:fill="auto"/>
            <w:noWrap/>
            <w:vAlign w:val="center"/>
          </w:tcPr>
          <w:p w14:paraId="687B94C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b/>
                <w:bCs/>
                <w:color w:val="000000"/>
                <w:kern w:val="0"/>
                <w:sz w:val="21"/>
                <w:szCs w:val="21"/>
                <w:highlight w:val="none"/>
              </w:rPr>
            </w:pPr>
            <w:r>
              <w:rPr>
                <w:rFonts w:hint="default" w:ascii="Times New Roman" w:hAnsi="Times New Roman" w:eastAsia="等线" w:cs="Times New Roman"/>
                <w:b/>
                <w:bCs/>
                <w:color w:val="000000"/>
                <w:kern w:val="0"/>
                <w:sz w:val="21"/>
                <w:szCs w:val="21"/>
                <w:highlight w:val="none"/>
              </w:rPr>
              <w:t>5~10</w:t>
            </w:r>
          </w:p>
        </w:tc>
        <w:tc>
          <w:tcPr>
            <w:tcW w:w="522" w:type="pct"/>
            <w:tcBorders>
              <w:top w:val="single" w:color="auto" w:sz="4" w:space="0"/>
              <w:left w:val="nil"/>
              <w:bottom w:val="single" w:color="auto" w:sz="4" w:space="0"/>
              <w:right w:val="single" w:color="auto" w:sz="4" w:space="0"/>
            </w:tcBorders>
            <w:shd w:val="clear" w:color="auto" w:fill="auto"/>
            <w:noWrap/>
            <w:vAlign w:val="center"/>
          </w:tcPr>
          <w:p w14:paraId="7F35FCE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b/>
                <w:bCs/>
                <w:color w:val="000000"/>
                <w:kern w:val="0"/>
                <w:sz w:val="21"/>
                <w:szCs w:val="21"/>
                <w:highlight w:val="none"/>
              </w:rPr>
            </w:pPr>
            <w:r>
              <w:rPr>
                <w:rFonts w:hint="default" w:ascii="Times New Roman" w:hAnsi="Times New Roman" w:eastAsia="等线" w:cs="Times New Roman"/>
                <w:b/>
                <w:bCs/>
                <w:color w:val="000000"/>
                <w:kern w:val="0"/>
                <w:sz w:val="21"/>
                <w:szCs w:val="21"/>
                <w:highlight w:val="none"/>
              </w:rPr>
              <w:t>10~15</w:t>
            </w:r>
          </w:p>
        </w:tc>
        <w:tc>
          <w:tcPr>
            <w:tcW w:w="523" w:type="pct"/>
            <w:tcBorders>
              <w:top w:val="single" w:color="auto" w:sz="4" w:space="0"/>
              <w:left w:val="nil"/>
              <w:bottom w:val="single" w:color="auto" w:sz="4" w:space="0"/>
              <w:right w:val="single" w:color="auto" w:sz="4" w:space="0"/>
            </w:tcBorders>
            <w:shd w:val="clear" w:color="auto" w:fill="auto"/>
            <w:noWrap/>
            <w:vAlign w:val="center"/>
          </w:tcPr>
          <w:p w14:paraId="1D325DA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b/>
                <w:bCs/>
                <w:color w:val="000000"/>
                <w:kern w:val="0"/>
                <w:sz w:val="21"/>
                <w:szCs w:val="21"/>
                <w:highlight w:val="none"/>
              </w:rPr>
            </w:pPr>
            <w:r>
              <w:rPr>
                <w:rFonts w:hint="default" w:ascii="Times New Roman" w:hAnsi="Times New Roman" w:eastAsia="等线" w:cs="Times New Roman"/>
                <w:b/>
                <w:bCs/>
                <w:color w:val="000000"/>
                <w:kern w:val="0"/>
                <w:sz w:val="21"/>
                <w:szCs w:val="21"/>
                <w:highlight w:val="none"/>
              </w:rPr>
              <w:t>15~20</w:t>
            </w:r>
          </w:p>
        </w:tc>
        <w:tc>
          <w:tcPr>
            <w:tcW w:w="523" w:type="pct"/>
            <w:tcBorders>
              <w:top w:val="single" w:color="auto" w:sz="4" w:space="0"/>
              <w:left w:val="nil"/>
              <w:bottom w:val="single" w:color="auto" w:sz="4" w:space="0"/>
              <w:right w:val="single" w:color="auto" w:sz="4" w:space="0"/>
            </w:tcBorders>
            <w:shd w:val="clear" w:color="auto" w:fill="auto"/>
            <w:noWrap/>
            <w:vAlign w:val="center"/>
          </w:tcPr>
          <w:p w14:paraId="01F98B0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b/>
                <w:bCs/>
                <w:color w:val="000000"/>
                <w:kern w:val="0"/>
                <w:sz w:val="21"/>
                <w:szCs w:val="21"/>
                <w:highlight w:val="none"/>
              </w:rPr>
            </w:pPr>
            <w:r>
              <w:rPr>
                <w:rFonts w:hint="default" w:ascii="Times New Roman" w:hAnsi="Times New Roman" w:eastAsia="等线" w:cs="Times New Roman"/>
                <w:b/>
                <w:bCs/>
                <w:color w:val="000000"/>
                <w:kern w:val="0"/>
                <w:sz w:val="21"/>
                <w:szCs w:val="21"/>
                <w:highlight w:val="none"/>
              </w:rPr>
              <w:t>20~</w:t>
            </w:r>
            <w:r>
              <w:rPr>
                <w:rFonts w:hint="default" w:ascii="Times New Roman" w:hAnsi="Times New Roman" w:eastAsia="等线" w:cs="Times New Roman"/>
                <w:b/>
                <w:bCs/>
                <w:color w:val="000000"/>
                <w:kern w:val="0"/>
                <w:sz w:val="21"/>
                <w:szCs w:val="21"/>
                <w:highlight w:val="none"/>
                <w:lang w:val="en-US" w:eastAsia="zh-CN"/>
              </w:rPr>
              <w:t>4</w:t>
            </w:r>
            <w:r>
              <w:rPr>
                <w:rFonts w:hint="default" w:ascii="Times New Roman" w:hAnsi="Times New Roman" w:eastAsia="等线" w:cs="Times New Roman"/>
                <w:b/>
                <w:bCs/>
                <w:color w:val="000000"/>
                <w:kern w:val="0"/>
                <w:sz w:val="21"/>
                <w:szCs w:val="21"/>
                <w:highlight w:val="none"/>
              </w:rPr>
              <w:t>0</w:t>
            </w:r>
          </w:p>
        </w:tc>
        <w:tc>
          <w:tcPr>
            <w:tcW w:w="523" w:type="pct"/>
            <w:tcBorders>
              <w:top w:val="single" w:color="auto" w:sz="4" w:space="0"/>
              <w:left w:val="nil"/>
              <w:bottom w:val="single" w:color="auto" w:sz="4" w:space="0"/>
              <w:right w:val="single" w:color="auto" w:sz="4" w:space="0"/>
            </w:tcBorders>
            <w:shd w:val="clear" w:color="auto" w:fill="auto"/>
            <w:noWrap/>
            <w:vAlign w:val="center"/>
          </w:tcPr>
          <w:p w14:paraId="7BBDCA7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b/>
                <w:bCs/>
                <w:color w:val="000000"/>
                <w:kern w:val="0"/>
                <w:sz w:val="21"/>
                <w:szCs w:val="21"/>
                <w:highlight w:val="none"/>
                <w:lang w:val="en-US" w:eastAsia="zh-CN"/>
              </w:rPr>
            </w:pPr>
            <w:r>
              <w:rPr>
                <w:rFonts w:hint="default" w:ascii="Times New Roman" w:hAnsi="Times New Roman" w:eastAsia="等线" w:cs="Times New Roman"/>
                <w:b/>
                <w:bCs/>
                <w:color w:val="000000"/>
                <w:kern w:val="0"/>
                <w:sz w:val="21"/>
                <w:szCs w:val="21"/>
                <w:highlight w:val="none"/>
                <w:lang w:val="en-US" w:eastAsia="zh-CN"/>
              </w:rPr>
              <w:t>40~60</w:t>
            </w:r>
          </w:p>
        </w:tc>
        <w:tc>
          <w:tcPr>
            <w:tcW w:w="523" w:type="pct"/>
            <w:tcBorders>
              <w:top w:val="single" w:color="auto" w:sz="4" w:space="0"/>
              <w:left w:val="nil"/>
              <w:bottom w:val="single" w:color="auto" w:sz="4" w:space="0"/>
              <w:right w:val="single" w:color="auto" w:sz="4" w:space="0"/>
            </w:tcBorders>
            <w:shd w:val="clear" w:color="auto" w:fill="auto"/>
            <w:noWrap/>
            <w:vAlign w:val="center"/>
          </w:tcPr>
          <w:p w14:paraId="493DF1D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b/>
                <w:bCs/>
                <w:color w:val="000000"/>
                <w:kern w:val="0"/>
                <w:sz w:val="21"/>
                <w:szCs w:val="21"/>
                <w:highlight w:val="none"/>
                <w:lang w:val="en-US" w:eastAsia="zh-CN"/>
              </w:rPr>
            </w:pPr>
            <w:r>
              <w:rPr>
                <w:rFonts w:hint="default" w:ascii="Times New Roman" w:hAnsi="Times New Roman" w:eastAsia="等线" w:cs="Times New Roman"/>
                <w:b/>
                <w:bCs/>
                <w:color w:val="000000"/>
                <w:kern w:val="0"/>
                <w:sz w:val="21"/>
                <w:szCs w:val="21"/>
                <w:highlight w:val="none"/>
                <w:lang w:val="en-US" w:eastAsia="zh-CN"/>
              </w:rPr>
              <w:t>＞60</w:t>
            </w:r>
          </w:p>
        </w:tc>
      </w:tr>
      <w:tr w14:paraId="66530576">
        <w:tblPrEx>
          <w:tblCellMar>
            <w:top w:w="0" w:type="dxa"/>
            <w:left w:w="108" w:type="dxa"/>
            <w:bottom w:w="0" w:type="dxa"/>
            <w:right w:w="108" w:type="dxa"/>
          </w:tblCellMar>
        </w:tblPrEx>
        <w:trPr>
          <w:trHeight w:val="300" w:hRule="atLeast"/>
          <w:jc w:val="center"/>
        </w:trPr>
        <w:tc>
          <w:tcPr>
            <w:tcW w:w="1415" w:type="pct"/>
            <w:tcBorders>
              <w:top w:val="nil"/>
              <w:left w:val="single" w:color="auto" w:sz="4" w:space="0"/>
              <w:bottom w:val="single" w:color="auto" w:sz="4" w:space="0"/>
              <w:right w:val="single" w:color="auto" w:sz="4" w:space="0"/>
            </w:tcBorders>
            <w:shd w:val="clear" w:color="auto" w:fill="auto"/>
            <w:noWrap/>
            <w:vAlign w:val="center"/>
          </w:tcPr>
          <w:p w14:paraId="5A0570B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排气筒数量（个）</w:t>
            </w:r>
          </w:p>
        </w:tc>
        <w:tc>
          <w:tcPr>
            <w:tcW w:w="782" w:type="dxa"/>
            <w:tcBorders>
              <w:top w:val="nil"/>
              <w:left w:val="nil"/>
              <w:bottom w:val="single" w:color="auto" w:sz="4" w:space="0"/>
              <w:right w:val="single" w:color="auto" w:sz="4" w:space="0"/>
            </w:tcBorders>
            <w:shd w:val="clear" w:color="auto" w:fill="auto"/>
            <w:noWrap/>
            <w:vAlign w:val="center"/>
          </w:tcPr>
          <w:p w14:paraId="48B5333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198</w:t>
            </w:r>
          </w:p>
        </w:tc>
        <w:tc>
          <w:tcPr>
            <w:tcW w:w="782" w:type="dxa"/>
            <w:tcBorders>
              <w:top w:val="nil"/>
              <w:left w:val="nil"/>
              <w:bottom w:val="single" w:color="auto" w:sz="4" w:space="0"/>
              <w:right w:val="single" w:color="auto" w:sz="4" w:space="0"/>
            </w:tcBorders>
            <w:shd w:val="clear" w:color="auto" w:fill="auto"/>
            <w:noWrap/>
            <w:vAlign w:val="center"/>
          </w:tcPr>
          <w:p w14:paraId="68CCC86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48</w:t>
            </w:r>
          </w:p>
        </w:tc>
        <w:tc>
          <w:tcPr>
            <w:tcW w:w="850" w:type="dxa"/>
            <w:tcBorders>
              <w:top w:val="nil"/>
              <w:left w:val="nil"/>
              <w:bottom w:val="single" w:color="auto" w:sz="4" w:space="0"/>
              <w:right w:val="single" w:color="auto" w:sz="4" w:space="0"/>
            </w:tcBorders>
            <w:shd w:val="clear" w:color="auto" w:fill="auto"/>
            <w:noWrap/>
            <w:vAlign w:val="center"/>
          </w:tcPr>
          <w:p w14:paraId="6364CE1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23</w:t>
            </w:r>
          </w:p>
        </w:tc>
        <w:tc>
          <w:tcPr>
            <w:tcW w:w="853" w:type="dxa"/>
            <w:tcBorders>
              <w:top w:val="nil"/>
              <w:left w:val="nil"/>
              <w:bottom w:val="single" w:color="auto" w:sz="4" w:space="0"/>
              <w:right w:val="single" w:color="auto" w:sz="4" w:space="0"/>
            </w:tcBorders>
            <w:shd w:val="clear" w:color="auto" w:fill="auto"/>
            <w:noWrap/>
            <w:vAlign w:val="center"/>
          </w:tcPr>
          <w:p w14:paraId="5B90BB4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17</w:t>
            </w:r>
          </w:p>
        </w:tc>
        <w:tc>
          <w:tcPr>
            <w:tcW w:w="853" w:type="dxa"/>
            <w:tcBorders>
              <w:top w:val="nil"/>
              <w:left w:val="nil"/>
              <w:bottom w:val="single" w:color="auto" w:sz="4" w:space="0"/>
              <w:right w:val="single" w:color="auto" w:sz="4" w:space="0"/>
            </w:tcBorders>
            <w:shd w:val="clear" w:color="auto" w:fill="auto"/>
            <w:noWrap/>
            <w:vAlign w:val="center"/>
          </w:tcPr>
          <w:p w14:paraId="182D79D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19</w:t>
            </w:r>
          </w:p>
        </w:tc>
        <w:tc>
          <w:tcPr>
            <w:tcW w:w="853" w:type="dxa"/>
            <w:tcBorders>
              <w:top w:val="nil"/>
              <w:left w:val="nil"/>
              <w:bottom w:val="single" w:color="auto" w:sz="4" w:space="0"/>
              <w:right w:val="single" w:color="auto" w:sz="4" w:space="0"/>
            </w:tcBorders>
            <w:shd w:val="clear" w:color="auto" w:fill="auto"/>
            <w:noWrap/>
            <w:vAlign w:val="center"/>
          </w:tcPr>
          <w:p w14:paraId="1C86159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8</w:t>
            </w:r>
          </w:p>
        </w:tc>
        <w:tc>
          <w:tcPr>
            <w:tcW w:w="853" w:type="dxa"/>
            <w:tcBorders>
              <w:top w:val="nil"/>
              <w:left w:val="nil"/>
              <w:bottom w:val="single" w:color="auto" w:sz="4" w:space="0"/>
              <w:right w:val="single" w:color="auto" w:sz="4" w:space="0"/>
            </w:tcBorders>
            <w:shd w:val="clear" w:color="auto" w:fill="auto"/>
            <w:noWrap/>
            <w:vAlign w:val="center"/>
          </w:tcPr>
          <w:p w14:paraId="285E41B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10</w:t>
            </w:r>
          </w:p>
        </w:tc>
      </w:tr>
      <w:tr w14:paraId="5FD4FCBE">
        <w:tblPrEx>
          <w:tblCellMar>
            <w:top w:w="0" w:type="dxa"/>
            <w:left w:w="108" w:type="dxa"/>
            <w:bottom w:w="0" w:type="dxa"/>
            <w:right w:w="108" w:type="dxa"/>
          </w:tblCellMar>
        </w:tblPrEx>
        <w:trPr>
          <w:trHeight w:val="322" w:hRule="atLeast"/>
          <w:jc w:val="center"/>
        </w:trPr>
        <w:tc>
          <w:tcPr>
            <w:tcW w:w="1415" w:type="pct"/>
            <w:tcBorders>
              <w:top w:val="nil"/>
              <w:left w:val="single" w:color="auto" w:sz="4" w:space="0"/>
              <w:bottom w:val="single" w:color="auto" w:sz="4" w:space="0"/>
              <w:right w:val="single" w:color="auto" w:sz="4" w:space="0"/>
            </w:tcBorders>
            <w:shd w:val="clear" w:color="auto" w:fill="auto"/>
            <w:noWrap/>
            <w:vAlign w:val="center"/>
          </w:tcPr>
          <w:p w14:paraId="3460741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占比（%）</w:t>
            </w:r>
          </w:p>
        </w:tc>
        <w:tc>
          <w:tcPr>
            <w:tcW w:w="782" w:type="dxa"/>
            <w:tcBorders>
              <w:top w:val="nil"/>
              <w:left w:val="nil"/>
              <w:bottom w:val="single" w:color="auto" w:sz="4" w:space="0"/>
              <w:right w:val="single" w:color="auto" w:sz="4" w:space="0"/>
            </w:tcBorders>
            <w:shd w:val="clear" w:color="auto" w:fill="auto"/>
            <w:noWrap/>
            <w:vAlign w:val="center"/>
          </w:tcPr>
          <w:p w14:paraId="3207042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61%</w:t>
            </w:r>
          </w:p>
        </w:tc>
        <w:tc>
          <w:tcPr>
            <w:tcW w:w="782" w:type="dxa"/>
            <w:tcBorders>
              <w:top w:val="nil"/>
              <w:left w:val="nil"/>
              <w:bottom w:val="single" w:color="auto" w:sz="4" w:space="0"/>
              <w:right w:val="single" w:color="auto" w:sz="4" w:space="0"/>
            </w:tcBorders>
            <w:shd w:val="clear" w:color="auto" w:fill="auto"/>
            <w:noWrap/>
            <w:vAlign w:val="center"/>
          </w:tcPr>
          <w:p w14:paraId="69F4D6C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15%</w:t>
            </w:r>
          </w:p>
        </w:tc>
        <w:tc>
          <w:tcPr>
            <w:tcW w:w="850" w:type="dxa"/>
            <w:tcBorders>
              <w:top w:val="nil"/>
              <w:left w:val="nil"/>
              <w:bottom w:val="single" w:color="auto" w:sz="4" w:space="0"/>
              <w:right w:val="single" w:color="auto" w:sz="4" w:space="0"/>
            </w:tcBorders>
            <w:shd w:val="clear" w:color="auto" w:fill="auto"/>
            <w:noWrap/>
            <w:vAlign w:val="center"/>
          </w:tcPr>
          <w:p w14:paraId="115AE76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7%</w:t>
            </w:r>
          </w:p>
        </w:tc>
        <w:tc>
          <w:tcPr>
            <w:tcW w:w="853" w:type="dxa"/>
            <w:tcBorders>
              <w:top w:val="nil"/>
              <w:left w:val="nil"/>
              <w:bottom w:val="single" w:color="auto" w:sz="4" w:space="0"/>
              <w:right w:val="single" w:color="auto" w:sz="4" w:space="0"/>
            </w:tcBorders>
            <w:shd w:val="clear" w:color="auto" w:fill="auto"/>
            <w:noWrap/>
            <w:vAlign w:val="center"/>
          </w:tcPr>
          <w:p w14:paraId="3450597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5%</w:t>
            </w:r>
          </w:p>
        </w:tc>
        <w:tc>
          <w:tcPr>
            <w:tcW w:w="853" w:type="dxa"/>
            <w:tcBorders>
              <w:top w:val="nil"/>
              <w:left w:val="nil"/>
              <w:bottom w:val="single" w:color="auto" w:sz="4" w:space="0"/>
              <w:right w:val="single" w:color="auto" w:sz="4" w:space="0"/>
            </w:tcBorders>
            <w:shd w:val="clear" w:color="auto" w:fill="auto"/>
            <w:noWrap/>
            <w:vAlign w:val="center"/>
          </w:tcPr>
          <w:p w14:paraId="687DBFE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6%</w:t>
            </w:r>
          </w:p>
        </w:tc>
        <w:tc>
          <w:tcPr>
            <w:tcW w:w="853" w:type="dxa"/>
            <w:tcBorders>
              <w:top w:val="nil"/>
              <w:left w:val="nil"/>
              <w:bottom w:val="single" w:color="auto" w:sz="4" w:space="0"/>
              <w:right w:val="single" w:color="auto" w:sz="4" w:space="0"/>
            </w:tcBorders>
            <w:shd w:val="clear" w:color="auto" w:fill="auto"/>
            <w:noWrap/>
            <w:vAlign w:val="center"/>
          </w:tcPr>
          <w:p w14:paraId="48D68A2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2%</w:t>
            </w:r>
          </w:p>
        </w:tc>
        <w:tc>
          <w:tcPr>
            <w:tcW w:w="853" w:type="dxa"/>
            <w:tcBorders>
              <w:top w:val="nil"/>
              <w:left w:val="nil"/>
              <w:bottom w:val="single" w:color="auto" w:sz="4" w:space="0"/>
              <w:right w:val="single" w:color="auto" w:sz="4" w:space="0"/>
            </w:tcBorders>
            <w:shd w:val="clear" w:color="auto" w:fill="auto"/>
            <w:noWrap/>
            <w:vAlign w:val="center"/>
          </w:tcPr>
          <w:p w14:paraId="12A6FCB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3%</w:t>
            </w:r>
          </w:p>
        </w:tc>
      </w:tr>
    </w:tbl>
    <w:p w14:paraId="4C34373B">
      <w:pPr>
        <w:keepNext/>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highlight w:val="none"/>
          <w:lang w:eastAsia="zh-CN"/>
        </w:rPr>
      </w:pPr>
      <w:r>
        <w:rPr>
          <w:rFonts w:hint="default" w:ascii="Times New Roman" w:hAnsi="Times New Roman" w:eastAsia="宋体" w:cs="Times New Roman"/>
          <w:highlight w:val="none"/>
          <w:lang w:eastAsia="zh-CN"/>
        </w:rPr>
        <w:drawing>
          <wp:inline distT="0" distB="0" distL="114300" distR="114300">
            <wp:extent cx="5256530" cy="2489200"/>
            <wp:effectExtent l="0" t="0" r="1270" b="10160"/>
            <wp:docPr id="50" name="图表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07F2829E">
      <w:pPr>
        <w:keepNext/>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kern w:val="0"/>
          <w:szCs w:val="21"/>
          <w:highlight w:val="none"/>
          <w:lang w:val="en-US" w:eastAsia="zh-CN"/>
        </w:rPr>
      </w:pPr>
      <w:r>
        <w:rPr>
          <w:rFonts w:hint="default" w:ascii="Times New Roman" w:hAnsi="Times New Roman" w:cs="Times New Roman"/>
          <w:kern w:val="0"/>
          <w:szCs w:val="21"/>
          <w:highlight w:val="none"/>
          <w:lang w:val="en-US" w:eastAsia="zh-CN"/>
        </w:rPr>
        <w:t>图</w:t>
      </w:r>
      <w:r>
        <w:rPr>
          <w:rFonts w:hint="eastAsia" w:cs="Times New Roman"/>
          <w:kern w:val="0"/>
          <w:szCs w:val="21"/>
          <w:highlight w:val="none"/>
          <w:lang w:val="en-US" w:eastAsia="zh-CN"/>
        </w:rPr>
        <w:t>7.5</w:t>
      </w:r>
      <w:r>
        <w:rPr>
          <w:rFonts w:hint="default" w:ascii="Times New Roman" w:hAnsi="Times New Roman" w:cs="Times New Roman"/>
          <w:kern w:val="0"/>
          <w:szCs w:val="21"/>
          <w:highlight w:val="none"/>
          <w:lang w:val="en-US" w:eastAsia="zh-CN"/>
        </w:rPr>
        <w:t>-</w:t>
      </w:r>
      <w:r>
        <w:rPr>
          <w:rFonts w:hint="eastAsia" w:cs="Times New Roman"/>
          <w:kern w:val="0"/>
          <w:szCs w:val="21"/>
          <w:highlight w:val="none"/>
          <w:lang w:val="en-US" w:eastAsia="zh-CN"/>
        </w:rPr>
        <w:t>7</w:t>
      </w:r>
      <w:r>
        <w:rPr>
          <w:rFonts w:hint="default" w:ascii="Times New Roman" w:hAnsi="Times New Roman" w:cs="Times New Roman"/>
          <w:kern w:val="0"/>
          <w:szCs w:val="21"/>
          <w:highlight w:val="none"/>
          <w:lang w:val="en-US" w:eastAsia="zh-CN"/>
        </w:rPr>
        <w:t xml:space="preserve"> 不同汽修等级</w:t>
      </w:r>
      <w:r>
        <w:rPr>
          <w:rFonts w:hint="eastAsia" w:ascii="Times New Roman" w:hAnsi="Times New Roman" w:cs="Times New Roman"/>
          <w:kern w:val="0"/>
          <w:szCs w:val="21"/>
          <w:highlight w:val="none"/>
          <w:lang w:val="en-US" w:eastAsia="zh-CN"/>
        </w:rPr>
        <w:t>非甲烷总烃</w:t>
      </w:r>
      <w:r>
        <w:rPr>
          <w:rFonts w:hint="default" w:ascii="Times New Roman" w:hAnsi="Times New Roman" w:cs="Times New Roman"/>
          <w:kern w:val="0"/>
          <w:szCs w:val="21"/>
          <w:highlight w:val="none"/>
          <w:lang w:val="en-US" w:eastAsia="zh-CN"/>
        </w:rPr>
        <w:t>浓度分布</w:t>
      </w:r>
    </w:p>
    <w:p w14:paraId="7D25D93B">
      <w:pPr>
        <w:keepNext/>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highlight w:val="none"/>
          <w:lang w:eastAsia="zh-CN"/>
        </w:rPr>
      </w:pPr>
      <w:r>
        <w:rPr>
          <w:rFonts w:hint="default" w:ascii="Times New Roman" w:hAnsi="Times New Roman" w:eastAsia="宋体" w:cs="Times New Roman"/>
          <w:highlight w:val="none"/>
          <w:lang w:eastAsia="zh-CN"/>
        </w:rPr>
        <w:drawing>
          <wp:inline distT="0" distB="0" distL="114300" distR="114300">
            <wp:extent cx="5256530" cy="2454910"/>
            <wp:effectExtent l="0" t="0" r="1270" b="13970"/>
            <wp:docPr id="51" name="图表 51"/>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14:paraId="29BF421A">
      <w:pPr>
        <w:keepNext/>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kern w:val="0"/>
          <w:szCs w:val="21"/>
          <w:highlight w:val="none"/>
          <w:lang w:val="en-US" w:eastAsia="zh-CN"/>
        </w:rPr>
      </w:pPr>
      <w:r>
        <w:rPr>
          <w:rFonts w:hint="default" w:ascii="Times New Roman" w:hAnsi="Times New Roman" w:cs="Times New Roman"/>
          <w:kern w:val="0"/>
          <w:szCs w:val="21"/>
          <w:highlight w:val="none"/>
          <w:lang w:val="en-US" w:eastAsia="zh-CN"/>
        </w:rPr>
        <w:t>图</w:t>
      </w:r>
      <w:r>
        <w:rPr>
          <w:rFonts w:hint="eastAsia" w:cs="Times New Roman"/>
          <w:kern w:val="0"/>
          <w:szCs w:val="21"/>
          <w:highlight w:val="none"/>
          <w:lang w:val="en-US" w:eastAsia="zh-CN"/>
        </w:rPr>
        <w:t>7.5</w:t>
      </w:r>
      <w:r>
        <w:rPr>
          <w:rFonts w:hint="default" w:ascii="Times New Roman" w:hAnsi="Times New Roman" w:cs="Times New Roman"/>
          <w:kern w:val="0"/>
          <w:szCs w:val="21"/>
          <w:highlight w:val="none"/>
          <w:lang w:val="en-US" w:eastAsia="zh-CN"/>
        </w:rPr>
        <w:t>-</w:t>
      </w:r>
      <w:r>
        <w:rPr>
          <w:rFonts w:hint="eastAsia" w:cs="Times New Roman"/>
          <w:kern w:val="0"/>
          <w:szCs w:val="21"/>
          <w:highlight w:val="none"/>
          <w:lang w:val="en-US" w:eastAsia="zh-CN"/>
        </w:rPr>
        <w:t>8</w:t>
      </w:r>
      <w:r>
        <w:rPr>
          <w:rFonts w:hint="default" w:ascii="Times New Roman" w:hAnsi="Times New Roman" w:cs="Times New Roman"/>
          <w:kern w:val="0"/>
          <w:szCs w:val="21"/>
          <w:highlight w:val="none"/>
          <w:lang w:val="en-US" w:eastAsia="zh-CN"/>
        </w:rPr>
        <w:t xml:space="preserve"> 不同治理设施类型</w:t>
      </w:r>
      <w:r>
        <w:rPr>
          <w:rFonts w:hint="eastAsia" w:ascii="Times New Roman" w:hAnsi="Times New Roman" w:cs="Times New Roman"/>
          <w:kern w:val="0"/>
          <w:szCs w:val="21"/>
          <w:highlight w:val="none"/>
          <w:lang w:val="en-US" w:eastAsia="zh-CN"/>
        </w:rPr>
        <w:t>非甲烷总烃</w:t>
      </w:r>
      <w:r>
        <w:rPr>
          <w:rFonts w:hint="default" w:ascii="Times New Roman" w:hAnsi="Times New Roman" w:cs="Times New Roman"/>
          <w:kern w:val="0"/>
          <w:szCs w:val="21"/>
          <w:highlight w:val="none"/>
          <w:lang w:val="en-US" w:eastAsia="zh-CN"/>
        </w:rPr>
        <w:t>浓度分布</w:t>
      </w:r>
    </w:p>
    <w:p w14:paraId="17986DAA">
      <w:pPr>
        <w:pStyle w:val="5"/>
        <w:keepNext/>
        <w:keepLines w:val="0"/>
        <w:pageBreakBefore w:val="0"/>
        <w:widowControl w:val="0"/>
        <w:kinsoku/>
        <w:wordWrap/>
        <w:autoSpaceDE/>
        <w:autoSpaceDN/>
        <w:bidi w:val="0"/>
        <w:rPr>
          <w:rFonts w:hint="default"/>
          <w:highlight w:val="none"/>
        </w:rPr>
      </w:pPr>
      <w:bookmarkStart w:id="120" w:name="_Toc1173"/>
      <w:r>
        <w:rPr>
          <w:rFonts w:hint="default"/>
          <w:highlight w:val="none"/>
        </w:rPr>
        <w:t>颗粒物</w:t>
      </w:r>
      <w:bookmarkEnd w:id="120"/>
    </w:p>
    <w:p w14:paraId="05F48312">
      <w:pPr>
        <w:keepNext/>
        <w:keepLines w:val="0"/>
        <w:pageBreakBefore w:val="0"/>
        <w:widowControl w:val="0"/>
        <w:kinsoku/>
        <w:wordWrap/>
        <w:autoSpaceDE/>
        <w:autoSpaceDN/>
        <w:bidi w:val="0"/>
        <w:spacing w:line="360" w:lineRule="auto"/>
        <w:ind w:firstLine="480" w:firstLineChars="200"/>
        <w:rPr>
          <w:rFonts w:hint="default" w:ascii="Times New Roman" w:hAnsi="Times New Roman" w:cs="Times New Roman"/>
          <w:sz w:val="24"/>
          <w:highlight w:val="none"/>
        </w:rPr>
      </w:pPr>
      <w:r>
        <w:rPr>
          <w:rFonts w:hint="default" w:ascii="Times New Roman" w:hAnsi="Times New Roman" w:cs="Times New Roman"/>
          <w:sz w:val="24"/>
          <w:highlight w:val="none"/>
          <w:lang w:eastAsia="zh-CN"/>
        </w:rPr>
        <w:t>汽车维修</w:t>
      </w:r>
      <w:r>
        <w:rPr>
          <w:rFonts w:hint="default" w:ascii="Times New Roman" w:hAnsi="Times New Roman" w:cs="Times New Roman"/>
          <w:sz w:val="24"/>
          <w:highlight w:val="none"/>
        </w:rPr>
        <w:t>行业喷涂车间通常含有一定粘性漆雾和粉尘等杂质，主要来源于喷涂修复汽车表面过程中，因此在对有组织废气指标的筛选中，我们认为颗粒物的排放管控不容忽视。</w:t>
      </w:r>
    </w:p>
    <w:p w14:paraId="2B32E89B">
      <w:pPr>
        <w:keepNext/>
        <w:keepLines w:val="0"/>
        <w:pageBreakBefore w:val="0"/>
        <w:widowControl w:val="0"/>
        <w:kinsoku/>
        <w:wordWrap/>
        <w:autoSpaceDE/>
        <w:autoSpaceDN/>
        <w:bidi w:val="0"/>
        <w:spacing w:line="360" w:lineRule="auto"/>
        <w:ind w:firstLine="482" w:firstLineChars="200"/>
        <w:rPr>
          <w:rFonts w:hint="default" w:ascii="Times New Roman" w:hAnsi="Times New Roman" w:eastAsia="宋体" w:cs="Times New Roman"/>
          <w:b/>
          <w:bCs/>
          <w:kern w:val="0"/>
          <w:sz w:val="24"/>
          <w:highlight w:val="none"/>
          <w:lang w:val="en-US" w:eastAsia="zh-CN"/>
        </w:rPr>
      </w:pPr>
      <w:r>
        <w:rPr>
          <w:rFonts w:hint="default" w:ascii="Times New Roman" w:hAnsi="Times New Roman" w:cs="Times New Roman"/>
          <w:b/>
          <w:bCs/>
          <w:kern w:val="0"/>
          <w:sz w:val="24"/>
          <w:highlight w:val="none"/>
          <w:lang w:eastAsia="zh-CN"/>
        </w:rPr>
        <w:t>（</w:t>
      </w:r>
      <w:r>
        <w:rPr>
          <w:rFonts w:hint="default" w:ascii="Times New Roman" w:hAnsi="Times New Roman" w:cs="Times New Roman"/>
          <w:b/>
          <w:bCs/>
          <w:kern w:val="0"/>
          <w:sz w:val="24"/>
          <w:highlight w:val="none"/>
          <w:lang w:val="en-US" w:eastAsia="zh-CN"/>
        </w:rPr>
        <w:t>1</w:t>
      </w:r>
      <w:r>
        <w:rPr>
          <w:rFonts w:hint="default" w:ascii="Times New Roman" w:hAnsi="Times New Roman" w:cs="Times New Roman"/>
          <w:b/>
          <w:bCs/>
          <w:kern w:val="0"/>
          <w:sz w:val="24"/>
          <w:highlight w:val="none"/>
          <w:lang w:eastAsia="zh-CN"/>
        </w:rPr>
        <w:t>）</w:t>
      </w:r>
      <w:r>
        <w:rPr>
          <w:rFonts w:hint="default" w:ascii="Times New Roman" w:hAnsi="Times New Roman" w:cs="Times New Roman"/>
          <w:b/>
          <w:bCs/>
          <w:kern w:val="0"/>
          <w:sz w:val="24"/>
          <w:highlight w:val="none"/>
          <w:lang w:val="en-US" w:eastAsia="zh-CN"/>
        </w:rPr>
        <w:t>调研实测</w:t>
      </w:r>
    </w:p>
    <w:p w14:paraId="75D4B196">
      <w:pPr>
        <w:keepNext/>
        <w:keepLines w:val="0"/>
        <w:pageBreakBefore w:val="0"/>
        <w:widowControl w:val="0"/>
        <w:kinsoku/>
        <w:wordWrap/>
        <w:autoSpaceDE/>
        <w:autoSpaceDN/>
        <w:bidi w:val="0"/>
        <w:spacing w:line="360" w:lineRule="auto"/>
        <w:ind w:firstLine="480" w:firstLineChars="200"/>
        <w:rPr>
          <w:rFonts w:hint="default" w:ascii="Times New Roman" w:hAnsi="Times New Roman" w:cs="Times New Roman"/>
          <w:kern w:val="0"/>
          <w:sz w:val="24"/>
          <w:highlight w:val="none"/>
        </w:rPr>
      </w:pPr>
      <w:r>
        <w:rPr>
          <w:rFonts w:hint="default" w:ascii="Times New Roman" w:hAnsi="Times New Roman" w:cs="Times New Roman"/>
          <w:kern w:val="0"/>
          <w:sz w:val="24"/>
          <w:highlight w:val="none"/>
          <w:lang w:val="en-US" w:eastAsia="zh-CN"/>
        </w:rPr>
        <w:t>下表</w:t>
      </w:r>
      <w:r>
        <w:rPr>
          <w:rFonts w:hint="default" w:ascii="Times New Roman" w:hAnsi="Times New Roman" w:cs="Times New Roman"/>
          <w:kern w:val="0"/>
          <w:sz w:val="24"/>
          <w:highlight w:val="none"/>
        </w:rPr>
        <w:t>为喷烤漆房有组织废气中</w:t>
      </w:r>
      <w:r>
        <w:rPr>
          <w:rFonts w:hint="default" w:ascii="Times New Roman" w:hAnsi="Times New Roman" w:cs="Times New Roman"/>
          <w:kern w:val="0"/>
          <w:sz w:val="24"/>
          <w:highlight w:val="none"/>
          <w:lang w:val="en-US" w:eastAsia="zh-CN"/>
        </w:rPr>
        <w:t>颗粒物</w:t>
      </w:r>
      <w:r>
        <w:rPr>
          <w:rFonts w:hint="default" w:ascii="Times New Roman" w:hAnsi="Times New Roman" w:cs="Times New Roman"/>
          <w:kern w:val="0"/>
          <w:sz w:val="24"/>
          <w:highlight w:val="none"/>
        </w:rPr>
        <w:t>的排放浓度情况，</w:t>
      </w:r>
      <w:r>
        <w:rPr>
          <w:rFonts w:hint="default" w:ascii="Times New Roman" w:hAnsi="Times New Roman" w:cs="Times New Roman"/>
          <w:kern w:val="0"/>
          <w:sz w:val="24"/>
          <w:highlight w:val="none"/>
          <w:lang w:val="en-US" w:eastAsia="zh-CN"/>
        </w:rPr>
        <w:t>48个排气筒</w:t>
      </w:r>
      <w:r>
        <w:rPr>
          <w:rFonts w:hint="default" w:ascii="Times New Roman" w:hAnsi="Times New Roman" w:cs="Times New Roman"/>
          <w:kern w:val="0"/>
          <w:sz w:val="24"/>
          <w:highlight w:val="none"/>
        </w:rPr>
        <w:t>数据均来自于</w:t>
      </w:r>
      <w:r>
        <w:rPr>
          <w:rFonts w:hint="default" w:ascii="Times New Roman" w:hAnsi="Times New Roman" w:cs="Times New Roman"/>
          <w:highlight w:val="none"/>
          <w:lang w:val="en-US" w:eastAsia="zh-CN"/>
        </w:rPr>
        <w:t>编制组</w:t>
      </w:r>
      <w:r>
        <w:rPr>
          <w:rFonts w:hint="default" w:ascii="Times New Roman" w:hAnsi="Times New Roman" w:cs="Times New Roman"/>
          <w:kern w:val="0"/>
          <w:sz w:val="24"/>
          <w:highlight w:val="none"/>
        </w:rPr>
        <w:t>实测数据</w:t>
      </w:r>
      <w:r>
        <w:rPr>
          <w:rFonts w:hint="default" w:ascii="Times New Roman" w:hAnsi="Times New Roman" w:cs="Times New Roman"/>
          <w:sz w:val="24"/>
          <w:highlight w:val="none"/>
        </w:rPr>
        <w:t>。可以看出，浓度范围在</w:t>
      </w:r>
      <w:r>
        <w:rPr>
          <w:rFonts w:hint="default" w:ascii="Times New Roman" w:hAnsi="Times New Roman" w:cs="Times New Roman"/>
          <w:sz w:val="24"/>
          <w:highlight w:val="none"/>
          <w:lang w:val="en-US" w:eastAsia="zh-CN"/>
        </w:rPr>
        <w:t>未检出</w:t>
      </w:r>
      <w:r>
        <w:rPr>
          <w:rFonts w:hint="default" w:ascii="Times New Roman" w:hAnsi="Times New Roman" w:cs="Times New Roman"/>
          <w:sz w:val="24"/>
          <w:highlight w:val="none"/>
        </w:rPr>
        <w:t>~</w:t>
      </w:r>
      <w:r>
        <w:rPr>
          <w:rFonts w:hint="default" w:ascii="Times New Roman" w:hAnsi="Times New Roman" w:cs="Times New Roman"/>
          <w:sz w:val="24"/>
          <w:highlight w:val="none"/>
          <w:lang w:val="en-US" w:eastAsia="zh-CN"/>
        </w:rPr>
        <w:t>27.4</w:t>
      </w:r>
      <w:r>
        <w:rPr>
          <w:rFonts w:hint="eastAsia" w:cs="Times New Roman"/>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color w:val="000000"/>
          <w:kern w:val="0"/>
          <w:sz w:val="24"/>
          <w:highlight w:val="none"/>
          <w:lang w:val="en-US" w:eastAsia="zh-CN"/>
        </w:rPr>
        <w:t>平均浓度为3.5±6.1</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vertAlign w:val="baseline"/>
          <w:lang w:eastAsia="zh-CN"/>
        </w:rPr>
        <w:t>，</w:t>
      </w:r>
      <w:r>
        <w:rPr>
          <w:rFonts w:hint="default" w:ascii="Times New Roman" w:hAnsi="Times New Roman" w:cs="Times New Roman"/>
          <w:sz w:val="24"/>
          <w:highlight w:val="none"/>
          <w:lang w:val="en-US" w:eastAsia="zh-CN"/>
        </w:rPr>
        <w:t>其中</w:t>
      </w:r>
      <w:r>
        <w:rPr>
          <w:rFonts w:hint="default" w:ascii="Times New Roman" w:hAnsi="Times New Roman" w:cs="Times New Roman"/>
          <w:color w:val="000000"/>
          <w:kern w:val="0"/>
          <w:sz w:val="24"/>
          <w:highlight w:val="none"/>
        </w:rPr>
        <w:t>浓度</w:t>
      </w:r>
      <w:r>
        <w:rPr>
          <w:rFonts w:hint="default" w:ascii="Times New Roman" w:hAnsi="Times New Roman" w:cs="Times New Roman"/>
          <w:color w:val="000000"/>
          <w:kern w:val="0"/>
          <w:sz w:val="24"/>
          <w:highlight w:val="none"/>
          <w:lang w:val="en-US" w:eastAsia="zh-CN"/>
        </w:rPr>
        <w:t>未检出占比23%，0~</w:t>
      </w:r>
      <w:r>
        <w:rPr>
          <w:rFonts w:hint="default" w:ascii="Times New Roman" w:hAnsi="Times New Roman" w:cs="Times New Roman"/>
          <w:color w:val="000000"/>
          <w:kern w:val="0"/>
          <w:sz w:val="24"/>
          <w:highlight w:val="none"/>
        </w:rPr>
        <w:t>10 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占比</w:t>
      </w:r>
      <w:r>
        <w:rPr>
          <w:rFonts w:hint="default" w:ascii="Times New Roman" w:hAnsi="Times New Roman" w:cs="Times New Roman"/>
          <w:color w:val="000000"/>
          <w:kern w:val="0"/>
          <w:sz w:val="24"/>
          <w:highlight w:val="none"/>
          <w:lang w:val="en-US" w:eastAsia="zh-CN"/>
        </w:rPr>
        <w:t>67</w:t>
      </w:r>
      <w:r>
        <w:rPr>
          <w:rFonts w:hint="default" w:ascii="Times New Roman" w:hAnsi="Times New Roman" w:cs="Times New Roman"/>
          <w:color w:val="000000"/>
          <w:kern w:val="0"/>
          <w:sz w:val="24"/>
          <w:highlight w:val="none"/>
        </w:rPr>
        <w:t>%，10~20 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占比</w:t>
      </w:r>
      <w:r>
        <w:rPr>
          <w:rFonts w:hint="default" w:ascii="Times New Roman" w:hAnsi="Times New Roman" w:cs="Times New Roman"/>
          <w:color w:val="000000"/>
          <w:kern w:val="0"/>
          <w:sz w:val="24"/>
          <w:highlight w:val="none"/>
          <w:lang w:val="en-US" w:eastAsia="zh-CN"/>
        </w:rPr>
        <w:t>8</w:t>
      </w:r>
      <w:r>
        <w:rPr>
          <w:rFonts w:hint="default" w:ascii="Times New Roman" w:hAnsi="Times New Roman" w:cs="Times New Roman"/>
          <w:color w:val="000000"/>
          <w:kern w:val="0"/>
          <w:sz w:val="24"/>
          <w:highlight w:val="none"/>
        </w:rPr>
        <w:t>%，20~30 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占比</w:t>
      </w:r>
      <w:r>
        <w:rPr>
          <w:rFonts w:hint="default" w:ascii="Times New Roman" w:hAnsi="Times New Roman" w:cs="Times New Roman"/>
          <w:color w:val="000000"/>
          <w:kern w:val="0"/>
          <w:sz w:val="24"/>
          <w:highlight w:val="none"/>
          <w:lang w:val="en-US" w:eastAsia="zh-CN"/>
        </w:rPr>
        <w:t>2</w:t>
      </w:r>
      <w:r>
        <w:rPr>
          <w:rFonts w:hint="default" w:ascii="Times New Roman" w:hAnsi="Times New Roman" w:cs="Times New Roman"/>
          <w:color w:val="000000"/>
          <w:kern w:val="0"/>
          <w:sz w:val="24"/>
          <w:highlight w:val="none"/>
        </w:rPr>
        <w:t>%，</w:t>
      </w:r>
      <w:r>
        <w:rPr>
          <w:rFonts w:hint="default" w:ascii="Times New Roman" w:hAnsi="Times New Roman" w:cs="Times New Roman"/>
          <w:sz w:val="24"/>
          <w:highlight w:val="none"/>
        </w:rPr>
        <w:t>所有企业有组织废气颗粒物的排放浓度远小于四川省现执行的《大气污染物综合排放标准》（GB16297</w:t>
      </w:r>
      <w:r>
        <w:rPr>
          <w:rFonts w:hint="eastAsia" w:ascii="Times New Roman" w:hAnsi="Times New Roman" w:cs="Times New Roman"/>
          <w:sz w:val="24"/>
          <w:highlight w:val="none"/>
          <w:lang w:val="en-US" w:eastAsia="zh-CN"/>
        </w:rPr>
        <w:t>—</w:t>
      </w:r>
      <w:r>
        <w:rPr>
          <w:rFonts w:hint="default" w:ascii="Times New Roman" w:hAnsi="Times New Roman" w:cs="Times New Roman"/>
          <w:sz w:val="24"/>
          <w:highlight w:val="none"/>
        </w:rPr>
        <w:t>1996）表2中二级排放标准要求120</w:t>
      </w:r>
      <w:r>
        <w:rPr>
          <w:rFonts w:hint="default" w:ascii="Times New Roman" w:hAnsi="Times New Roman" w:cs="Times New Roman"/>
          <w:color w:val="000000"/>
          <w:kern w:val="0"/>
          <w:sz w:val="24"/>
          <w:highlight w:val="none"/>
        </w:rPr>
        <w:t xml:space="preserve"> 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sz w:val="24"/>
          <w:highlight w:val="none"/>
        </w:rPr>
        <w:t>。</w:t>
      </w:r>
      <w:r>
        <w:rPr>
          <w:rFonts w:hint="default" w:ascii="Times New Roman" w:hAnsi="Times New Roman" w:cs="Times New Roman"/>
          <w:sz w:val="24"/>
          <w:highlight w:val="none"/>
          <w:lang w:val="en-US" w:eastAsia="zh-CN"/>
        </w:rPr>
        <w:t>5个排气筒浓度超过10</w:t>
      </w:r>
      <w:r>
        <w:rPr>
          <w:rFonts w:hint="eastAsia" w:cs="Times New Roman"/>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vertAlign w:val="baseline"/>
          <w:lang w:eastAsia="zh-CN"/>
        </w:rPr>
        <w:t>，</w:t>
      </w:r>
      <w:r>
        <w:rPr>
          <w:rFonts w:hint="default" w:ascii="Times New Roman" w:hAnsi="Times New Roman" w:cs="Times New Roman"/>
          <w:color w:val="000000"/>
          <w:kern w:val="0"/>
          <w:sz w:val="24"/>
          <w:highlight w:val="none"/>
          <w:vertAlign w:val="baseline"/>
          <w:lang w:val="en-US" w:eastAsia="zh-CN"/>
        </w:rPr>
        <w:t>实测浓度为11.1~27.4</w:t>
      </w:r>
      <w:r>
        <w:rPr>
          <w:rFonts w:hint="eastAsia" w:cs="Times New Roman"/>
          <w:color w:val="000000"/>
          <w:kern w:val="0"/>
          <w:sz w:val="24"/>
          <w:highlight w:val="none"/>
          <w:vertAlign w:val="baseli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vertAlign w:val="baseline"/>
          <w:lang w:eastAsia="zh-CN"/>
        </w:rPr>
        <w:t>。</w:t>
      </w:r>
    </w:p>
    <w:p w14:paraId="27746D4A">
      <w:pPr>
        <w:keepNext/>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kern w:val="0"/>
          <w:szCs w:val="21"/>
          <w:highlight w:val="none"/>
        </w:rPr>
      </w:pPr>
      <w:r>
        <w:rPr>
          <w:rFonts w:hint="eastAsia" w:cs="Times New Roman"/>
          <w:kern w:val="0"/>
          <w:szCs w:val="21"/>
          <w:highlight w:val="none"/>
          <w:lang w:val="en-US" w:eastAsia="zh-CN"/>
        </w:rPr>
        <w:t>表7.5</w:t>
      </w:r>
      <w:r>
        <w:rPr>
          <w:rFonts w:hint="default" w:ascii="Times New Roman" w:hAnsi="Times New Roman" w:cs="Times New Roman"/>
          <w:kern w:val="0"/>
          <w:szCs w:val="21"/>
          <w:highlight w:val="none"/>
        </w:rPr>
        <w:t>-</w:t>
      </w:r>
      <w:r>
        <w:rPr>
          <w:rFonts w:hint="default" w:ascii="Times New Roman" w:hAnsi="Times New Roman" w:cs="Times New Roman"/>
          <w:kern w:val="0"/>
          <w:szCs w:val="21"/>
          <w:highlight w:val="none"/>
          <w:lang w:val="en-US" w:eastAsia="zh-CN"/>
        </w:rPr>
        <w:t>1</w:t>
      </w:r>
      <w:r>
        <w:rPr>
          <w:rFonts w:hint="eastAsia" w:cs="Times New Roman"/>
          <w:kern w:val="0"/>
          <w:szCs w:val="21"/>
          <w:highlight w:val="none"/>
          <w:lang w:val="en-US" w:eastAsia="zh-CN"/>
        </w:rPr>
        <w:t>2</w:t>
      </w:r>
      <w:r>
        <w:rPr>
          <w:rFonts w:hint="default" w:ascii="Times New Roman" w:hAnsi="Times New Roman" w:cs="Times New Roman"/>
          <w:kern w:val="0"/>
          <w:szCs w:val="21"/>
          <w:highlight w:val="none"/>
        </w:rPr>
        <w:t xml:space="preserve"> 有组织废气颗粒物的排放浓度情况</w:t>
      </w:r>
    </w:p>
    <w:tbl>
      <w:tblPr>
        <w:tblStyle w:val="21"/>
        <w:tblW w:w="4998"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345"/>
        <w:gridCol w:w="1496"/>
        <w:gridCol w:w="1346"/>
        <w:gridCol w:w="1496"/>
        <w:gridCol w:w="1346"/>
        <w:gridCol w:w="1496"/>
      </w:tblGrid>
      <w:tr w14:paraId="331013C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blHeader/>
        </w:trPr>
        <w:tc>
          <w:tcPr>
            <w:tcW w:w="78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5B7C5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rPr>
            </w:pPr>
            <w:r>
              <w:rPr>
                <w:rFonts w:hint="default" w:ascii="Times New Roman" w:hAnsi="Times New Roman" w:cs="Times New Roman"/>
                <w:b/>
                <w:bCs/>
                <w:color w:val="000000"/>
                <w:kern w:val="0"/>
                <w:sz w:val="21"/>
                <w:szCs w:val="21"/>
                <w:highlight w:val="none"/>
                <w:lang w:val="en-US" w:eastAsia="zh-CN"/>
              </w:rPr>
              <w:t>序号</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E68E2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rPr>
            </w:pPr>
            <w:r>
              <w:rPr>
                <w:rFonts w:hint="default" w:ascii="Times New Roman" w:hAnsi="Times New Roman" w:cs="Times New Roman"/>
                <w:b/>
                <w:bCs/>
                <w:color w:val="000000"/>
                <w:kern w:val="0"/>
                <w:sz w:val="21"/>
                <w:szCs w:val="21"/>
                <w:highlight w:val="none"/>
                <w:lang w:val="en-US" w:eastAsia="zh-CN"/>
              </w:rPr>
              <w:t>颗粒物浓度（mg/m</w:t>
            </w:r>
            <w:r>
              <w:rPr>
                <w:rFonts w:hint="default" w:ascii="Times New Roman" w:hAnsi="Times New Roman" w:cs="Times New Roman"/>
                <w:b/>
                <w:bCs/>
                <w:color w:val="000000"/>
                <w:kern w:val="0"/>
                <w:sz w:val="21"/>
                <w:szCs w:val="21"/>
                <w:highlight w:val="none"/>
                <w:vertAlign w:val="superscript"/>
                <w:lang w:val="en-US" w:eastAsia="zh-CN"/>
              </w:rPr>
              <w:t>3</w:t>
            </w:r>
            <w:r>
              <w:rPr>
                <w:rFonts w:hint="default" w:ascii="Times New Roman" w:hAnsi="Times New Roman" w:cs="Times New Roman"/>
                <w:b/>
                <w:bCs/>
                <w:color w:val="000000"/>
                <w:kern w:val="0"/>
                <w:sz w:val="21"/>
                <w:szCs w:val="21"/>
                <w:highlight w:val="none"/>
                <w:lang w:val="en-US" w:eastAsia="zh-CN"/>
              </w:rPr>
              <w:t>）</w:t>
            </w:r>
          </w:p>
        </w:tc>
        <w:tc>
          <w:tcPr>
            <w:tcW w:w="78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3BC8A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rPr>
            </w:pPr>
            <w:r>
              <w:rPr>
                <w:rFonts w:hint="default" w:ascii="Times New Roman" w:hAnsi="Times New Roman" w:cs="Times New Roman"/>
                <w:b/>
                <w:bCs/>
                <w:color w:val="000000"/>
                <w:kern w:val="0"/>
                <w:sz w:val="21"/>
                <w:szCs w:val="21"/>
                <w:highlight w:val="none"/>
                <w:lang w:val="en-US" w:eastAsia="zh-CN"/>
              </w:rPr>
              <w:t>序号</w:t>
            </w:r>
          </w:p>
        </w:tc>
        <w:tc>
          <w:tcPr>
            <w:tcW w:w="14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21434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rPr>
            </w:pPr>
            <w:r>
              <w:rPr>
                <w:rFonts w:hint="default" w:ascii="Times New Roman" w:hAnsi="Times New Roman" w:cs="Times New Roman"/>
                <w:b/>
                <w:bCs/>
                <w:color w:val="000000"/>
                <w:kern w:val="0"/>
                <w:sz w:val="21"/>
                <w:szCs w:val="21"/>
                <w:highlight w:val="none"/>
                <w:lang w:val="en-US" w:eastAsia="zh-CN"/>
              </w:rPr>
              <w:t>颗粒物浓度（mg/m</w:t>
            </w:r>
            <w:r>
              <w:rPr>
                <w:rFonts w:hint="default" w:ascii="Times New Roman" w:hAnsi="Times New Roman" w:cs="Times New Roman"/>
                <w:b/>
                <w:bCs/>
                <w:color w:val="000000"/>
                <w:kern w:val="0"/>
                <w:sz w:val="21"/>
                <w:szCs w:val="21"/>
                <w:highlight w:val="none"/>
                <w:vertAlign w:val="superscript"/>
                <w:lang w:val="en-US" w:eastAsia="zh-CN"/>
              </w:rPr>
              <w:t>3</w:t>
            </w:r>
            <w:r>
              <w:rPr>
                <w:rFonts w:hint="default" w:ascii="Times New Roman" w:hAnsi="Times New Roman" w:cs="Times New Roman"/>
                <w:b/>
                <w:bCs/>
                <w:color w:val="000000"/>
                <w:kern w:val="0"/>
                <w:sz w:val="21"/>
                <w:szCs w:val="21"/>
                <w:highlight w:val="none"/>
                <w:lang w:val="en-US" w:eastAsia="zh-CN"/>
              </w:rPr>
              <w:t>）</w:t>
            </w:r>
          </w:p>
        </w:tc>
        <w:tc>
          <w:tcPr>
            <w:tcW w:w="78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EDCF7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rPr>
            </w:pPr>
            <w:r>
              <w:rPr>
                <w:rFonts w:hint="default" w:ascii="Times New Roman" w:hAnsi="Times New Roman" w:cs="Times New Roman"/>
                <w:b/>
                <w:bCs/>
                <w:color w:val="000000"/>
                <w:kern w:val="0"/>
                <w:sz w:val="21"/>
                <w:szCs w:val="21"/>
                <w:highlight w:val="none"/>
                <w:lang w:val="en-US" w:eastAsia="zh-CN"/>
              </w:rPr>
              <w:t>序号</w:t>
            </w:r>
          </w:p>
        </w:tc>
        <w:tc>
          <w:tcPr>
            <w:tcW w:w="14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782AB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rPr>
            </w:pPr>
            <w:r>
              <w:rPr>
                <w:rFonts w:hint="default" w:ascii="Times New Roman" w:hAnsi="Times New Roman" w:cs="Times New Roman"/>
                <w:b/>
                <w:bCs/>
                <w:color w:val="000000"/>
                <w:kern w:val="0"/>
                <w:sz w:val="21"/>
                <w:szCs w:val="21"/>
                <w:highlight w:val="none"/>
                <w:lang w:val="en-US" w:eastAsia="zh-CN"/>
              </w:rPr>
              <w:t>颗粒物浓度（mg/m</w:t>
            </w:r>
            <w:r>
              <w:rPr>
                <w:rFonts w:hint="default" w:ascii="Times New Roman" w:hAnsi="Times New Roman" w:cs="Times New Roman"/>
                <w:b/>
                <w:bCs/>
                <w:color w:val="000000"/>
                <w:kern w:val="0"/>
                <w:sz w:val="21"/>
                <w:szCs w:val="21"/>
                <w:highlight w:val="none"/>
                <w:vertAlign w:val="superscript"/>
                <w:lang w:val="en-US" w:eastAsia="zh-CN"/>
              </w:rPr>
              <w:t>3</w:t>
            </w:r>
            <w:r>
              <w:rPr>
                <w:rFonts w:hint="default" w:ascii="Times New Roman" w:hAnsi="Times New Roman" w:cs="Times New Roman"/>
                <w:b/>
                <w:bCs/>
                <w:color w:val="000000"/>
                <w:kern w:val="0"/>
                <w:sz w:val="21"/>
                <w:szCs w:val="21"/>
                <w:highlight w:val="none"/>
                <w:lang w:val="en-US" w:eastAsia="zh-CN"/>
              </w:rPr>
              <w:t>）</w:t>
            </w:r>
          </w:p>
        </w:tc>
      </w:tr>
      <w:tr w14:paraId="1404B2E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2703A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排气筒1</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A2468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未检出</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10DC5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排气筒17</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44355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未检出</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6DC6A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排气筒33</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3CCD0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2.2 </w:t>
            </w:r>
          </w:p>
        </w:tc>
      </w:tr>
      <w:tr w14:paraId="0F27B1F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F0C21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排气筒2</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9C5BE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未检出</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8FF6C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排气筒18</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A25C0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0.2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35BC1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排气筒34</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4238E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0.1 </w:t>
            </w:r>
          </w:p>
        </w:tc>
      </w:tr>
      <w:tr w14:paraId="0BB5F3C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A9545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排气筒3</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A8045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0.2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B2EB7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排气筒19</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F6E5E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1.0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9405D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排气筒35</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7DBCF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0.1 </w:t>
            </w:r>
          </w:p>
        </w:tc>
      </w:tr>
      <w:tr w14:paraId="0E15741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D8990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排气筒4</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851DC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0.1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8B2C4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排气筒20</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1FAE8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2.7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7B62B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排气筒36</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2F6E7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0.1 </w:t>
            </w:r>
          </w:p>
        </w:tc>
      </w:tr>
      <w:tr w14:paraId="1783059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5FA04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排气筒5</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FCBBB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未检出</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77196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排气筒21</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7FCA8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0.1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C8B35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排气筒37</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CBB25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0.2 </w:t>
            </w:r>
          </w:p>
        </w:tc>
      </w:tr>
      <w:tr w14:paraId="630B8B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774F7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排气筒6</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22C73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未检出</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97872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排气筒22</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8472A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0.3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C825D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排气筒38</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7158B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0.1 </w:t>
            </w:r>
          </w:p>
        </w:tc>
      </w:tr>
      <w:tr w14:paraId="57993BA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1B5C5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排气筒7</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DB0F3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未检出</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39B82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排气筒23</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0B387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1.2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D2D81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排气筒39</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48F2C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0.1 </w:t>
            </w:r>
          </w:p>
        </w:tc>
      </w:tr>
      <w:tr w14:paraId="49CB562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FD5A7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排气筒8</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96255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0.1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DD58E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排气筒24</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5DCEB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0.1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B2AC2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排气筒40</w:t>
            </w:r>
          </w:p>
        </w:tc>
        <w:tc>
          <w:tcPr>
            <w:tcW w:w="8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4B705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11.8 </w:t>
            </w:r>
          </w:p>
        </w:tc>
      </w:tr>
      <w:tr w14:paraId="53F3836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20841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排气筒9</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754C3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未检出</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4DD18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排气筒25</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EAB40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未检出</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6F176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排气筒41</w:t>
            </w:r>
          </w:p>
        </w:tc>
        <w:tc>
          <w:tcPr>
            <w:tcW w:w="8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03217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4.9 </w:t>
            </w:r>
          </w:p>
        </w:tc>
      </w:tr>
      <w:tr w14:paraId="1E1BE4C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DDC73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排气筒10</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3A25F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3.2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38A4D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排气筒26</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38157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0.4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8D109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排气筒42</w:t>
            </w:r>
          </w:p>
        </w:tc>
        <w:tc>
          <w:tcPr>
            <w:tcW w:w="8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E2D75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27.4 </w:t>
            </w:r>
          </w:p>
        </w:tc>
      </w:tr>
      <w:tr w14:paraId="269370C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9C06E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排气筒11</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C3E42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1.2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86A21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排气筒27</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CD314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0.1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97143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排气筒43</w:t>
            </w:r>
          </w:p>
        </w:tc>
        <w:tc>
          <w:tcPr>
            <w:tcW w:w="8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00358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8.3 </w:t>
            </w:r>
          </w:p>
        </w:tc>
      </w:tr>
      <w:tr w14:paraId="5093D3E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CC4BE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排气筒12</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68A08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1.0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CC847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排气筒28</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B81C3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0.2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5EF18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排气筒44</w:t>
            </w:r>
          </w:p>
        </w:tc>
        <w:tc>
          <w:tcPr>
            <w:tcW w:w="8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FEDE7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11.1 </w:t>
            </w:r>
          </w:p>
        </w:tc>
      </w:tr>
      <w:tr w14:paraId="63217A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C8F1A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排气筒13</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330DD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2.5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B07A5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排气筒29</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C91B9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2.6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B080A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排气筒45</w:t>
            </w:r>
          </w:p>
        </w:tc>
        <w:tc>
          <w:tcPr>
            <w:tcW w:w="8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78B93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1.2 </w:t>
            </w:r>
          </w:p>
        </w:tc>
      </w:tr>
      <w:tr w14:paraId="1934694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277CA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排气筒14</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63549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未检出</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DAF38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排气筒30</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79F4C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0.4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0C6D4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排气筒46</w:t>
            </w:r>
          </w:p>
        </w:tc>
        <w:tc>
          <w:tcPr>
            <w:tcW w:w="8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18278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4.9 </w:t>
            </w:r>
          </w:p>
        </w:tc>
      </w:tr>
      <w:tr w14:paraId="2F6367E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0B989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排气筒15</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12297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未检出</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22035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排气筒31</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2B2F5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0.2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AFC73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排气筒47</w:t>
            </w:r>
          </w:p>
        </w:tc>
        <w:tc>
          <w:tcPr>
            <w:tcW w:w="8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DAA06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19.7 </w:t>
            </w:r>
          </w:p>
        </w:tc>
      </w:tr>
      <w:tr w14:paraId="5312CFA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EA2FC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排气筒16</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7CFB8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未检出</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94DE4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排气筒32</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27D0C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2.8 </w:t>
            </w:r>
          </w:p>
        </w:tc>
        <w:tc>
          <w:tcPr>
            <w:tcW w:w="78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6B3D7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排气筒48</w:t>
            </w:r>
          </w:p>
        </w:tc>
        <w:tc>
          <w:tcPr>
            <w:tcW w:w="8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15BEC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16.3 </w:t>
            </w:r>
          </w:p>
        </w:tc>
      </w:tr>
    </w:tbl>
    <w:p w14:paraId="085C76C1">
      <w:pPr>
        <w:keepNext/>
        <w:keepLines w:val="0"/>
        <w:pageBreakBefore w:val="0"/>
        <w:widowControl w:val="0"/>
        <w:kinsoku/>
        <w:wordWrap/>
        <w:autoSpaceDE/>
        <w:autoSpaceDN/>
        <w:bidi w:val="0"/>
        <w:spacing w:line="360" w:lineRule="auto"/>
        <w:ind w:firstLine="482" w:firstLineChars="200"/>
        <w:rPr>
          <w:rFonts w:hint="default" w:ascii="Times New Roman" w:hAnsi="Times New Roman" w:eastAsia="宋体" w:cs="Times New Roman"/>
          <w:b/>
          <w:bCs/>
          <w:kern w:val="0"/>
          <w:sz w:val="24"/>
          <w:highlight w:val="none"/>
          <w:lang w:val="en-US" w:eastAsia="zh-CN"/>
        </w:rPr>
      </w:pPr>
      <w:r>
        <w:rPr>
          <w:rFonts w:hint="default" w:ascii="Times New Roman" w:hAnsi="Times New Roman" w:cs="Times New Roman"/>
          <w:b/>
          <w:bCs/>
          <w:kern w:val="0"/>
          <w:sz w:val="24"/>
          <w:highlight w:val="none"/>
          <w:lang w:eastAsia="zh-CN"/>
        </w:rPr>
        <w:t>（</w:t>
      </w:r>
      <w:r>
        <w:rPr>
          <w:rFonts w:hint="default" w:ascii="Times New Roman" w:hAnsi="Times New Roman" w:cs="Times New Roman"/>
          <w:b/>
          <w:bCs/>
          <w:kern w:val="0"/>
          <w:sz w:val="24"/>
          <w:highlight w:val="none"/>
          <w:lang w:val="en-US" w:eastAsia="zh-CN"/>
        </w:rPr>
        <w:t>2</w:t>
      </w:r>
      <w:r>
        <w:rPr>
          <w:rFonts w:hint="default" w:ascii="Times New Roman" w:hAnsi="Times New Roman" w:cs="Times New Roman"/>
          <w:b/>
          <w:bCs/>
          <w:kern w:val="0"/>
          <w:sz w:val="24"/>
          <w:highlight w:val="none"/>
          <w:lang w:eastAsia="zh-CN"/>
        </w:rPr>
        <w:t>）</w:t>
      </w:r>
      <w:r>
        <w:rPr>
          <w:rFonts w:hint="default" w:ascii="Times New Roman" w:hAnsi="Times New Roman" w:cs="Times New Roman"/>
          <w:b/>
          <w:bCs/>
          <w:kern w:val="0"/>
          <w:sz w:val="24"/>
          <w:highlight w:val="none"/>
          <w:lang w:val="en-US" w:eastAsia="zh-CN"/>
        </w:rPr>
        <w:t>企业自行监测报告</w:t>
      </w:r>
    </w:p>
    <w:p w14:paraId="187F2547">
      <w:pPr>
        <w:keepNext/>
        <w:keepLines w:val="0"/>
        <w:pageBreakBefore w:val="0"/>
        <w:widowControl w:val="0"/>
        <w:kinsoku/>
        <w:wordWrap/>
        <w:autoSpaceDE/>
        <w:autoSpaceDN/>
        <w:bidi w:val="0"/>
        <w:spacing w:line="360" w:lineRule="auto"/>
        <w:ind w:firstLine="480" w:firstLineChars="200"/>
        <w:rPr>
          <w:rFonts w:hint="default" w:ascii="Times New Roman" w:hAnsi="Times New Roman" w:cs="Times New Roman"/>
          <w:color w:val="000000"/>
          <w:kern w:val="0"/>
          <w:sz w:val="24"/>
          <w:highlight w:val="none"/>
        </w:rPr>
      </w:pPr>
      <w:r>
        <w:rPr>
          <w:rFonts w:hint="default" w:ascii="Times New Roman" w:hAnsi="Times New Roman" w:cs="Times New Roman"/>
          <w:sz w:val="24"/>
          <w:highlight w:val="none"/>
        </w:rPr>
        <w:t>同时，我们对收集的企业自行监测的数据进行统计分析，其中有</w:t>
      </w:r>
      <w:r>
        <w:rPr>
          <w:rFonts w:hint="default" w:ascii="Times New Roman" w:hAnsi="Times New Roman" w:cs="Times New Roman"/>
          <w:sz w:val="24"/>
          <w:highlight w:val="none"/>
          <w:lang w:val="en-US" w:eastAsia="zh-CN"/>
        </w:rPr>
        <w:t>124个排气筒</w:t>
      </w:r>
      <w:r>
        <w:rPr>
          <w:rFonts w:hint="default" w:ascii="Times New Roman" w:hAnsi="Times New Roman" w:cs="Times New Roman"/>
          <w:sz w:val="24"/>
          <w:highlight w:val="none"/>
        </w:rPr>
        <w:t>对</w:t>
      </w:r>
      <w:r>
        <w:rPr>
          <w:rFonts w:hint="default" w:ascii="Times New Roman" w:hAnsi="Times New Roman" w:cs="Times New Roman"/>
          <w:sz w:val="24"/>
          <w:highlight w:val="none"/>
          <w:lang w:val="en-US" w:eastAsia="zh-CN"/>
        </w:rPr>
        <w:t>颗粒物</w:t>
      </w:r>
      <w:r>
        <w:rPr>
          <w:rFonts w:hint="default" w:ascii="Times New Roman" w:hAnsi="Times New Roman" w:cs="Times New Roman"/>
          <w:sz w:val="24"/>
          <w:highlight w:val="none"/>
        </w:rPr>
        <w:t>进行监测，浓度范围在</w:t>
      </w:r>
      <w:r>
        <w:rPr>
          <w:rFonts w:hint="default" w:ascii="Times New Roman" w:hAnsi="Times New Roman" w:cs="Times New Roman"/>
          <w:sz w:val="24"/>
          <w:highlight w:val="none"/>
          <w:lang w:val="en-US" w:eastAsia="zh-CN"/>
        </w:rPr>
        <w:t>未检出</w:t>
      </w:r>
      <w:r>
        <w:rPr>
          <w:rFonts w:hint="default" w:ascii="Times New Roman" w:hAnsi="Times New Roman" w:cs="Times New Roman"/>
          <w:sz w:val="24"/>
          <w:highlight w:val="none"/>
        </w:rPr>
        <w:t>~</w:t>
      </w:r>
      <w:r>
        <w:rPr>
          <w:rFonts w:hint="default" w:ascii="Times New Roman" w:hAnsi="Times New Roman" w:cs="Times New Roman"/>
          <w:sz w:val="24"/>
          <w:highlight w:val="none"/>
          <w:lang w:val="en-US" w:eastAsia="zh-CN"/>
        </w:rPr>
        <w:t>82.0</w:t>
      </w:r>
      <w:r>
        <w:rPr>
          <w:rFonts w:hint="eastAsia" w:cs="Times New Roman"/>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rPr>
        <w:t>但</w:t>
      </w:r>
      <w:r>
        <w:rPr>
          <w:rFonts w:hint="default" w:ascii="Times New Roman" w:hAnsi="Times New Roman" w:cs="Times New Roman"/>
          <w:sz w:val="24"/>
          <w:highlight w:val="none"/>
        </w:rPr>
        <w:t>所有企业有组织废气颗粒物的排放浓度</w:t>
      </w:r>
      <w:r>
        <w:rPr>
          <w:rFonts w:hint="default" w:ascii="Times New Roman" w:hAnsi="Times New Roman" w:cs="Times New Roman"/>
          <w:sz w:val="24"/>
          <w:highlight w:val="none"/>
          <w:lang w:val="en-US" w:eastAsia="zh-CN"/>
        </w:rPr>
        <w:t>均</w:t>
      </w:r>
      <w:r>
        <w:rPr>
          <w:rFonts w:hint="default" w:ascii="Times New Roman" w:hAnsi="Times New Roman" w:cs="Times New Roman"/>
          <w:sz w:val="24"/>
          <w:highlight w:val="none"/>
        </w:rPr>
        <w:t>小于四川省现执行的《大气污染物综合排放标准》（GB16297</w:t>
      </w:r>
      <w:r>
        <w:rPr>
          <w:rFonts w:hint="eastAsia" w:ascii="Times New Roman" w:hAnsi="Times New Roman" w:cs="Times New Roman"/>
          <w:sz w:val="24"/>
          <w:highlight w:val="none"/>
          <w:lang w:val="en-US" w:eastAsia="zh-CN"/>
        </w:rPr>
        <w:t>—</w:t>
      </w:r>
      <w:r>
        <w:rPr>
          <w:rFonts w:hint="default" w:ascii="Times New Roman" w:hAnsi="Times New Roman" w:cs="Times New Roman"/>
          <w:sz w:val="24"/>
          <w:highlight w:val="none"/>
        </w:rPr>
        <w:t>1996）表2中二级排放标准要求120</w:t>
      </w:r>
      <w:r>
        <w:rPr>
          <w:rFonts w:hint="default" w:ascii="Times New Roman" w:hAnsi="Times New Roman" w:cs="Times New Roman"/>
          <w:color w:val="000000"/>
          <w:kern w:val="0"/>
          <w:sz w:val="24"/>
          <w:highlight w:val="none"/>
        </w:rPr>
        <w:t xml:space="preserve"> 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sz w:val="24"/>
          <w:highlight w:val="none"/>
        </w:rPr>
        <w:t>。</w:t>
      </w:r>
      <w:r>
        <w:rPr>
          <w:rFonts w:hint="default" w:ascii="Times New Roman" w:hAnsi="Times New Roman" w:cs="Times New Roman"/>
          <w:sz w:val="24"/>
          <w:highlight w:val="none"/>
          <w:lang w:val="en-US" w:eastAsia="zh-CN"/>
        </w:rPr>
        <w:t>25个排气筒浓度超过10</w:t>
      </w:r>
      <w:r>
        <w:rPr>
          <w:rFonts w:hint="eastAsia" w:cs="Times New Roman"/>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vertAlign w:val="baseline"/>
          <w:lang w:eastAsia="zh-CN"/>
        </w:rPr>
        <w:t>，</w:t>
      </w:r>
      <w:r>
        <w:rPr>
          <w:rFonts w:hint="default" w:ascii="Times New Roman" w:hAnsi="Times New Roman" w:cs="Times New Roman"/>
          <w:color w:val="000000"/>
          <w:kern w:val="0"/>
          <w:sz w:val="24"/>
          <w:highlight w:val="none"/>
          <w:vertAlign w:val="baseline"/>
          <w:lang w:val="en-US" w:eastAsia="zh-CN"/>
        </w:rPr>
        <w:t>实测浓度为10.2~82.0</w:t>
      </w:r>
      <w:r>
        <w:rPr>
          <w:rFonts w:hint="eastAsia" w:cs="Times New Roman"/>
          <w:color w:val="000000"/>
          <w:kern w:val="0"/>
          <w:sz w:val="24"/>
          <w:highlight w:val="none"/>
          <w:vertAlign w:val="baseli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vertAlign w:val="baseline"/>
          <w:lang w:eastAsia="zh-CN"/>
        </w:rPr>
        <w:t>，</w:t>
      </w:r>
      <w:r>
        <w:rPr>
          <w:rFonts w:hint="default" w:ascii="Times New Roman" w:hAnsi="Times New Roman" w:cs="Times New Roman"/>
          <w:color w:val="000000"/>
          <w:kern w:val="0"/>
          <w:sz w:val="24"/>
          <w:highlight w:val="none"/>
          <w:vertAlign w:val="baseline"/>
          <w:lang w:val="en-US" w:eastAsia="zh-CN"/>
        </w:rPr>
        <w:t>56%为二类汽车维修，39%为一类</w:t>
      </w:r>
      <w:r>
        <w:rPr>
          <w:rFonts w:hint="default" w:ascii="Times New Roman" w:hAnsi="Times New Roman" w:cs="Times New Roman"/>
          <w:color w:val="000000"/>
          <w:kern w:val="0"/>
          <w:sz w:val="24"/>
          <w:highlight w:val="none"/>
          <w:vertAlign w:val="baseline"/>
          <w:lang w:eastAsia="zh-CN"/>
        </w:rPr>
        <w:t>。</w:t>
      </w:r>
      <w:r>
        <w:rPr>
          <w:rFonts w:hint="default" w:ascii="Times New Roman" w:hAnsi="Times New Roman" w:cs="Times New Roman"/>
          <w:color w:val="000000"/>
          <w:kern w:val="0"/>
          <w:sz w:val="24"/>
          <w:highlight w:val="none"/>
          <w:lang w:val="en-US" w:eastAsia="zh-CN"/>
        </w:rPr>
        <w:t>平均浓度为9.2±11.4</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w:t>
      </w:r>
      <w:r>
        <w:rPr>
          <w:rFonts w:hint="default" w:ascii="Times New Roman" w:hAnsi="Times New Roman" w:cs="Times New Roman"/>
          <w:kern w:val="0"/>
          <w:sz w:val="24"/>
          <w:highlight w:val="none"/>
          <w:lang w:val="en-US" w:eastAsia="zh-CN"/>
        </w:rPr>
        <w:t>浓度主要分布在</w:t>
      </w:r>
      <w:r>
        <w:rPr>
          <w:rFonts w:hint="default" w:ascii="Times New Roman" w:hAnsi="Times New Roman" w:cs="Times New Roman"/>
          <w:kern w:val="0"/>
          <w:sz w:val="24"/>
          <w:highlight w:val="none"/>
        </w:rPr>
        <w:t>0~</w:t>
      </w:r>
      <w:r>
        <w:rPr>
          <w:rFonts w:hint="default" w:ascii="Times New Roman" w:hAnsi="Times New Roman" w:cs="Times New Roman"/>
          <w:kern w:val="0"/>
          <w:sz w:val="24"/>
          <w:highlight w:val="none"/>
          <w:lang w:val="en-US" w:eastAsia="zh-CN"/>
        </w:rPr>
        <w:t>10</w:t>
      </w:r>
      <w:r>
        <w:rPr>
          <w:rFonts w:hint="eastAsia" w:cs="Times New Roman"/>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lang w:val="en-US" w:eastAsia="zh-CN"/>
        </w:rPr>
        <w:t>占比62%，</w:t>
      </w:r>
      <w:r>
        <w:rPr>
          <w:rFonts w:hint="default" w:ascii="Times New Roman" w:hAnsi="Times New Roman" w:cs="Times New Roman"/>
          <w:kern w:val="0"/>
          <w:sz w:val="24"/>
          <w:highlight w:val="none"/>
          <w:lang w:val="en-US" w:eastAsia="zh-CN"/>
        </w:rPr>
        <w:t>其次为未检出，占比18%，1</w:t>
      </w:r>
      <w:r>
        <w:rPr>
          <w:rFonts w:hint="default" w:ascii="Times New Roman" w:hAnsi="Times New Roman" w:cs="Times New Roman"/>
          <w:kern w:val="0"/>
          <w:sz w:val="24"/>
          <w:highlight w:val="none"/>
        </w:rPr>
        <w:t>0~</w:t>
      </w:r>
      <w:r>
        <w:rPr>
          <w:rFonts w:hint="default" w:ascii="Times New Roman" w:hAnsi="Times New Roman" w:cs="Times New Roman"/>
          <w:kern w:val="0"/>
          <w:sz w:val="24"/>
          <w:highlight w:val="none"/>
          <w:lang w:val="en-US" w:eastAsia="zh-CN"/>
        </w:rPr>
        <w:t>20</w:t>
      </w:r>
      <w:r>
        <w:rPr>
          <w:rFonts w:hint="eastAsia" w:cs="Times New Roman"/>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color w:val="000000"/>
          <w:kern w:val="0"/>
          <w:sz w:val="24"/>
          <w:highlight w:val="none"/>
          <w:lang w:val="en-US" w:eastAsia="zh-CN"/>
        </w:rPr>
        <w:t>占比7%，20</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lang w:val="en-US" w:eastAsia="zh-CN"/>
        </w:rPr>
        <w:t>以上占比13%</w:t>
      </w:r>
      <w:r>
        <w:rPr>
          <w:rFonts w:hint="default" w:ascii="Times New Roman" w:hAnsi="Times New Roman" w:cs="Times New Roman"/>
          <w:color w:val="000000"/>
          <w:kern w:val="0"/>
          <w:sz w:val="24"/>
          <w:highlight w:val="none"/>
          <w:vertAlign w:val="baseline"/>
          <w:lang w:eastAsia="zh-CN"/>
        </w:rPr>
        <w:t>。</w:t>
      </w:r>
    </w:p>
    <w:p w14:paraId="77D33230">
      <w:pPr>
        <w:keepNext/>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kern w:val="0"/>
          <w:szCs w:val="21"/>
          <w:highlight w:val="none"/>
        </w:rPr>
      </w:pPr>
      <w:r>
        <w:rPr>
          <w:rFonts w:hint="eastAsia" w:cs="Times New Roman"/>
          <w:kern w:val="0"/>
          <w:szCs w:val="21"/>
          <w:highlight w:val="none"/>
          <w:lang w:val="en-US" w:eastAsia="zh-CN"/>
        </w:rPr>
        <w:t>表7.5</w:t>
      </w:r>
      <w:r>
        <w:rPr>
          <w:rFonts w:hint="default" w:ascii="Times New Roman" w:hAnsi="Times New Roman" w:cs="Times New Roman"/>
          <w:kern w:val="0"/>
          <w:szCs w:val="21"/>
          <w:highlight w:val="none"/>
        </w:rPr>
        <w:t>-</w:t>
      </w:r>
      <w:r>
        <w:rPr>
          <w:rFonts w:hint="default" w:ascii="Times New Roman" w:hAnsi="Times New Roman" w:cs="Times New Roman"/>
          <w:kern w:val="0"/>
          <w:szCs w:val="21"/>
          <w:highlight w:val="none"/>
          <w:lang w:val="en-US" w:eastAsia="zh-CN"/>
        </w:rPr>
        <w:t>1</w:t>
      </w:r>
      <w:r>
        <w:rPr>
          <w:rFonts w:hint="eastAsia" w:cs="Times New Roman"/>
          <w:kern w:val="0"/>
          <w:szCs w:val="21"/>
          <w:highlight w:val="none"/>
          <w:lang w:val="en-US" w:eastAsia="zh-CN"/>
        </w:rPr>
        <w:t>3</w:t>
      </w:r>
      <w:r>
        <w:rPr>
          <w:rFonts w:hint="default" w:ascii="Times New Roman" w:hAnsi="Times New Roman" w:cs="Times New Roman"/>
          <w:kern w:val="0"/>
          <w:szCs w:val="21"/>
          <w:highlight w:val="none"/>
        </w:rPr>
        <w:t xml:space="preserve"> 企业自行监测有组织废气</w:t>
      </w:r>
      <w:r>
        <w:rPr>
          <w:rFonts w:hint="default" w:ascii="Times New Roman" w:hAnsi="Times New Roman" w:cs="Times New Roman"/>
          <w:kern w:val="0"/>
          <w:szCs w:val="21"/>
          <w:highlight w:val="none"/>
          <w:lang w:val="en-US" w:eastAsia="zh-CN"/>
        </w:rPr>
        <w:t>颗粒物</w:t>
      </w:r>
      <w:r>
        <w:rPr>
          <w:rFonts w:hint="default" w:ascii="Times New Roman" w:hAnsi="Times New Roman" w:cs="Times New Roman"/>
          <w:kern w:val="0"/>
          <w:szCs w:val="21"/>
          <w:highlight w:val="none"/>
        </w:rPr>
        <w:t>的排放浓度情况</w:t>
      </w:r>
    </w:p>
    <w:tbl>
      <w:tblPr>
        <w:tblStyle w:val="21"/>
        <w:tblW w:w="4998" w:type="pct"/>
        <w:jc w:val="center"/>
        <w:tblLayout w:type="autofit"/>
        <w:tblCellMar>
          <w:top w:w="0" w:type="dxa"/>
          <w:left w:w="108" w:type="dxa"/>
          <w:bottom w:w="0" w:type="dxa"/>
          <w:right w:w="108" w:type="dxa"/>
        </w:tblCellMar>
      </w:tblPr>
      <w:tblGrid>
        <w:gridCol w:w="3026"/>
        <w:gridCol w:w="875"/>
        <w:gridCol w:w="875"/>
        <w:gridCol w:w="875"/>
        <w:gridCol w:w="952"/>
        <w:gridCol w:w="957"/>
        <w:gridCol w:w="965"/>
      </w:tblGrid>
      <w:tr w14:paraId="2AB09B18">
        <w:tblPrEx>
          <w:tblCellMar>
            <w:top w:w="0" w:type="dxa"/>
            <w:left w:w="108" w:type="dxa"/>
            <w:bottom w:w="0" w:type="dxa"/>
            <w:right w:w="108" w:type="dxa"/>
          </w:tblCellMar>
        </w:tblPrEx>
        <w:trPr>
          <w:trHeight w:val="300" w:hRule="atLeast"/>
          <w:jc w:val="center"/>
        </w:trPr>
        <w:tc>
          <w:tcPr>
            <w:tcW w:w="1774" w:type="pct"/>
            <w:tcBorders>
              <w:top w:val="single" w:color="auto" w:sz="4" w:space="0"/>
              <w:left w:val="single" w:color="auto" w:sz="4" w:space="0"/>
              <w:bottom w:val="single" w:color="auto" w:sz="4" w:space="0"/>
              <w:right w:val="single" w:color="auto" w:sz="4" w:space="0"/>
            </w:tcBorders>
            <w:shd w:val="clear" w:color="auto" w:fill="auto"/>
            <w:noWrap/>
            <w:vAlign w:val="center"/>
          </w:tcPr>
          <w:p w14:paraId="06FEA5B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rPr>
            </w:pPr>
            <w:r>
              <w:rPr>
                <w:rFonts w:hint="default" w:ascii="Times New Roman" w:hAnsi="Times New Roman" w:cs="Times New Roman"/>
                <w:b/>
                <w:bCs/>
                <w:color w:val="000000"/>
                <w:kern w:val="0"/>
                <w:sz w:val="21"/>
                <w:szCs w:val="21"/>
                <w:highlight w:val="none"/>
                <w:lang w:val="en-US" w:eastAsia="zh-CN"/>
              </w:rPr>
              <w:t>颗粒物</w:t>
            </w:r>
            <w:r>
              <w:rPr>
                <w:rFonts w:hint="default" w:ascii="Times New Roman" w:hAnsi="Times New Roman" w:cs="Times New Roman"/>
                <w:b/>
                <w:bCs/>
                <w:color w:val="000000"/>
                <w:kern w:val="0"/>
                <w:sz w:val="21"/>
                <w:szCs w:val="21"/>
                <w:highlight w:val="none"/>
              </w:rPr>
              <w:t>浓度（mg/m</w:t>
            </w:r>
            <w:r>
              <w:rPr>
                <w:rFonts w:hint="default" w:ascii="Times New Roman" w:hAnsi="Times New Roman" w:cs="Times New Roman"/>
                <w:b/>
                <w:bCs/>
                <w:color w:val="000000"/>
                <w:kern w:val="0"/>
                <w:sz w:val="21"/>
                <w:szCs w:val="21"/>
                <w:highlight w:val="none"/>
                <w:vertAlign w:val="superscript"/>
              </w:rPr>
              <w:t>3</w:t>
            </w:r>
            <w:r>
              <w:rPr>
                <w:rFonts w:hint="default" w:ascii="Times New Roman" w:hAnsi="Times New Roman" w:cs="Times New Roman"/>
                <w:b/>
                <w:bCs/>
                <w:color w:val="000000"/>
                <w:kern w:val="0"/>
                <w:sz w:val="21"/>
                <w:szCs w:val="21"/>
                <w:highlight w:val="none"/>
              </w:rPr>
              <w:t>）</w:t>
            </w:r>
          </w:p>
        </w:tc>
        <w:tc>
          <w:tcPr>
            <w:tcW w:w="513" w:type="pct"/>
            <w:tcBorders>
              <w:top w:val="single" w:color="auto" w:sz="4" w:space="0"/>
              <w:left w:val="nil"/>
              <w:bottom w:val="single" w:color="auto" w:sz="4" w:space="0"/>
              <w:right w:val="single" w:color="auto" w:sz="4" w:space="0"/>
            </w:tcBorders>
            <w:shd w:val="clear" w:color="auto" w:fill="auto"/>
            <w:noWrap/>
            <w:vAlign w:val="center"/>
          </w:tcPr>
          <w:p w14:paraId="460EFD3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lang w:val="en-US" w:eastAsia="zh-CN"/>
              </w:rPr>
            </w:pPr>
            <w:r>
              <w:rPr>
                <w:rFonts w:hint="default" w:ascii="Times New Roman" w:hAnsi="Times New Roman" w:cs="Times New Roman"/>
                <w:b/>
                <w:bCs/>
                <w:color w:val="000000"/>
                <w:kern w:val="0"/>
                <w:sz w:val="21"/>
                <w:szCs w:val="21"/>
                <w:highlight w:val="none"/>
                <w:lang w:val="en-US" w:eastAsia="zh-CN"/>
              </w:rPr>
              <w:t>未检出</w:t>
            </w:r>
          </w:p>
        </w:tc>
        <w:tc>
          <w:tcPr>
            <w:tcW w:w="513" w:type="pct"/>
            <w:tcBorders>
              <w:top w:val="single" w:color="auto" w:sz="4" w:space="0"/>
              <w:left w:val="nil"/>
              <w:bottom w:val="single" w:color="auto" w:sz="4" w:space="0"/>
              <w:right w:val="single" w:color="auto" w:sz="4" w:space="0"/>
            </w:tcBorders>
            <w:shd w:val="clear" w:color="auto" w:fill="auto"/>
            <w:noWrap/>
            <w:vAlign w:val="center"/>
          </w:tcPr>
          <w:p w14:paraId="4A87E57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lang w:val="en-US" w:eastAsia="zh-CN"/>
              </w:rPr>
            </w:pPr>
            <w:r>
              <w:rPr>
                <w:rFonts w:hint="default" w:ascii="Times New Roman" w:hAnsi="Times New Roman" w:cs="Times New Roman"/>
                <w:b/>
                <w:bCs/>
                <w:color w:val="000000"/>
                <w:kern w:val="0"/>
                <w:sz w:val="21"/>
                <w:szCs w:val="21"/>
                <w:highlight w:val="none"/>
                <w:lang w:val="en-US" w:eastAsia="zh-CN"/>
              </w:rPr>
              <w:t>0~10</w:t>
            </w:r>
          </w:p>
        </w:tc>
        <w:tc>
          <w:tcPr>
            <w:tcW w:w="513" w:type="pct"/>
            <w:tcBorders>
              <w:top w:val="single" w:color="auto" w:sz="4" w:space="0"/>
              <w:left w:val="nil"/>
              <w:bottom w:val="single" w:color="auto" w:sz="4" w:space="0"/>
              <w:right w:val="single" w:color="auto" w:sz="4" w:space="0"/>
            </w:tcBorders>
            <w:shd w:val="clear" w:color="auto" w:fill="auto"/>
            <w:noWrap/>
            <w:vAlign w:val="center"/>
          </w:tcPr>
          <w:p w14:paraId="089D309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b/>
                <w:bCs/>
                <w:color w:val="000000"/>
                <w:kern w:val="0"/>
                <w:sz w:val="21"/>
                <w:szCs w:val="21"/>
                <w:highlight w:val="none"/>
                <w:lang w:val="en-US" w:eastAsia="zh-CN"/>
              </w:rPr>
            </w:pPr>
            <w:r>
              <w:rPr>
                <w:rFonts w:hint="default" w:ascii="Times New Roman" w:hAnsi="Times New Roman" w:eastAsia="等线" w:cs="Times New Roman"/>
                <w:b/>
                <w:bCs/>
                <w:color w:val="000000"/>
                <w:kern w:val="0"/>
                <w:sz w:val="21"/>
                <w:szCs w:val="21"/>
                <w:highlight w:val="none"/>
                <w:lang w:val="en-US" w:eastAsia="zh-CN"/>
              </w:rPr>
              <w:t>10</w:t>
            </w:r>
            <w:r>
              <w:rPr>
                <w:rFonts w:hint="default" w:ascii="Times New Roman" w:hAnsi="Times New Roman" w:eastAsia="等线" w:cs="Times New Roman"/>
                <w:b/>
                <w:bCs/>
                <w:color w:val="000000"/>
                <w:kern w:val="0"/>
                <w:sz w:val="21"/>
                <w:szCs w:val="21"/>
                <w:highlight w:val="none"/>
              </w:rPr>
              <w:t>~</w:t>
            </w:r>
            <w:r>
              <w:rPr>
                <w:rFonts w:hint="default" w:ascii="Times New Roman" w:hAnsi="Times New Roman" w:eastAsia="等线" w:cs="Times New Roman"/>
                <w:b/>
                <w:bCs/>
                <w:color w:val="000000"/>
                <w:kern w:val="0"/>
                <w:sz w:val="21"/>
                <w:szCs w:val="21"/>
                <w:highlight w:val="none"/>
                <w:lang w:val="en-US" w:eastAsia="zh-CN"/>
              </w:rPr>
              <w:t>20</w:t>
            </w:r>
          </w:p>
        </w:tc>
        <w:tc>
          <w:tcPr>
            <w:tcW w:w="558" w:type="pct"/>
            <w:tcBorders>
              <w:top w:val="single" w:color="auto" w:sz="4" w:space="0"/>
              <w:left w:val="nil"/>
              <w:bottom w:val="single" w:color="auto" w:sz="4" w:space="0"/>
              <w:right w:val="single" w:color="auto" w:sz="4" w:space="0"/>
            </w:tcBorders>
            <w:shd w:val="clear" w:color="auto" w:fill="auto"/>
            <w:noWrap/>
            <w:vAlign w:val="center"/>
          </w:tcPr>
          <w:p w14:paraId="349DF4A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b/>
                <w:bCs/>
                <w:color w:val="000000"/>
                <w:kern w:val="0"/>
                <w:sz w:val="21"/>
                <w:szCs w:val="21"/>
                <w:highlight w:val="none"/>
                <w:lang w:val="en-US" w:eastAsia="zh-CN"/>
              </w:rPr>
            </w:pPr>
            <w:r>
              <w:rPr>
                <w:rFonts w:hint="default" w:ascii="Times New Roman" w:hAnsi="Times New Roman" w:eastAsia="等线" w:cs="Times New Roman"/>
                <w:b/>
                <w:bCs/>
                <w:color w:val="000000"/>
                <w:kern w:val="0"/>
                <w:sz w:val="21"/>
                <w:szCs w:val="21"/>
                <w:highlight w:val="none"/>
                <w:lang w:val="en-US" w:eastAsia="zh-CN"/>
              </w:rPr>
              <w:t>20</w:t>
            </w:r>
            <w:r>
              <w:rPr>
                <w:rFonts w:hint="default" w:ascii="Times New Roman" w:hAnsi="Times New Roman" w:eastAsia="等线" w:cs="Times New Roman"/>
                <w:b/>
                <w:bCs/>
                <w:color w:val="000000"/>
                <w:kern w:val="0"/>
                <w:sz w:val="21"/>
                <w:szCs w:val="21"/>
                <w:highlight w:val="none"/>
              </w:rPr>
              <w:t>~</w:t>
            </w:r>
            <w:r>
              <w:rPr>
                <w:rFonts w:hint="default" w:ascii="Times New Roman" w:hAnsi="Times New Roman" w:eastAsia="等线" w:cs="Times New Roman"/>
                <w:b/>
                <w:bCs/>
                <w:color w:val="000000"/>
                <w:kern w:val="0"/>
                <w:sz w:val="21"/>
                <w:szCs w:val="21"/>
                <w:highlight w:val="none"/>
                <w:lang w:val="en-US" w:eastAsia="zh-CN"/>
              </w:rPr>
              <w:t>30</w:t>
            </w:r>
          </w:p>
        </w:tc>
        <w:tc>
          <w:tcPr>
            <w:tcW w:w="561" w:type="pct"/>
            <w:tcBorders>
              <w:top w:val="single" w:color="auto" w:sz="4" w:space="0"/>
              <w:left w:val="nil"/>
              <w:bottom w:val="single" w:color="auto" w:sz="4" w:space="0"/>
              <w:right w:val="single" w:color="auto" w:sz="4" w:space="0"/>
            </w:tcBorders>
            <w:shd w:val="clear" w:color="auto" w:fill="auto"/>
            <w:noWrap/>
            <w:vAlign w:val="center"/>
          </w:tcPr>
          <w:p w14:paraId="14CEF19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b/>
                <w:bCs/>
                <w:color w:val="000000"/>
                <w:kern w:val="0"/>
                <w:sz w:val="21"/>
                <w:szCs w:val="21"/>
                <w:highlight w:val="none"/>
                <w:lang w:val="en-US" w:eastAsia="zh-CN"/>
              </w:rPr>
            </w:pPr>
            <w:r>
              <w:rPr>
                <w:rFonts w:hint="default" w:ascii="Times New Roman" w:hAnsi="Times New Roman" w:eastAsia="等线" w:cs="Times New Roman"/>
                <w:b/>
                <w:bCs/>
                <w:color w:val="000000"/>
                <w:kern w:val="0"/>
                <w:sz w:val="21"/>
                <w:szCs w:val="21"/>
                <w:highlight w:val="none"/>
                <w:lang w:val="en-US" w:eastAsia="zh-CN"/>
              </w:rPr>
              <w:t>30</w:t>
            </w:r>
            <w:r>
              <w:rPr>
                <w:rFonts w:hint="default" w:ascii="Times New Roman" w:hAnsi="Times New Roman" w:eastAsia="等线" w:cs="Times New Roman"/>
                <w:b/>
                <w:bCs/>
                <w:color w:val="000000"/>
                <w:kern w:val="0"/>
                <w:sz w:val="21"/>
                <w:szCs w:val="21"/>
                <w:highlight w:val="none"/>
              </w:rPr>
              <w:t>~</w:t>
            </w:r>
            <w:r>
              <w:rPr>
                <w:rFonts w:hint="default" w:ascii="Times New Roman" w:hAnsi="Times New Roman" w:eastAsia="等线" w:cs="Times New Roman"/>
                <w:b/>
                <w:bCs/>
                <w:color w:val="000000"/>
                <w:kern w:val="0"/>
                <w:sz w:val="21"/>
                <w:szCs w:val="21"/>
                <w:highlight w:val="none"/>
                <w:lang w:val="en-US" w:eastAsia="zh-CN"/>
              </w:rPr>
              <w:t>40</w:t>
            </w:r>
          </w:p>
        </w:tc>
        <w:tc>
          <w:tcPr>
            <w:tcW w:w="565" w:type="pct"/>
            <w:tcBorders>
              <w:top w:val="single" w:color="auto" w:sz="4" w:space="0"/>
              <w:left w:val="nil"/>
              <w:bottom w:val="single" w:color="auto" w:sz="4" w:space="0"/>
              <w:right w:val="single" w:color="auto" w:sz="4" w:space="0"/>
            </w:tcBorders>
            <w:shd w:val="clear" w:color="auto" w:fill="auto"/>
            <w:noWrap/>
            <w:vAlign w:val="center"/>
          </w:tcPr>
          <w:p w14:paraId="5F147CC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b/>
                <w:bCs/>
                <w:color w:val="000000"/>
                <w:kern w:val="0"/>
                <w:sz w:val="21"/>
                <w:szCs w:val="21"/>
                <w:highlight w:val="none"/>
                <w:lang w:val="en-US" w:eastAsia="zh-CN"/>
              </w:rPr>
            </w:pPr>
            <w:r>
              <w:rPr>
                <w:rFonts w:hint="default" w:ascii="Times New Roman" w:hAnsi="Times New Roman" w:eastAsia="等线" w:cs="Times New Roman"/>
                <w:b/>
                <w:bCs/>
                <w:color w:val="000000"/>
                <w:kern w:val="0"/>
                <w:sz w:val="21"/>
                <w:szCs w:val="21"/>
                <w:highlight w:val="none"/>
                <w:lang w:val="en-US" w:eastAsia="zh-CN"/>
              </w:rPr>
              <w:t>＞40</w:t>
            </w:r>
          </w:p>
        </w:tc>
      </w:tr>
      <w:tr w14:paraId="06A07324">
        <w:tblPrEx>
          <w:tblCellMar>
            <w:top w:w="0" w:type="dxa"/>
            <w:left w:w="108" w:type="dxa"/>
            <w:bottom w:w="0" w:type="dxa"/>
            <w:right w:w="108" w:type="dxa"/>
          </w:tblCellMar>
        </w:tblPrEx>
        <w:trPr>
          <w:trHeight w:val="300" w:hRule="atLeast"/>
          <w:jc w:val="center"/>
        </w:trPr>
        <w:tc>
          <w:tcPr>
            <w:tcW w:w="1774" w:type="pct"/>
            <w:tcBorders>
              <w:top w:val="nil"/>
              <w:left w:val="single" w:color="auto" w:sz="4" w:space="0"/>
              <w:bottom w:val="single" w:color="auto" w:sz="4" w:space="0"/>
              <w:right w:val="single" w:color="auto" w:sz="4" w:space="0"/>
            </w:tcBorders>
            <w:shd w:val="clear" w:color="auto" w:fill="auto"/>
            <w:noWrap/>
            <w:vAlign w:val="center"/>
          </w:tcPr>
          <w:p w14:paraId="744BA99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排气筒数量（个）</w:t>
            </w:r>
          </w:p>
        </w:tc>
        <w:tc>
          <w:tcPr>
            <w:tcW w:w="513" w:type="pct"/>
            <w:tcBorders>
              <w:top w:val="nil"/>
              <w:left w:val="nil"/>
              <w:bottom w:val="single" w:color="auto" w:sz="4" w:space="0"/>
              <w:right w:val="single" w:color="auto" w:sz="4" w:space="0"/>
            </w:tcBorders>
            <w:shd w:val="clear" w:color="auto" w:fill="auto"/>
            <w:noWrap/>
            <w:vAlign w:val="center"/>
          </w:tcPr>
          <w:p w14:paraId="6DE62D8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22</w:t>
            </w:r>
          </w:p>
        </w:tc>
        <w:tc>
          <w:tcPr>
            <w:tcW w:w="513" w:type="pct"/>
            <w:tcBorders>
              <w:top w:val="nil"/>
              <w:left w:val="nil"/>
              <w:bottom w:val="single" w:color="auto" w:sz="4" w:space="0"/>
              <w:right w:val="single" w:color="auto" w:sz="4" w:space="0"/>
            </w:tcBorders>
            <w:shd w:val="clear" w:color="auto" w:fill="auto"/>
            <w:noWrap/>
            <w:vAlign w:val="center"/>
          </w:tcPr>
          <w:p w14:paraId="24E5E05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rPr>
            </w:pPr>
            <w:r>
              <w:rPr>
                <w:rFonts w:hint="default" w:ascii="Times New Roman" w:hAnsi="Times New Roman" w:cs="Times New Roman"/>
                <w:color w:val="000000"/>
                <w:kern w:val="0"/>
                <w:sz w:val="21"/>
                <w:szCs w:val="21"/>
                <w:highlight w:val="none"/>
                <w:lang w:val="en-US" w:eastAsia="zh-CN"/>
              </w:rPr>
              <w:t>77</w:t>
            </w:r>
          </w:p>
        </w:tc>
        <w:tc>
          <w:tcPr>
            <w:tcW w:w="513" w:type="pct"/>
            <w:tcBorders>
              <w:top w:val="nil"/>
              <w:left w:val="nil"/>
              <w:bottom w:val="single" w:color="auto" w:sz="4" w:space="0"/>
              <w:right w:val="single" w:color="auto" w:sz="4" w:space="0"/>
            </w:tcBorders>
            <w:shd w:val="clear" w:color="auto" w:fill="auto"/>
            <w:noWrap/>
            <w:vAlign w:val="center"/>
          </w:tcPr>
          <w:p w14:paraId="6EEF374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9</w:t>
            </w:r>
          </w:p>
        </w:tc>
        <w:tc>
          <w:tcPr>
            <w:tcW w:w="558" w:type="pct"/>
            <w:tcBorders>
              <w:top w:val="nil"/>
              <w:left w:val="nil"/>
              <w:bottom w:val="single" w:color="auto" w:sz="4" w:space="0"/>
              <w:right w:val="single" w:color="auto" w:sz="4" w:space="0"/>
            </w:tcBorders>
            <w:shd w:val="clear" w:color="auto" w:fill="auto"/>
            <w:noWrap/>
            <w:vAlign w:val="center"/>
          </w:tcPr>
          <w:p w14:paraId="5A6248A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11</w:t>
            </w:r>
          </w:p>
        </w:tc>
        <w:tc>
          <w:tcPr>
            <w:tcW w:w="561" w:type="pct"/>
            <w:tcBorders>
              <w:top w:val="nil"/>
              <w:left w:val="nil"/>
              <w:bottom w:val="single" w:color="auto" w:sz="4" w:space="0"/>
              <w:right w:val="single" w:color="auto" w:sz="4" w:space="0"/>
            </w:tcBorders>
            <w:shd w:val="clear" w:color="auto" w:fill="auto"/>
            <w:noWrap/>
            <w:vAlign w:val="center"/>
          </w:tcPr>
          <w:p w14:paraId="183C3EE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4</w:t>
            </w:r>
          </w:p>
        </w:tc>
        <w:tc>
          <w:tcPr>
            <w:tcW w:w="565" w:type="pct"/>
            <w:tcBorders>
              <w:top w:val="nil"/>
              <w:left w:val="nil"/>
              <w:bottom w:val="single" w:color="auto" w:sz="4" w:space="0"/>
              <w:right w:val="single" w:color="auto" w:sz="4" w:space="0"/>
            </w:tcBorders>
            <w:shd w:val="clear" w:color="auto" w:fill="auto"/>
            <w:noWrap/>
            <w:vAlign w:val="center"/>
          </w:tcPr>
          <w:p w14:paraId="6364C67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b w:val="0"/>
                <w:bCs w:val="0"/>
                <w:color w:val="000000"/>
                <w:kern w:val="0"/>
                <w:sz w:val="21"/>
                <w:szCs w:val="21"/>
                <w:highlight w:val="none"/>
                <w:lang w:val="en-US" w:eastAsia="zh-CN"/>
              </w:rPr>
            </w:pPr>
            <w:r>
              <w:rPr>
                <w:rFonts w:hint="default" w:ascii="Times New Roman" w:hAnsi="Times New Roman" w:eastAsia="等线" w:cs="Times New Roman"/>
                <w:b w:val="0"/>
                <w:bCs w:val="0"/>
                <w:color w:val="000000"/>
                <w:kern w:val="0"/>
                <w:sz w:val="21"/>
                <w:szCs w:val="21"/>
                <w:highlight w:val="none"/>
                <w:lang w:val="en-US" w:eastAsia="zh-CN"/>
              </w:rPr>
              <w:t>1</w:t>
            </w:r>
          </w:p>
        </w:tc>
      </w:tr>
      <w:tr w14:paraId="6CEC7A2C">
        <w:tblPrEx>
          <w:tblCellMar>
            <w:top w:w="0" w:type="dxa"/>
            <w:left w:w="108" w:type="dxa"/>
            <w:bottom w:w="0" w:type="dxa"/>
            <w:right w:w="108" w:type="dxa"/>
          </w:tblCellMar>
        </w:tblPrEx>
        <w:trPr>
          <w:trHeight w:val="322" w:hRule="atLeast"/>
          <w:jc w:val="center"/>
        </w:trPr>
        <w:tc>
          <w:tcPr>
            <w:tcW w:w="1774" w:type="pct"/>
            <w:tcBorders>
              <w:top w:val="nil"/>
              <w:left w:val="single" w:color="auto" w:sz="4" w:space="0"/>
              <w:bottom w:val="single" w:color="auto" w:sz="4" w:space="0"/>
              <w:right w:val="single" w:color="auto" w:sz="4" w:space="0"/>
            </w:tcBorders>
            <w:shd w:val="clear" w:color="auto" w:fill="auto"/>
            <w:noWrap/>
            <w:vAlign w:val="center"/>
          </w:tcPr>
          <w:p w14:paraId="6940FB0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占比（%）</w:t>
            </w:r>
          </w:p>
        </w:tc>
        <w:tc>
          <w:tcPr>
            <w:tcW w:w="513" w:type="pct"/>
            <w:tcBorders>
              <w:top w:val="nil"/>
              <w:left w:val="nil"/>
              <w:bottom w:val="single" w:color="auto" w:sz="4" w:space="0"/>
              <w:right w:val="single" w:color="auto" w:sz="4" w:space="0"/>
            </w:tcBorders>
            <w:shd w:val="clear" w:color="auto" w:fill="auto"/>
            <w:noWrap/>
            <w:vAlign w:val="center"/>
          </w:tcPr>
          <w:p w14:paraId="6032116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18%</w:t>
            </w:r>
          </w:p>
        </w:tc>
        <w:tc>
          <w:tcPr>
            <w:tcW w:w="513" w:type="pct"/>
            <w:tcBorders>
              <w:top w:val="nil"/>
              <w:left w:val="nil"/>
              <w:bottom w:val="single" w:color="auto" w:sz="4" w:space="0"/>
              <w:right w:val="single" w:color="auto" w:sz="4" w:space="0"/>
            </w:tcBorders>
            <w:shd w:val="clear" w:color="auto" w:fill="auto"/>
            <w:noWrap/>
            <w:vAlign w:val="center"/>
          </w:tcPr>
          <w:p w14:paraId="6C053A2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62%</w:t>
            </w:r>
          </w:p>
        </w:tc>
        <w:tc>
          <w:tcPr>
            <w:tcW w:w="513" w:type="pct"/>
            <w:tcBorders>
              <w:top w:val="nil"/>
              <w:left w:val="nil"/>
              <w:bottom w:val="single" w:color="auto" w:sz="4" w:space="0"/>
              <w:right w:val="single" w:color="auto" w:sz="4" w:space="0"/>
            </w:tcBorders>
            <w:shd w:val="clear" w:color="auto" w:fill="auto"/>
            <w:noWrap/>
            <w:vAlign w:val="center"/>
          </w:tcPr>
          <w:p w14:paraId="209CF9E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7%</w:t>
            </w:r>
          </w:p>
        </w:tc>
        <w:tc>
          <w:tcPr>
            <w:tcW w:w="558" w:type="pct"/>
            <w:tcBorders>
              <w:top w:val="nil"/>
              <w:left w:val="nil"/>
              <w:bottom w:val="single" w:color="auto" w:sz="4" w:space="0"/>
              <w:right w:val="single" w:color="auto" w:sz="4" w:space="0"/>
            </w:tcBorders>
            <w:shd w:val="clear" w:color="auto" w:fill="auto"/>
            <w:noWrap/>
            <w:vAlign w:val="center"/>
          </w:tcPr>
          <w:p w14:paraId="3E6E3E7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9%</w:t>
            </w:r>
          </w:p>
        </w:tc>
        <w:tc>
          <w:tcPr>
            <w:tcW w:w="561" w:type="pct"/>
            <w:tcBorders>
              <w:top w:val="nil"/>
              <w:left w:val="nil"/>
              <w:bottom w:val="single" w:color="auto" w:sz="4" w:space="0"/>
              <w:right w:val="single" w:color="auto" w:sz="4" w:space="0"/>
            </w:tcBorders>
            <w:shd w:val="clear" w:color="auto" w:fill="auto"/>
            <w:noWrap/>
            <w:vAlign w:val="center"/>
          </w:tcPr>
          <w:p w14:paraId="469A9A3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3%</w:t>
            </w:r>
          </w:p>
        </w:tc>
        <w:tc>
          <w:tcPr>
            <w:tcW w:w="565" w:type="pct"/>
            <w:tcBorders>
              <w:top w:val="nil"/>
              <w:left w:val="nil"/>
              <w:bottom w:val="single" w:color="auto" w:sz="4" w:space="0"/>
              <w:right w:val="single" w:color="auto" w:sz="4" w:space="0"/>
            </w:tcBorders>
            <w:shd w:val="clear" w:color="auto" w:fill="auto"/>
            <w:noWrap/>
            <w:vAlign w:val="center"/>
          </w:tcPr>
          <w:p w14:paraId="3BEBC82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b w:val="0"/>
                <w:bCs w:val="0"/>
                <w:color w:val="000000"/>
                <w:kern w:val="0"/>
                <w:sz w:val="21"/>
                <w:szCs w:val="21"/>
                <w:highlight w:val="none"/>
                <w:lang w:val="en-US" w:eastAsia="zh-CN"/>
              </w:rPr>
            </w:pPr>
            <w:r>
              <w:rPr>
                <w:rFonts w:hint="default" w:ascii="Times New Roman" w:hAnsi="Times New Roman" w:eastAsia="等线" w:cs="Times New Roman"/>
                <w:b w:val="0"/>
                <w:bCs w:val="0"/>
                <w:color w:val="000000"/>
                <w:kern w:val="0"/>
                <w:sz w:val="21"/>
                <w:szCs w:val="21"/>
                <w:highlight w:val="none"/>
                <w:lang w:val="en-US" w:eastAsia="zh-CN"/>
              </w:rPr>
              <w:t>1%</w:t>
            </w:r>
          </w:p>
        </w:tc>
      </w:tr>
    </w:tbl>
    <w:p w14:paraId="5433D25E">
      <w:pPr>
        <w:keepNext/>
        <w:keepLines w:val="0"/>
        <w:pageBreakBefore w:val="0"/>
        <w:widowControl w:val="0"/>
        <w:kinsoku/>
        <w:wordWrap/>
        <w:autoSpaceDE/>
        <w:autoSpaceDN/>
        <w:bidi w:val="0"/>
        <w:spacing w:line="360" w:lineRule="auto"/>
        <w:ind w:firstLine="482" w:firstLineChars="200"/>
        <w:rPr>
          <w:rFonts w:hint="default" w:ascii="Times New Roman" w:hAnsi="Times New Roman" w:cs="Times New Roman"/>
          <w:b/>
          <w:bCs/>
          <w:kern w:val="0"/>
          <w:sz w:val="24"/>
          <w:highlight w:val="none"/>
          <w:lang w:val="en-US" w:eastAsia="zh-CN"/>
        </w:rPr>
      </w:pPr>
      <w:r>
        <w:rPr>
          <w:rFonts w:hint="default" w:ascii="Times New Roman" w:hAnsi="Times New Roman" w:cs="Times New Roman"/>
          <w:b/>
          <w:bCs/>
          <w:kern w:val="0"/>
          <w:sz w:val="24"/>
          <w:highlight w:val="none"/>
          <w:lang w:val="en-US" w:eastAsia="zh-CN"/>
        </w:rPr>
        <w:t>（3）综合对比</w:t>
      </w:r>
    </w:p>
    <w:p w14:paraId="49C4B05C">
      <w:pPr>
        <w:keepNext/>
        <w:keepLines w:val="0"/>
        <w:pageBreakBefore w:val="0"/>
        <w:widowControl w:val="0"/>
        <w:kinsoku/>
        <w:wordWrap/>
        <w:autoSpaceDE/>
        <w:autoSpaceDN/>
        <w:bidi w:val="0"/>
        <w:ind w:firstLine="480" w:firstLineChars="200"/>
        <w:jc w:val="both"/>
        <w:rPr>
          <w:rFonts w:hint="default" w:ascii="Times New Roman" w:hAnsi="Times New Roman" w:cs="Times New Roman"/>
          <w:color w:val="000000"/>
          <w:kern w:val="0"/>
          <w:sz w:val="24"/>
          <w:highlight w:val="none"/>
          <w:vertAlign w:val="baseline"/>
          <w:lang w:eastAsia="zh-CN"/>
        </w:rPr>
      </w:pPr>
      <w:r>
        <w:rPr>
          <w:rFonts w:hint="default" w:ascii="Times New Roman" w:hAnsi="Times New Roman" w:cs="Times New Roman"/>
          <w:color w:val="000000"/>
          <w:kern w:val="0"/>
          <w:sz w:val="24"/>
          <w:highlight w:val="none"/>
          <w:lang w:val="en-US" w:eastAsia="zh-CN"/>
        </w:rPr>
        <w:t>调研实测</w:t>
      </w:r>
      <w:r>
        <w:rPr>
          <w:rFonts w:hint="default" w:ascii="Times New Roman" w:hAnsi="Times New Roman" w:cs="Times New Roman"/>
          <w:color w:val="000000"/>
          <w:kern w:val="0"/>
          <w:sz w:val="24"/>
          <w:highlight w:val="none"/>
        </w:rPr>
        <w:t>和</w:t>
      </w:r>
      <w:r>
        <w:rPr>
          <w:rFonts w:hint="default" w:ascii="Times New Roman" w:hAnsi="Times New Roman" w:cs="Times New Roman"/>
          <w:color w:val="000000"/>
          <w:kern w:val="0"/>
          <w:sz w:val="24"/>
          <w:highlight w:val="none"/>
          <w:lang w:val="en-US" w:eastAsia="zh-CN"/>
        </w:rPr>
        <w:t>企业自行监测颗粒物浓度</w:t>
      </w:r>
      <w:r>
        <w:rPr>
          <w:rFonts w:hint="default" w:ascii="Times New Roman" w:hAnsi="Times New Roman" w:cs="Times New Roman"/>
          <w:color w:val="000000"/>
          <w:kern w:val="0"/>
          <w:sz w:val="24"/>
          <w:highlight w:val="none"/>
        </w:rPr>
        <w:t>数据</w:t>
      </w:r>
      <w:r>
        <w:rPr>
          <w:rFonts w:hint="default" w:ascii="Times New Roman" w:hAnsi="Times New Roman" w:cs="Times New Roman"/>
          <w:color w:val="000000"/>
          <w:kern w:val="0"/>
          <w:sz w:val="24"/>
          <w:highlight w:val="none"/>
          <w:lang w:val="en-US" w:eastAsia="zh-CN"/>
        </w:rPr>
        <w:t>相比</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val="en-US" w:eastAsia="zh-CN"/>
        </w:rPr>
        <w:t>企业自行监测浓度略高，其排放浓度大于</w:t>
      </w:r>
      <w:r>
        <w:rPr>
          <w:rFonts w:hint="default" w:ascii="Times New Roman" w:hAnsi="Times New Roman" w:cs="Times New Roman"/>
          <w:sz w:val="24"/>
          <w:highlight w:val="none"/>
          <w:lang w:val="en-US" w:eastAsia="zh-CN"/>
        </w:rPr>
        <w:t xml:space="preserve">20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lang w:val="en-US" w:eastAsia="zh-CN"/>
        </w:rPr>
        <w:t>占比较调研实测高11%。综合</w:t>
      </w:r>
      <w:r>
        <w:rPr>
          <w:rFonts w:hint="default" w:ascii="Times New Roman" w:hAnsi="Times New Roman" w:cs="Times New Roman"/>
          <w:sz w:val="24"/>
          <w:highlight w:val="none"/>
          <w:lang w:val="en-US" w:eastAsia="zh-CN"/>
        </w:rPr>
        <w:t>172个排气筒的颗粒物</w:t>
      </w:r>
      <w:r>
        <w:rPr>
          <w:rFonts w:hint="default" w:ascii="Times New Roman" w:hAnsi="Times New Roman" w:cs="Times New Roman"/>
          <w:sz w:val="24"/>
          <w:highlight w:val="none"/>
        </w:rPr>
        <w:t>监测</w:t>
      </w:r>
      <w:r>
        <w:rPr>
          <w:rFonts w:hint="default" w:ascii="Times New Roman" w:hAnsi="Times New Roman" w:cs="Times New Roman"/>
          <w:sz w:val="24"/>
          <w:highlight w:val="none"/>
          <w:lang w:val="en-US" w:eastAsia="zh-CN"/>
        </w:rPr>
        <w:t>数据</w:t>
      </w:r>
      <w:r>
        <w:rPr>
          <w:rFonts w:hint="default" w:ascii="Times New Roman" w:hAnsi="Times New Roman" w:cs="Times New Roman"/>
          <w:sz w:val="24"/>
          <w:highlight w:val="none"/>
        </w:rPr>
        <w:t>，</w:t>
      </w:r>
      <w:r>
        <w:rPr>
          <w:rFonts w:hint="default" w:ascii="Times New Roman" w:hAnsi="Times New Roman" w:cs="Times New Roman"/>
          <w:b/>
          <w:bCs/>
          <w:sz w:val="24"/>
          <w:highlight w:val="none"/>
          <w:lang w:val="en-US" w:eastAsia="zh-CN"/>
        </w:rPr>
        <w:t>约83%的排气筒</w:t>
      </w:r>
      <w:r>
        <w:rPr>
          <w:rFonts w:hint="eastAsia" w:ascii="Times New Roman" w:hAnsi="Times New Roman" w:cs="Times New Roman"/>
          <w:b/>
          <w:bCs/>
          <w:sz w:val="24"/>
          <w:highlight w:val="none"/>
          <w:lang w:val="en-US" w:eastAsia="zh-CN"/>
        </w:rPr>
        <w:t>颗粒物</w:t>
      </w:r>
      <w:r>
        <w:rPr>
          <w:rFonts w:hint="default" w:ascii="Times New Roman" w:hAnsi="Times New Roman" w:cs="Times New Roman"/>
          <w:b/>
          <w:bCs/>
          <w:sz w:val="24"/>
          <w:highlight w:val="none"/>
          <w:lang w:val="en-US" w:eastAsia="zh-CN"/>
        </w:rPr>
        <w:t xml:space="preserve">浓度低于10 </w:t>
      </w:r>
      <w:r>
        <w:rPr>
          <w:rFonts w:hint="default" w:ascii="Times New Roman" w:hAnsi="Times New Roman" w:cs="Times New Roman"/>
          <w:b/>
          <w:bCs/>
          <w:color w:val="000000"/>
          <w:kern w:val="0"/>
          <w:sz w:val="24"/>
          <w:highlight w:val="none"/>
        </w:rPr>
        <w:t>mg/m</w:t>
      </w:r>
      <w:r>
        <w:rPr>
          <w:rFonts w:hint="default" w:ascii="Times New Roman" w:hAnsi="Times New Roman" w:cs="Times New Roman"/>
          <w:b/>
          <w:bCs/>
          <w:color w:val="000000"/>
          <w:kern w:val="0"/>
          <w:sz w:val="24"/>
          <w:highlight w:val="none"/>
          <w:vertAlign w:val="superscript"/>
        </w:rPr>
        <w:t>3</w:t>
      </w:r>
      <w:r>
        <w:rPr>
          <w:rFonts w:hint="default" w:ascii="Times New Roman" w:hAnsi="Times New Roman" w:cs="Times New Roman"/>
          <w:b/>
          <w:bCs/>
          <w:color w:val="000000"/>
          <w:kern w:val="0"/>
          <w:sz w:val="24"/>
          <w:highlight w:val="none"/>
        </w:rPr>
        <w:t>，</w:t>
      </w:r>
      <w:r>
        <w:rPr>
          <w:rFonts w:hint="default" w:ascii="Times New Roman" w:hAnsi="Times New Roman" w:cs="Times New Roman"/>
          <w:color w:val="000000"/>
          <w:kern w:val="0"/>
          <w:sz w:val="24"/>
          <w:highlight w:val="none"/>
          <w:lang w:eastAsia="zh-CN"/>
        </w:rPr>
        <w:t>具体浓度分布见表</w:t>
      </w:r>
      <w:r>
        <w:rPr>
          <w:rFonts w:hint="eastAsia" w:cs="Times New Roman"/>
          <w:color w:val="000000"/>
          <w:kern w:val="0"/>
          <w:sz w:val="24"/>
          <w:highlight w:val="none"/>
          <w:lang w:val="en-US" w:eastAsia="zh-CN"/>
        </w:rPr>
        <w:t>7.5-14</w:t>
      </w:r>
      <w:r>
        <w:rPr>
          <w:rFonts w:hint="default" w:ascii="Times New Roman" w:hAnsi="Times New Roman" w:cs="Times New Roman"/>
          <w:color w:val="000000"/>
          <w:kern w:val="0"/>
          <w:sz w:val="24"/>
          <w:highlight w:val="none"/>
          <w:vertAlign w:val="baseline"/>
          <w:lang w:eastAsia="zh-CN"/>
        </w:rPr>
        <w:t>。</w:t>
      </w:r>
    </w:p>
    <w:p w14:paraId="547E7076">
      <w:pPr>
        <w:keepNext/>
        <w:keepLines w:val="0"/>
        <w:pageBreakBefore w:val="0"/>
        <w:widowControl w:val="0"/>
        <w:kinsoku/>
        <w:wordWrap/>
        <w:autoSpaceDE/>
        <w:autoSpaceDN/>
        <w:bidi w:val="0"/>
        <w:spacing w:line="360" w:lineRule="auto"/>
        <w:ind w:firstLine="480" w:firstLineChars="200"/>
        <w:rPr>
          <w:rFonts w:hint="default" w:ascii="Times New Roman" w:hAnsi="Times New Roman" w:cs="Times New Roman"/>
          <w:color w:val="000000"/>
          <w:kern w:val="0"/>
          <w:sz w:val="24"/>
          <w:highlight w:val="none"/>
        </w:rPr>
      </w:pPr>
      <w:r>
        <w:rPr>
          <w:rFonts w:hint="default" w:ascii="Times New Roman" w:hAnsi="Times New Roman" w:cs="Times New Roman"/>
          <w:color w:val="000000"/>
          <w:kern w:val="0"/>
          <w:sz w:val="24"/>
          <w:highlight w:val="none"/>
        </w:rPr>
        <w:t>分</w:t>
      </w:r>
      <w:r>
        <w:rPr>
          <w:rFonts w:hint="default" w:ascii="Times New Roman" w:hAnsi="Times New Roman" w:cs="Times New Roman"/>
          <w:color w:val="000000"/>
          <w:kern w:val="0"/>
          <w:sz w:val="24"/>
          <w:highlight w:val="none"/>
          <w:lang w:eastAsia="zh-CN"/>
        </w:rPr>
        <w:t>汽车维修</w:t>
      </w:r>
      <w:r>
        <w:rPr>
          <w:rFonts w:hint="default" w:ascii="Times New Roman" w:hAnsi="Times New Roman" w:cs="Times New Roman"/>
          <w:color w:val="000000"/>
          <w:kern w:val="0"/>
          <w:sz w:val="24"/>
          <w:highlight w:val="none"/>
        </w:rPr>
        <w:t>等级来看</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rPr>
        <w:t>一类</w:t>
      </w:r>
      <w:r>
        <w:rPr>
          <w:rFonts w:hint="default" w:ascii="Times New Roman" w:hAnsi="Times New Roman" w:cs="Times New Roman"/>
          <w:color w:val="000000"/>
          <w:kern w:val="0"/>
          <w:sz w:val="24"/>
          <w:highlight w:val="none"/>
          <w:lang w:eastAsia="zh-CN"/>
        </w:rPr>
        <w:t>汽车维修</w:t>
      </w:r>
      <w:r>
        <w:rPr>
          <w:rFonts w:hint="default" w:ascii="Times New Roman" w:hAnsi="Times New Roman" w:cs="Times New Roman"/>
          <w:color w:val="000000"/>
          <w:kern w:val="0"/>
          <w:sz w:val="24"/>
          <w:highlight w:val="none"/>
        </w:rPr>
        <w:t>企业</w:t>
      </w:r>
      <w:r>
        <w:rPr>
          <w:rFonts w:hint="default" w:ascii="Times New Roman" w:hAnsi="Times New Roman" w:cs="Times New Roman"/>
          <w:color w:val="000000"/>
          <w:kern w:val="0"/>
          <w:sz w:val="24"/>
          <w:highlight w:val="none"/>
          <w:lang w:val="en-US" w:eastAsia="zh-CN"/>
        </w:rPr>
        <w:t>颗粒物</w:t>
      </w:r>
      <w:r>
        <w:rPr>
          <w:rFonts w:hint="default" w:ascii="Times New Roman" w:hAnsi="Times New Roman" w:cs="Times New Roman"/>
          <w:color w:val="000000"/>
          <w:kern w:val="0"/>
          <w:sz w:val="24"/>
          <w:highlight w:val="none"/>
        </w:rPr>
        <w:t>的浓度范围在</w:t>
      </w:r>
      <w:r>
        <w:rPr>
          <w:rFonts w:hint="default" w:ascii="Times New Roman" w:hAnsi="Times New Roman" w:cs="Times New Roman"/>
          <w:color w:val="000000"/>
          <w:kern w:val="0"/>
          <w:sz w:val="24"/>
          <w:highlight w:val="none"/>
          <w:lang w:val="en-US" w:eastAsia="zh-CN"/>
        </w:rPr>
        <w:t>未检出</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val="en-US" w:eastAsia="zh-CN"/>
        </w:rPr>
        <w:t>82.0</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color w:val="000000"/>
          <w:kern w:val="0"/>
          <w:sz w:val="24"/>
          <w:highlight w:val="none"/>
          <w:lang w:val="en-US" w:eastAsia="zh-CN"/>
        </w:rPr>
        <w:t>平均浓度为7.9±14.3</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rPr>
        <w:t>二类</w:t>
      </w:r>
      <w:r>
        <w:rPr>
          <w:rFonts w:hint="default" w:ascii="Times New Roman" w:hAnsi="Times New Roman" w:cs="Times New Roman"/>
          <w:color w:val="000000"/>
          <w:kern w:val="0"/>
          <w:sz w:val="24"/>
          <w:highlight w:val="none"/>
          <w:lang w:eastAsia="zh-CN"/>
        </w:rPr>
        <w:t>汽车维修</w:t>
      </w:r>
      <w:r>
        <w:rPr>
          <w:rFonts w:hint="default" w:ascii="Times New Roman" w:hAnsi="Times New Roman" w:cs="Times New Roman"/>
          <w:color w:val="000000"/>
          <w:kern w:val="0"/>
          <w:sz w:val="24"/>
          <w:highlight w:val="none"/>
        </w:rPr>
        <w:t>企业的浓度范围在</w:t>
      </w:r>
      <w:r>
        <w:rPr>
          <w:rFonts w:hint="default" w:ascii="Times New Roman" w:hAnsi="Times New Roman" w:cs="Times New Roman"/>
          <w:color w:val="000000"/>
          <w:kern w:val="0"/>
          <w:sz w:val="24"/>
          <w:highlight w:val="none"/>
          <w:lang w:val="en-US" w:eastAsia="zh-CN"/>
        </w:rPr>
        <w:t>未检出</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val="en-US" w:eastAsia="zh-CN"/>
        </w:rPr>
        <w:t>29.0</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color w:val="000000"/>
          <w:kern w:val="0"/>
          <w:sz w:val="24"/>
          <w:highlight w:val="none"/>
          <w:lang w:val="en-US" w:eastAsia="zh-CN"/>
        </w:rPr>
        <w:t>平均浓度为5.9±8.2</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rPr>
        <w:t>三类</w:t>
      </w:r>
      <w:r>
        <w:rPr>
          <w:rFonts w:hint="default" w:ascii="Times New Roman" w:hAnsi="Times New Roman" w:cs="Times New Roman"/>
          <w:color w:val="000000"/>
          <w:kern w:val="0"/>
          <w:sz w:val="24"/>
          <w:highlight w:val="none"/>
          <w:lang w:eastAsia="zh-CN"/>
        </w:rPr>
        <w:t>汽车维修</w:t>
      </w:r>
      <w:r>
        <w:rPr>
          <w:rFonts w:hint="default" w:ascii="Times New Roman" w:hAnsi="Times New Roman" w:cs="Times New Roman"/>
          <w:color w:val="000000"/>
          <w:kern w:val="0"/>
          <w:sz w:val="24"/>
          <w:highlight w:val="none"/>
        </w:rPr>
        <w:t>企业的浓度范围在</w:t>
      </w:r>
      <w:r>
        <w:rPr>
          <w:rFonts w:hint="default" w:ascii="Times New Roman" w:hAnsi="Times New Roman" w:cs="Times New Roman"/>
          <w:color w:val="000000"/>
          <w:kern w:val="0"/>
          <w:sz w:val="24"/>
          <w:highlight w:val="none"/>
          <w:lang w:val="en-US" w:eastAsia="zh-CN"/>
        </w:rPr>
        <w:t>未检出</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val="en-US" w:eastAsia="zh-CN"/>
        </w:rPr>
        <w:t>11.8</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color w:val="000000"/>
          <w:kern w:val="0"/>
          <w:sz w:val="24"/>
          <w:highlight w:val="none"/>
          <w:lang w:val="en-US" w:eastAsia="zh-CN"/>
        </w:rPr>
        <w:t>平均浓度为4.3±4.6</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rPr>
        <w:t>整体来看</w:t>
      </w:r>
      <w:r>
        <w:rPr>
          <w:rFonts w:hint="default" w:ascii="Times New Roman" w:hAnsi="Times New Roman" w:cs="Times New Roman"/>
          <w:color w:val="000000"/>
          <w:kern w:val="0"/>
          <w:sz w:val="24"/>
          <w:highlight w:val="none"/>
          <w:lang w:val="en-US" w:eastAsia="zh-CN"/>
        </w:rPr>
        <w:t>一类</w:t>
      </w:r>
      <w:r>
        <w:rPr>
          <w:rFonts w:hint="default" w:ascii="Times New Roman" w:hAnsi="Times New Roman" w:cs="Times New Roman"/>
          <w:color w:val="000000"/>
          <w:kern w:val="0"/>
          <w:sz w:val="24"/>
          <w:highlight w:val="none"/>
          <w:lang w:eastAsia="zh-CN"/>
        </w:rPr>
        <w:t>汽车维修</w:t>
      </w:r>
      <w:r>
        <w:rPr>
          <w:rFonts w:hint="default" w:ascii="Times New Roman" w:hAnsi="Times New Roman" w:cs="Times New Roman"/>
          <w:color w:val="000000"/>
          <w:kern w:val="0"/>
          <w:sz w:val="24"/>
          <w:highlight w:val="none"/>
        </w:rPr>
        <w:t>企业</w:t>
      </w:r>
      <w:r>
        <w:rPr>
          <w:rFonts w:hint="default" w:ascii="Times New Roman" w:hAnsi="Times New Roman" w:cs="Times New Roman"/>
          <w:color w:val="000000"/>
          <w:kern w:val="0"/>
          <w:sz w:val="24"/>
          <w:highlight w:val="none"/>
          <w:lang w:val="en-US" w:eastAsia="zh-CN"/>
        </w:rPr>
        <w:t>颗粒物</w:t>
      </w:r>
      <w:r>
        <w:rPr>
          <w:rFonts w:hint="default" w:ascii="Times New Roman" w:hAnsi="Times New Roman" w:cs="Times New Roman"/>
          <w:color w:val="000000"/>
          <w:kern w:val="0"/>
          <w:sz w:val="24"/>
          <w:highlight w:val="none"/>
        </w:rPr>
        <w:t>的排放浓度相对较高</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lang w:val="en-US" w:eastAsia="zh-CN"/>
        </w:rPr>
        <w:t>不同汽修等级浓度分布见图</w:t>
      </w:r>
      <w:r>
        <w:rPr>
          <w:rFonts w:hint="eastAsia" w:cs="Times New Roman"/>
          <w:color w:val="000000"/>
          <w:kern w:val="0"/>
          <w:sz w:val="24"/>
          <w:highlight w:val="none"/>
          <w:lang w:val="en-US" w:eastAsia="zh-CN"/>
        </w:rPr>
        <w:t>7.5-9</w:t>
      </w:r>
      <w:r>
        <w:rPr>
          <w:rFonts w:hint="default" w:ascii="Times New Roman" w:hAnsi="Times New Roman" w:cs="Times New Roman"/>
          <w:color w:val="000000"/>
          <w:kern w:val="0"/>
          <w:sz w:val="24"/>
          <w:highlight w:val="none"/>
        </w:rPr>
        <w:t>。</w:t>
      </w:r>
    </w:p>
    <w:p w14:paraId="787B035B">
      <w:pPr>
        <w:keepNext/>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kern w:val="0"/>
          <w:szCs w:val="21"/>
          <w:highlight w:val="none"/>
        </w:rPr>
      </w:pPr>
      <w:r>
        <w:rPr>
          <w:rFonts w:hint="eastAsia" w:cs="Times New Roman"/>
          <w:kern w:val="0"/>
          <w:szCs w:val="21"/>
          <w:highlight w:val="none"/>
          <w:lang w:val="en-US" w:eastAsia="zh-CN"/>
        </w:rPr>
        <w:t>表7.5</w:t>
      </w:r>
      <w:r>
        <w:rPr>
          <w:rFonts w:hint="default" w:ascii="Times New Roman" w:hAnsi="Times New Roman" w:cs="Times New Roman"/>
          <w:kern w:val="0"/>
          <w:szCs w:val="21"/>
          <w:highlight w:val="none"/>
        </w:rPr>
        <w:t>-</w:t>
      </w:r>
      <w:r>
        <w:rPr>
          <w:rFonts w:hint="default" w:ascii="Times New Roman" w:hAnsi="Times New Roman" w:cs="Times New Roman"/>
          <w:kern w:val="0"/>
          <w:szCs w:val="21"/>
          <w:highlight w:val="none"/>
          <w:lang w:val="en-US" w:eastAsia="zh-CN"/>
        </w:rPr>
        <w:t>1</w:t>
      </w:r>
      <w:r>
        <w:rPr>
          <w:rFonts w:hint="eastAsia" w:cs="Times New Roman"/>
          <w:kern w:val="0"/>
          <w:szCs w:val="21"/>
          <w:highlight w:val="none"/>
          <w:lang w:val="en-US" w:eastAsia="zh-CN"/>
        </w:rPr>
        <w:t>4</w:t>
      </w:r>
      <w:r>
        <w:rPr>
          <w:rFonts w:hint="default" w:ascii="Times New Roman" w:hAnsi="Times New Roman" w:cs="Times New Roman"/>
          <w:kern w:val="0"/>
          <w:szCs w:val="21"/>
          <w:highlight w:val="none"/>
        </w:rPr>
        <w:t xml:space="preserve"> 有组织废气</w:t>
      </w:r>
      <w:r>
        <w:rPr>
          <w:rFonts w:hint="default" w:ascii="Times New Roman" w:hAnsi="Times New Roman" w:cs="Times New Roman"/>
          <w:kern w:val="0"/>
          <w:szCs w:val="21"/>
          <w:highlight w:val="none"/>
          <w:lang w:val="en-US" w:eastAsia="zh-CN"/>
        </w:rPr>
        <w:t>颗粒物</w:t>
      </w:r>
      <w:r>
        <w:rPr>
          <w:rFonts w:hint="default" w:ascii="Times New Roman" w:hAnsi="Times New Roman" w:cs="Times New Roman"/>
          <w:kern w:val="0"/>
          <w:szCs w:val="21"/>
          <w:highlight w:val="none"/>
        </w:rPr>
        <w:t>的排放浓度情况</w:t>
      </w:r>
    </w:p>
    <w:tbl>
      <w:tblPr>
        <w:tblStyle w:val="21"/>
        <w:tblW w:w="4998" w:type="pct"/>
        <w:jc w:val="center"/>
        <w:tblLayout w:type="autofit"/>
        <w:tblCellMar>
          <w:top w:w="0" w:type="dxa"/>
          <w:left w:w="108" w:type="dxa"/>
          <w:bottom w:w="0" w:type="dxa"/>
          <w:right w:w="108" w:type="dxa"/>
        </w:tblCellMar>
      </w:tblPr>
      <w:tblGrid>
        <w:gridCol w:w="3025"/>
        <w:gridCol w:w="875"/>
        <w:gridCol w:w="875"/>
        <w:gridCol w:w="875"/>
        <w:gridCol w:w="952"/>
        <w:gridCol w:w="957"/>
        <w:gridCol w:w="966"/>
      </w:tblGrid>
      <w:tr w14:paraId="42FC59D0">
        <w:tblPrEx>
          <w:tblCellMar>
            <w:top w:w="0" w:type="dxa"/>
            <w:left w:w="108" w:type="dxa"/>
            <w:bottom w:w="0" w:type="dxa"/>
            <w:right w:w="108" w:type="dxa"/>
          </w:tblCellMar>
        </w:tblPrEx>
        <w:trPr>
          <w:trHeight w:val="300" w:hRule="atLeast"/>
          <w:tblHeader/>
          <w:jc w:val="center"/>
        </w:trPr>
        <w:tc>
          <w:tcPr>
            <w:tcW w:w="1774" w:type="pct"/>
            <w:tcBorders>
              <w:top w:val="single" w:color="auto" w:sz="4" w:space="0"/>
              <w:left w:val="single" w:color="auto" w:sz="4" w:space="0"/>
              <w:bottom w:val="single" w:color="auto" w:sz="4" w:space="0"/>
              <w:right w:val="single" w:color="auto" w:sz="4" w:space="0"/>
            </w:tcBorders>
            <w:shd w:val="clear" w:color="auto" w:fill="auto"/>
            <w:noWrap/>
            <w:vAlign w:val="center"/>
          </w:tcPr>
          <w:p w14:paraId="72D49A2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rPr>
            </w:pPr>
            <w:r>
              <w:rPr>
                <w:rFonts w:hint="default" w:ascii="Times New Roman" w:hAnsi="Times New Roman" w:cs="Times New Roman"/>
                <w:b/>
                <w:bCs/>
                <w:color w:val="000000"/>
                <w:kern w:val="0"/>
                <w:sz w:val="21"/>
                <w:szCs w:val="21"/>
                <w:highlight w:val="none"/>
                <w:lang w:val="en-US" w:eastAsia="zh-CN"/>
              </w:rPr>
              <w:t>颗粒物</w:t>
            </w:r>
            <w:r>
              <w:rPr>
                <w:rFonts w:hint="default" w:ascii="Times New Roman" w:hAnsi="Times New Roman" w:cs="Times New Roman"/>
                <w:b/>
                <w:bCs/>
                <w:color w:val="000000"/>
                <w:kern w:val="0"/>
                <w:sz w:val="21"/>
                <w:szCs w:val="21"/>
                <w:highlight w:val="none"/>
              </w:rPr>
              <w:t>浓度（mg/m</w:t>
            </w:r>
            <w:r>
              <w:rPr>
                <w:rFonts w:hint="default" w:ascii="Times New Roman" w:hAnsi="Times New Roman" w:cs="Times New Roman"/>
                <w:b/>
                <w:bCs/>
                <w:color w:val="000000"/>
                <w:kern w:val="0"/>
                <w:sz w:val="21"/>
                <w:szCs w:val="21"/>
                <w:highlight w:val="none"/>
                <w:vertAlign w:val="superscript"/>
              </w:rPr>
              <w:t>3</w:t>
            </w:r>
            <w:r>
              <w:rPr>
                <w:rFonts w:hint="default" w:ascii="Times New Roman" w:hAnsi="Times New Roman" w:cs="Times New Roman"/>
                <w:b/>
                <w:bCs/>
                <w:color w:val="000000"/>
                <w:kern w:val="0"/>
                <w:sz w:val="21"/>
                <w:szCs w:val="21"/>
                <w:highlight w:val="none"/>
              </w:rPr>
              <w:t>）</w:t>
            </w:r>
          </w:p>
        </w:tc>
        <w:tc>
          <w:tcPr>
            <w:tcW w:w="513" w:type="pct"/>
            <w:tcBorders>
              <w:top w:val="single" w:color="auto" w:sz="4" w:space="0"/>
              <w:left w:val="nil"/>
              <w:bottom w:val="single" w:color="auto" w:sz="4" w:space="0"/>
              <w:right w:val="single" w:color="auto" w:sz="4" w:space="0"/>
            </w:tcBorders>
            <w:shd w:val="clear" w:color="auto" w:fill="auto"/>
            <w:noWrap/>
            <w:vAlign w:val="center"/>
          </w:tcPr>
          <w:p w14:paraId="4EDCDA6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lang w:val="en-US" w:eastAsia="zh-CN"/>
              </w:rPr>
            </w:pPr>
            <w:r>
              <w:rPr>
                <w:rFonts w:hint="default" w:ascii="Times New Roman" w:hAnsi="Times New Roman" w:cs="Times New Roman"/>
                <w:b/>
                <w:bCs/>
                <w:color w:val="000000"/>
                <w:kern w:val="0"/>
                <w:sz w:val="21"/>
                <w:szCs w:val="21"/>
                <w:highlight w:val="none"/>
                <w:lang w:val="en-US" w:eastAsia="zh-CN"/>
              </w:rPr>
              <w:t>未检出</w:t>
            </w:r>
          </w:p>
        </w:tc>
        <w:tc>
          <w:tcPr>
            <w:tcW w:w="513" w:type="pct"/>
            <w:tcBorders>
              <w:top w:val="single" w:color="auto" w:sz="4" w:space="0"/>
              <w:left w:val="nil"/>
              <w:bottom w:val="single" w:color="auto" w:sz="4" w:space="0"/>
              <w:right w:val="single" w:color="auto" w:sz="4" w:space="0"/>
            </w:tcBorders>
            <w:shd w:val="clear" w:color="auto" w:fill="auto"/>
            <w:noWrap/>
            <w:vAlign w:val="center"/>
          </w:tcPr>
          <w:p w14:paraId="43AFC8C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lang w:val="en-US" w:eastAsia="zh-CN"/>
              </w:rPr>
            </w:pPr>
            <w:r>
              <w:rPr>
                <w:rFonts w:hint="default" w:ascii="Times New Roman" w:hAnsi="Times New Roman" w:cs="Times New Roman"/>
                <w:b/>
                <w:bCs/>
                <w:color w:val="000000"/>
                <w:kern w:val="0"/>
                <w:sz w:val="21"/>
                <w:szCs w:val="21"/>
                <w:highlight w:val="none"/>
                <w:lang w:val="en-US" w:eastAsia="zh-CN"/>
              </w:rPr>
              <w:t>0~10</w:t>
            </w:r>
          </w:p>
        </w:tc>
        <w:tc>
          <w:tcPr>
            <w:tcW w:w="513" w:type="pct"/>
            <w:tcBorders>
              <w:top w:val="single" w:color="auto" w:sz="4" w:space="0"/>
              <w:left w:val="nil"/>
              <w:bottom w:val="single" w:color="auto" w:sz="4" w:space="0"/>
              <w:right w:val="single" w:color="auto" w:sz="4" w:space="0"/>
            </w:tcBorders>
            <w:shd w:val="clear" w:color="auto" w:fill="auto"/>
            <w:noWrap/>
            <w:vAlign w:val="center"/>
          </w:tcPr>
          <w:p w14:paraId="06A342D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b/>
                <w:bCs/>
                <w:color w:val="000000"/>
                <w:kern w:val="0"/>
                <w:sz w:val="21"/>
                <w:szCs w:val="21"/>
                <w:highlight w:val="none"/>
                <w:lang w:val="en-US" w:eastAsia="zh-CN"/>
              </w:rPr>
            </w:pPr>
            <w:r>
              <w:rPr>
                <w:rFonts w:hint="default" w:ascii="Times New Roman" w:hAnsi="Times New Roman" w:eastAsia="等线" w:cs="Times New Roman"/>
                <w:b/>
                <w:bCs/>
                <w:color w:val="000000"/>
                <w:kern w:val="0"/>
                <w:sz w:val="21"/>
                <w:szCs w:val="21"/>
                <w:highlight w:val="none"/>
                <w:lang w:val="en-US" w:eastAsia="zh-CN"/>
              </w:rPr>
              <w:t>10</w:t>
            </w:r>
            <w:r>
              <w:rPr>
                <w:rFonts w:hint="default" w:ascii="Times New Roman" w:hAnsi="Times New Roman" w:eastAsia="等线" w:cs="Times New Roman"/>
                <w:b/>
                <w:bCs/>
                <w:color w:val="000000"/>
                <w:kern w:val="0"/>
                <w:sz w:val="21"/>
                <w:szCs w:val="21"/>
                <w:highlight w:val="none"/>
              </w:rPr>
              <w:t>~</w:t>
            </w:r>
            <w:r>
              <w:rPr>
                <w:rFonts w:hint="default" w:ascii="Times New Roman" w:hAnsi="Times New Roman" w:eastAsia="等线" w:cs="Times New Roman"/>
                <w:b/>
                <w:bCs/>
                <w:color w:val="000000"/>
                <w:kern w:val="0"/>
                <w:sz w:val="21"/>
                <w:szCs w:val="21"/>
                <w:highlight w:val="none"/>
                <w:lang w:val="en-US" w:eastAsia="zh-CN"/>
              </w:rPr>
              <w:t>20</w:t>
            </w:r>
          </w:p>
        </w:tc>
        <w:tc>
          <w:tcPr>
            <w:tcW w:w="558" w:type="pct"/>
            <w:tcBorders>
              <w:top w:val="single" w:color="auto" w:sz="4" w:space="0"/>
              <w:left w:val="nil"/>
              <w:bottom w:val="single" w:color="auto" w:sz="4" w:space="0"/>
              <w:right w:val="single" w:color="auto" w:sz="4" w:space="0"/>
            </w:tcBorders>
            <w:shd w:val="clear" w:color="auto" w:fill="auto"/>
            <w:noWrap/>
            <w:vAlign w:val="center"/>
          </w:tcPr>
          <w:p w14:paraId="52886D0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b/>
                <w:bCs/>
                <w:color w:val="000000"/>
                <w:kern w:val="0"/>
                <w:sz w:val="21"/>
                <w:szCs w:val="21"/>
                <w:highlight w:val="none"/>
                <w:lang w:val="en-US" w:eastAsia="zh-CN"/>
              </w:rPr>
            </w:pPr>
            <w:r>
              <w:rPr>
                <w:rFonts w:hint="default" w:ascii="Times New Roman" w:hAnsi="Times New Roman" w:eastAsia="等线" w:cs="Times New Roman"/>
                <w:b/>
                <w:bCs/>
                <w:color w:val="000000"/>
                <w:kern w:val="0"/>
                <w:sz w:val="21"/>
                <w:szCs w:val="21"/>
                <w:highlight w:val="none"/>
                <w:lang w:val="en-US" w:eastAsia="zh-CN"/>
              </w:rPr>
              <w:t>20</w:t>
            </w:r>
            <w:r>
              <w:rPr>
                <w:rFonts w:hint="default" w:ascii="Times New Roman" w:hAnsi="Times New Roman" w:eastAsia="等线" w:cs="Times New Roman"/>
                <w:b/>
                <w:bCs/>
                <w:color w:val="000000"/>
                <w:kern w:val="0"/>
                <w:sz w:val="21"/>
                <w:szCs w:val="21"/>
                <w:highlight w:val="none"/>
              </w:rPr>
              <w:t>~</w:t>
            </w:r>
            <w:r>
              <w:rPr>
                <w:rFonts w:hint="default" w:ascii="Times New Roman" w:hAnsi="Times New Roman" w:eastAsia="等线" w:cs="Times New Roman"/>
                <w:b/>
                <w:bCs/>
                <w:color w:val="000000"/>
                <w:kern w:val="0"/>
                <w:sz w:val="21"/>
                <w:szCs w:val="21"/>
                <w:highlight w:val="none"/>
                <w:lang w:val="en-US" w:eastAsia="zh-CN"/>
              </w:rPr>
              <w:t>30</w:t>
            </w:r>
          </w:p>
        </w:tc>
        <w:tc>
          <w:tcPr>
            <w:tcW w:w="561" w:type="pct"/>
            <w:tcBorders>
              <w:top w:val="single" w:color="auto" w:sz="4" w:space="0"/>
              <w:left w:val="nil"/>
              <w:bottom w:val="single" w:color="auto" w:sz="4" w:space="0"/>
              <w:right w:val="single" w:color="auto" w:sz="4" w:space="0"/>
            </w:tcBorders>
            <w:shd w:val="clear" w:color="auto" w:fill="auto"/>
            <w:noWrap/>
            <w:vAlign w:val="center"/>
          </w:tcPr>
          <w:p w14:paraId="57852E5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b/>
                <w:bCs/>
                <w:color w:val="000000"/>
                <w:kern w:val="0"/>
                <w:sz w:val="21"/>
                <w:szCs w:val="21"/>
                <w:highlight w:val="none"/>
                <w:lang w:val="en-US" w:eastAsia="zh-CN"/>
              </w:rPr>
            </w:pPr>
            <w:r>
              <w:rPr>
                <w:rFonts w:hint="default" w:ascii="Times New Roman" w:hAnsi="Times New Roman" w:eastAsia="等线" w:cs="Times New Roman"/>
                <w:b/>
                <w:bCs/>
                <w:color w:val="000000"/>
                <w:kern w:val="0"/>
                <w:sz w:val="21"/>
                <w:szCs w:val="21"/>
                <w:highlight w:val="none"/>
                <w:lang w:val="en-US" w:eastAsia="zh-CN"/>
              </w:rPr>
              <w:t>30</w:t>
            </w:r>
            <w:r>
              <w:rPr>
                <w:rFonts w:hint="default" w:ascii="Times New Roman" w:hAnsi="Times New Roman" w:eastAsia="等线" w:cs="Times New Roman"/>
                <w:b/>
                <w:bCs/>
                <w:color w:val="000000"/>
                <w:kern w:val="0"/>
                <w:sz w:val="21"/>
                <w:szCs w:val="21"/>
                <w:highlight w:val="none"/>
              </w:rPr>
              <w:t>~</w:t>
            </w:r>
            <w:r>
              <w:rPr>
                <w:rFonts w:hint="default" w:ascii="Times New Roman" w:hAnsi="Times New Roman" w:eastAsia="等线" w:cs="Times New Roman"/>
                <w:b/>
                <w:bCs/>
                <w:color w:val="000000"/>
                <w:kern w:val="0"/>
                <w:sz w:val="21"/>
                <w:szCs w:val="21"/>
                <w:highlight w:val="none"/>
                <w:lang w:val="en-US" w:eastAsia="zh-CN"/>
              </w:rPr>
              <w:t>40</w:t>
            </w:r>
          </w:p>
        </w:tc>
        <w:tc>
          <w:tcPr>
            <w:tcW w:w="565" w:type="pct"/>
            <w:tcBorders>
              <w:top w:val="single" w:color="auto" w:sz="4" w:space="0"/>
              <w:left w:val="nil"/>
              <w:bottom w:val="single" w:color="auto" w:sz="4" w:space="0"/>
              <w:right w:val="single" w:color="auto" w:sz="4" w:space="0"/>
            </w:tcBorders>
            <w:shd w:val="clear" w:color="auto" w:fill="auto"/>
            <w:noWrap/>
            <w:vAlign w:val="center"/>
          </w:tcPr>
          <w:p w14:paraId="6EBBD90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b/>
                <w:bCs/>
                <w:color w:val="000000"/>
                <w:kern w:val="0"/>
                <w:sz w:val="21"/>
                <w:szCs w:val="21"/>
                <w:highlight w:val="none"/>
                <w:lang w:val="en-US" w:eastAsia="zh-CN"/>
              </w:rPr>
            </w:pPr>
            <w:r>
              <w:rPr>
                <w:rFonts w:hint="default" w:ascii="Times New Roman" w:hAnsi="Times New Roman" w:eastAsia="等线" w:cs="Times New Roman"/>
                <w:b/>
                <w:bCs/>
                <w:color w:val="000000"/>
                <w:kern w:val="0"/>
                <w:sz w:val="21"/>
                <w:szCs w:val="21"/>
                <w:highlight w:val="none"/>
                <w:lang w:val="en-US" w:eastAsia="zh-CN"/>
              </w:rPr>
              <w:t>＞40</w:t>
            </w:r>
          </w:p>
        </w:tc>
      </w:tr>
      <w:tr w14:paraId="0CB33111">
        <w:tblPrEx>
          <w:tblCellMar>
            <w:top w:w="0" w:type="dxa"/>
            <w:left w:w="108" w:type="dxa"/>
            <w:bottom w:w="0" w:type="dxa"/>
            <w:right w:w="108" w:type="dxa"/>
          </w:tblCellMar>
        </w:tblPrEx>
        <w:trPr>
          <w:trHeight w:val="300" w:hRule="atLeast"/>
          <w:jc w:val="center"/>
        </w:trPr>
        <w:tc>
          <w:tcPr>
            <w:tcW w:w="1774" w:type="pct"/>
            <w:tcBorders>
              <w:top w:val="nil"/>
              <w:left w:val="single" w:color="auto" w:sz="4" w:space="0"/>
              <w:bottom w:val="single" w:color="auto" w:sz="4" w:space="0"/>
              <w:right w:val="single" w:color="auto" w:sz="4" w:space="0"/>
            </w:tcBorders>
            <w:shd w:val="clear" w:color="auto" w:fill="auto"/>
            <w:noWrap/>
            <w:vAlign w:val="center"/>
          </w:tcPr>
          <w:p w14:paraId="74C32A1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排气筒数量（个）</w:t>
            </w:r>
          </w:p>
        </w:tc>
        <w:tc>
          <w:tcPr>
            <w:tcW w:w="875" w:type="dxa"/>
            <w:tcBorders>
              <w:top w:val="nil"/>
              <w:left w:val="nil"/>
              <w:bottom w:val="single" w:color="auto" w:sz="4" w:space="0"/>
              <w:right w:val="single" w:color="auto" w:sz="4" w:space="0"/>
            </w:tcBorders>
            <w:shd w:val="clear" w:color="auto" w:fill="auto"/>
            <w:noWrap/>
            <w:vAlign w:val="center"/>
          </w:tcPr>
          <w:p w14:paraId="6B719E8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33</w:t>
            </w:r>
          </w:p>
        </w:tc>
        <w:tc>
          <w:tcPr>
            <w:tcW w:w="875" w:type="dxa"/>
            <w:tcBorders>
              <w:top w:val="nil"/>
              <w:left w:val="nil"/>
              <w:bottom w:val="single" w:color="auto" w:sz="4" w:space="0"/>
              <w:right w:val="single" w:color="auto" w:sz="4" w:space="0"/>
            </w:tcBorders>
            <w:shd w:val="clear" w:color="auto" w:fill="auto"/>
            <w:noWrap/>
            <w:vAlign w:val="center"/>
          </w:tcPr>
          <w:p w14:paraId="70A30FC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rPr>
            </w:pPr>
            <w:r>
              <w:rPr>
                <w:rFonts w:hint="default" w:ascii="Times New Roman" w:hAnsi="Times New Roman" w:cs="Times New Roman"/>
                <w:color w:val="000000"/>
                <w:kern w:val="0"/>
                <w:sz w:val="21"/>
                <w:szCs w:val="21"/>
                <w:highlight w:val="none"/>
                <w:lang w:val="en-US" w:eastAsia="zh-CN"/>
              </w:rPr>
              <w:t>109</w:t>
            </w:r>
          </w:p>
        </w:tc>
        <w:tc>
          <w:tcPr>
            <w:tcW w:w="875" w:type="dxa"/>
            <w:tcBorders>
              <w:top w:val="nil"/>
              <w:left w:val="nil"/>
              <w:bottom w:val="single" w:color="auto" w:sz="4" w:space="0"/>
              <w:right w:val="single" w:color="auto" w:sz="4" w:space="0"/>
            </w:tcBorders>
            <w:shd w:val="clear" w:color="auto" w:fill="auto"/>
            <w:noWrap/>
            <w:vAlign w:val="center"/>
          </w:tcPr>
          <w:p w14:paraId="766BAB1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13</w:t>
            </w:r>
          </w:p>
        </w:tc>
        <w:tc>
          <w:tcPr>
            <w:tcW w:w="952" w:type="dxa"/>
            <w:tcBorders>
              <w:top w:val="nil"/>
              <w:left w:val="nil"/>
              <w:bottom w:val="single" w:color="auto" w:sz="4" w:space="0"/>
              <w:right w:val="single" w:color="auto" w:sz="4" w:space="0"/>
            </w:tcBorders>
            <w:shd w:val="clear" w:color="auto" w:fill="auto"/>
            <w:noWrap/>
            <w:vAlign w:val="center"/>
          </w:tcPr>
          <w:p w14:paraId="08182C0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12</w:t>
            </w:r>
          </w:p>
        </w:tc>
        <w:tc>
          <w:tcPr>
            <w:tcW w:w="957" w:type="dxa"/>
            <w:tcBorders>
              <w:top w:val="nil"/>
              <w:left w:val="nil"/>
              <w:bottom w:val="single" w:color="auto" w:sz="4" w:space="0"/>
              <w:right w:val="single" w:color="auto" w:sz="4" w:space="0"/>
            </w:tcBorders>
            <w:shd w:val="clear" w:color="auto" w:fill="auto"/>
            <w:noWrap/>
            <w:vAlign w:val="center"/>
          </w:tcPr>
          <w:p w14:paraId="249A567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4</w:t>
            </w:r>
          </w:p>
        </w:tc>
        <w:tc>
          <w:tcPr>
            <w:tcW w:w="965" w:type="dxa"/>
            <w:tcBorders>
              <w:top w:val="nil"/>
              <w:left w:val="nil"/>
              <w:bottom w:val="single" w:color="auto" w:sz="4" w:space="0"/>
              <w:right w:val="single" w:color="auto" w:sz="4" w:space="0"/>
            </w:tcBorders>
            <w:shd w:val="clear" w:color="auto" w:fill="auto"/>
            <w:noWrap/>
            <w:vAlign w:val="center"/>
          </w:tcPr>
          <w:p w14:paraId="011F87F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w:t>
            </w:r>
          </w:p>
        </w:tc>
      </w:tr>
      <w:tr w14:paraId="3EDAE03B">
        <w:tblPrEx>
          <w:tblCellMar>
            <w:top w:w="0" w:type="dxa"/>
            <w:left w:w="108" w:type="dxa"/>
            <w:bottom w:w="0" w:type="dxa"/>
            <w:right w:w="108" w:type="dxa"/>
          </w:tblCellMar>
        </w:tblPrEx>
        <w:trPr>
          <w:trHeight w:val="322" w:hRule="atLeast"/>
          <w:jc w:val="center"/>
        </w:trPr>
        <w:tc>
          <w:tcPr>
            <w:tcW w:w="1774" w:type="pct"/>
            <w:tcBorders>
              <w:top w:val="nil"/>
              <w:left w:val="single" w:color="auto" w:sz="4" w:space="0"/>
              <w:bottom w:val="single" w:color="auto" w:sz="4" w:space="0"/>
              <w:right w:val="single" w:color="auto" w:sz="4" w:space="0"/>
            </w:tcBorders>
            <w:shd w:val="clear" w:color="auto" w:fill="auto"/>
            <w:noWrap/>
            <w:vAlign w:val="center"/>
          </w:tcPr>
          <w:p w14:paraId="67B9AB7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占比（%）</w:t>
            </w:r>
          </w:p>
        </w:tc>
        <w:tc>
          <w:tcPr>
            <w:tcW w:w="875" w:type="dxa"/>
            <w:tcBorders>
              <w:top w:val="nil"/>
              <w:left w:val="nil"/>
              <w:bottom w:val="single" w:color="auto" w:sz="4" w:space="0"/>
              <w:right w:val="single" w:color="auto" w:sz="4" w:space="0"/>
            </w:tcBorders>
            <w:shd w:val="clear" w:color="auto" w:fill="auto"/>
            <w:noWrap/>
            <w:vAlign w:val="center"/>
          </w:tcPr>
          <w:p w14:paraId="3123C0B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19%</w:t>
            </w:r>
          </w:p>
        </w:tc>
        <w:tc>
          <w:tcPr>
            <w:tcW w:w="875" w:type="dxa"/>
            <w:tcBorders>
              <w:top w:val="nil"/>
              <w:left w:val="nil"/>
              <w:bottom w:val="single" w:color="auto" w:sz="4" w:space="0"/>
              <w:right w:val="single" w:color="auto" w:sz="4" w:space="0"/>
            </w:tcBorders>
            <w:shd w:val="clear" w:color="auto" w:fill="auto"/>
            <w:noWrap/>
            <w:vAlign w:val="center"/>
          </w:tcPr>
          <w:p w14:paraId="6021CC2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63%</w:t>
            </w:r>
          </w:p>
        </w:tc>
        <w:tc>
          <w:tcPr>
            <w:tcW w:w="875" w:type="dxa"/>
            <w:tcBorders>
              <w:top w:val="nil"/>
              <w:left w:val="nil"/>
              <w:bottom w:val="single" w:color="auto" w:sz="4" w:space="0"/>
              <w:right w:val="single" w:color="auto" w:sz="4" w:space="0"/>
            </w:tcBorders>
            <w:shd w:val="clear" w:color="auto" w:fill="auto"/>
            <w:noWrap/>
            <w:vAlign w:val="center"/>
          </w:tcPr>
          <w:p w14:paraId="43B388E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8%</w:t>
            </w:r>
          </w:p>
        </w:tc>
        <w:tc>
          <w:tcPr>
            <w:tcW w:w="952" w:type="dxa"/>
            <w:tcBorders>
              <w:top w:val="nil"/>
              <w:left w:val="nil"/>
              <w:bottom w:val="single" w:color="auto" w:sz="4" w:space="0"/>
              <w:right w:val="single" w:color="auto" w:sz="4" w:space="0"/>
            </w:tcBorders>
            <w:shd w:val="clear" w:color="auto" w:fill="auto"/>
            <w:noWrap/>
            <w:vAlign w:val="center"/>
          </w:tcPr>
          <w:p w14:paraId="0011F4E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7%</w:t>
            </w:r>
          </w:p>
        </w:tc>
        <w:tc>
          <w:tcPr>
            <w:tcW w:w="957" w:type="dxa"/>
            <w:tcBorders>
              <w:top w:val="nil"/>
              <w:left w:val="nil"/>
              <w:bottom w:val="single" w:color="auto" w:sz="4" w:space="0"/>
              <w:right w:val="single" w:color="auto" w:sz="4" w:space="0"/>
            </w:tcBorders>
            <w:shd w:val="clear" w:color="auto" w:fill="auto"/>
            <w:noWrap/>
            <w:vAlign w:val="center"/>
          </w:tcPr>
          <w:p w14:paraId="456FC57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2%</w:t>
            </w:r>
          </w:p>
        </w:tc>
        <w:tc>
          <w:tcPr>
            <w:tcW w:w="965" w:type="dxa"/>
            <w:tcBorders>
              <w:top w:val="nil"/>
              <w:left w:val="nil"/>
              <w:bottom w:val="single" w:color="auto" w:sz="4" w:space="0"/>
              <w:right w:val="single" w:color="auto" w:sz="4" w:space="0"/>
            </w:tcBorders>
            <w:shd w:val="clear" w:color="auto" w:fill="auto"/>
            <w:noWrap/>
            <w:vAlign w:val="center"/>
          </w:tcPr>
          <w:p w14:paraId="1E8427E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w:t>
            </w:r>
          </w:p>
        </w:tc>
      </w:tr>
    </w:tbl>
    <w:p w14:paraId="798D7FD7">
      <w:pPr>
        <w:keepNext/>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highlight w:val="none"/>
          <w:lang w:eastAsia="zh-CN"/>
        </w:rPr>
      </w:pPr>
      <w:r>
        <w:rPr>
          <w:rFonts w:hint="default" w:ascii="Times New Roman" w:hAnsi="Times New Roman" w:eastAsia="宋体" w:cs="Times New Roman"/>
          <w:highlight w:val="none"/>
          <w:lang w:eastAsia="zh-CN"/>
        </w:rPr>
        <w:drawing>
          <wp:inline distT="0" distB="0" distL="114300" distR="114300">
            <wp:extent cx="5256530" cy="2489200"/>
            <wp:effectExtent l="0" t="0" r="1270" b="10160"/>
            <wp:docPr id="53" name="图表 53"/>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14:paraId="62160156">
      <w:pPr>
        <w:keepNext/>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kern w:val="0"/>
          <w:szCs w:val="21"/>
          <w:highlight w:val="none"/>
          <w:lang w:val="en-US" w:eastAsia="zh-CN"/>
        </w:rPr>
      </w:pPr>
      <w:r>
        <w:rPr>
          <w:rFonts w:hint="default" w:ascii="Times New Roman" w:hAnsi="Times New Roman" w:cs="Times New Roman"/>
          <w:kern w:val="0"/>
          <w:szCs w:val="21"/>
          <w:highlight w:val="none"/>
          <w:lang w:val="en-US" w:eastAsia="zh-CN"/>
        </w:rPr>
        <w:t>图</w:t>
      </w:r>
      <w:r>
        <w:rPr>
          <w:rFonts w:hint="eastAsia" w:cs="Times New Roman"/>
          <w:kern w:val="0"/>
          <w:szCs w:val="21"/>
          <w:highlight w:val="none"/>
          <w:lang w:val="en-US" w:eastAsia="zh-CN"/>
        </w:rPr>
        <w:t>7.5</w:t>
      </w:r>
      <w:r>
        <w:rPr>
          <w:rFonts w:hint="default" w:ascii="Times New Roman" w:hAnsi="Times New Roman" w:cs="Times New Roman"/>
          <w:kern w:val="0"/>
          <w:szCs w:val="21"/>
          <w:highlight w:val="none"/>
          <w:lang w:val="en-US" w:eastAsia="zh-CN"/>
        </w:rPr>
        <w:t>-</w:t>
      </w:r>
      <w:r>
        <w:rPr>
          <w:rFonts w:hint="eastAsia" w:cs="Times New Roman"/>
          <w:kern w:val="0"/>
          <w:szCs w:val="21"/>
          <w:highlight w:val="none"/>
          <w:lang w:val="en-US" w:eastAsia="zh-CN"/>
        </w:rPr>
        <w:t>9</w:t>
      </w:r>
      <w:r>
        <w:rPr>
          <w:rFonts w:hint="default" w:ascii="Times New Roman" w:hAnsi="Times New Roman" w:cs="Times New Roman"/>
          <w:kern w:val="0"/>
          <w:szCs w:val="21"/>
          <w:highlight w:val="none"/>
          <w:lang w:val="en-US" w:eastAsia="zh-CN"/>
        </w:rPr>
        <w:t xml:space="preserve"> 不同汽修等级</w:t>
      </w:r>
      <w:r>
        <w:rPr>
          <w:rFonts w:hint="eastAsia" w:ascii="Times New Roman" w:hAnsi="Times New Roman" w:cs="Times New Roman"/>
          <w:kern w:val="0"/>
          <w:szCs w:val="21"/>
          <w:highlight w:val="none"/>
          <w:lang w:val="en-US" w:eastAsia="zh-CN"/>
        </w:rPr>
        <w:t>颗粒物</w:t>
      </w:r>
      <w:r>
        <w:rPr>
          <w:rFonts w:hint="default" w:ascii="Times New Roman" w:hAnsi="Times New Roman" w:cs="Times New Roman"/>
          <w:kern w:val="0"/>
          <w:szCs w:val="21"/>
          <w:highlight w:val="none"/>
          <w:lang w:val="en-US" w:eastAsia="zh-CN"/>
        </w:rPr>
        <w:t>浓度分布</w:t>
      </w:r>
    </w:p>
    <w:p w14:paraId="3E2EBFE5">
      <w:pPr>
        <w:keepNext/>
        <w:keepLines w:val="0"/>
        <w:pageBreakBefore w:val="0"/>
        <w:widowControl w:val="0"/>
        <w:kinsoku/>
        <w:wordWrap/>
        <w:autoSpaceDE/>
        <w:autoSpaceDN/>
        <w:bidi w:val="0"/>
        <w:ind w:firstLine="482" w:firstLineChars="200"/>
        <w:jc w:val="both"/>
        <w:rPr>
          <w:rFonts w:hint="default" w:ascii="Times New Roman" w:hAnsi="Times New Roman" w:cs="Times New Roman"/>
          <w:b/>
          <w:bCs/>
          <w:color w:val="000000"/>
          <w:kern w:val="0"/>
          <w:sz w:val="24"/>
          <w:highlight w:val="none"/>
        </w:rPr>
      </w:pPr>
      <w:r>
        <w:rPr>
          <w:rFonts w:hint="default" w:ascii="Times New Roman" w:hAnsi="Times New Roman" w:cs="Times New Roman"/>
          <w:b/>
          <w:bCs/>
          <w:color w:val="000000"/>
          <w:kern w:val="0"/>
          <w:sz w:val="24"/>
          <w:highlight w:val="none"/>
          <w:lang w:val="en-US" w:eastAsia="zh-CN"/>
        </w:rPr>
        <w:t>综合以上，</w:t>
      </w:r>
      <w:r>
        <w:rPr>
          <w:rFonts w:hint="default" w:ascii="Times New Roman" w:hAnsi="Times New Roman" w:cs="Times New Roman"/>
          <w:b/>
          <w:bCs/>
          <w:color w:val="000000"/>
          <w:kern w:val="0"/>
          <w:sz w:val="24"/>
          <w:highlight w:val="none"/>
          <w:lang w:eastAsia="zh-CN"/>
        </w:rPr>
        <w:t>借鉴上海、安徽、江苏等地标限值，</w:t>
      </w:r>
      <w:r>
        <w:rPr>
          <w:rFonts w:hint="default" w:ascii="Times New Roman" w:hAnsi="Times New Roman" w:cs="Times New Roman"/>
          <w:b/>
          <w:bCs/>
          <w:color w:val="000000"/>
          <w:sz w:val="24"/>
          <w:szCs w:val="24"/>
          <w:highlight w:val="none"/>
          <w:lang w:val="en-US" w:eastAsia="zh-CN"/>
        </w:rPr>
        <w:t>本</w:t>
      </w:r>
      <w:r>
        <w:rPr>
          <w:rFonts w:hint="eastAsia" w:cs="Times New Roman"/>
          <w:b/>
          <w:bCs/>
          <w:color w:val="000000"/>
          <w:sz w:val="24"/>
          <w:szCs w:val="24"/>
          <w:highlight w:val="none"/>
          <w:lang w:val="en-US" w:eastAsia="zh-CN"/>
        </w:rPr>
        <w:t>标准</w:t>
      </w:r>
      <w:r>
        <w:rPr>
          <w:rFonts w:hint="default" w:ascii="Times New Roman" w:hAnsi="Times New Roman" w:cs="Times New Roman"/>
          <w:b/>
          <w:bCs/>
          <w:color w:val="000000"/>
          <w:sz w:val="24"/>
          <w:szCs w:val="24"/>
          <w:highlight w:val="none"/>
          <w:lang w:val="en-US" w:eastAsia="zh-CN"/>
        </w:rPr>
        <w:t>将有组织排气筒中</w:t>
      </w:r>
      <w:r>
        <w:rPr>
          <w:rFonts w:hint="default" w:ascii="Times New Roman" w:hAnsi="Times New Roman" w:cs="Times New Roman"/>
          <w:b/>
          <w:bCs/>
          <w:color w:val="000000"/>
          <w:kern w:val="0"/>
          <w:sz w:val="24"/>
          <w:highlight w:val="none"/>
          <w:lang w:val="en-US" w:eastAsia="zh-CN"/>
        </w:rPr>
        <w:t>颗粒物控制区</w:t>
      </w:r>
      <w:r>
        <w:rPr>
          <w:rFonts w:hint="default" w:ascii="Times New Roman" w:hAnsi="Times New Roman" w:cs="Times New Roman"/>
          <w:b/>
          <w:bCs/>
          <w:color w:val="000000"/>
          <w:kern w:val="0"/>
          <w:sz w:val="24"/>
          <w:highlight w:val="none"/>
        </w:rPr>
        <w:t>限值定为</w:t>
      </w:r>
      <w:r>
        <w:rPr>
          <w:rFonts w:hint="default" w:ascii="Times New Roman" w:hAnsi="Times New Roman" w:cs="Times New Roman"/>
          <w:b/>
          <w:bCs/>
          <w:color w:val="000000"/>
          <w:kern w:val="0"/>
          <w:sz w:val="24"/>
          <w:highlight w:val="none"/>
          <w:lang w:val="en-US" w:eastAsia="zh-CN"/>
        </w:rPr>
        <w:t xml:space="preserve">10 </w:t>
      </w:r>
      <w:r>
        <w:rPr>
          <w:rFonts w:hint="default" w:ascii="Times New Roman" w:hAnsi="Times New Roman" w:cs="Times New Roman"/>
          <w:b/>
          <w:bCs/>
          <w:color w:val="000000"/>
          <w:kern w:val="0"/>
          <w:sz w:val="24"/>
          <w:highlight w:val="none"/>
        </w:rPr>
        <w:t>mg/m</w:t>
      </w:r>
      <w:r>
        <w:rPr>
          <w:rFonts w:hint="default" w:ascii="Times New Roman" w:hAnsi="Times New Roman" w:cs="Times New Roman"/>
          <w:b/>
          <w:bCs/>
          <w:color w:val="000000"/>
          <w:kern w:val="0"/>
          <w:sz w:val="24"/>
          <w:highlight w:val="none"/>
          <w:vertAlign w:val="superscript"/>
        </w:rPr>
        <w:t>3</w:t>
      </w:r>
      <w:r>
        <w:rPr>
          <w:rFonts w:hint="default" w:ascii="Times New Roman" w:hAnsi="Times New Roman" w:cs="Times New Roman"/>
          <w:b/>
          <w:bCs/>
          <w:color w:val="000000"/>
          <w:kern w:val="0"/>
          <w:sz w:val="24"/>
          <w:highlight w:val="none"/>
          <w:vertAlign w:val="baseline"/>
          <w:lang w:eastAsia="zh-CN"/>
        </w:rPr>
        <w:t>，</w:t>
      </w:r>
      <w:r>
        <w:rPr>
          <w:rFonts w:hint="default" w:ascii="Times New Roman" w:hAnsi="Times New Roman" w:cs="Times New Roman"/>
          <w:b/>
          <w:bCs/>
          <w:color w:val="000000"/>
          <w:kern w:val="0"/>
          <w:sz w:val="24"/>
          <w:highlight w:val="none"/>
          <w:vertAlign w:val="baseline"/>
          <w:lang w:val="en-US" w:eastAsia="zh-CN"/>
        </w:rPr>
        <w:t>其他区限值定为</w:t>
      </w:r>
      <w:r>
        <w:rPr>
          <w:rFonts w:hint="default" w:ascii="Times New Roman" w:hAnsi="Times New Roman" w:cs="Times New Roman"/>
          <w:b/>
          <w:bCs/>
          <w:color w:val="000000"/>
          <w:kern w:val="0"/>
          <w:sz w:val="24"/>
          <w:highlight w:val="none"/>
          <w:lang w:val="en-US" w:eastAsia="zh-CN"/>
        </w:rPr>
        <w:t xml:space="preserve">20 </w:t>
      </w:r>
      <w:r>
        <w:rPr>
          <w:rFonts w:hint="default" w:ascii="Times New Roman" w:hAnsi="Times New Roman" w:cs="Times New Roman"/>
          <w:b/>
          <w:bCs/>
          <w:color w:val="000000"/>
          <w:kern w:val="0"/>
          <w:sz w:val="24"/>
          <w:highlight w:val="none"/>
        </w:rPr>
        <w:t>mg/m</w:t>
      </w:r>
      <w:r>
        <w:rPr>
          <w:rFonts w:hint="default" w:ascii="Times New Roman" w:hAnsi="Times New Roman" w:cs="Times New Roman"/>
          <w:b/>
          <w:bCs/>
          <w:color w:val="000000"/>
          <w:kern w:val="0"/>
          <w:sz w:val="24"/>
          <w:highlight w:val="none"/>
          <w:vertAlign w:val="superscript"/>
        </w:rPr>
        <w:t>3</w:t>
      </w:r>
      <w:r>
        <w:rPr>
          <w:rFonts w:hint="default" w:ascii="Times New Roman" w:hAnsi="Times New Roman" w:cs="Times New Roman"/>
          <w:b/>
          <w:bCs/>
          <w:color w:val="000000"/>
          <w:kern w:val="0"/>
          <w:sz w:val="24"/>
          <w:highlight w:val="none"/>
        </w:rPr>
        <w:t>。</w:t>
      </w:r>
    </w:p>
    <w:p w14:paraId="4EA42490">
      <w:pPr>
        <w:pStyle w:val="4"/>
        <w:keepNext/>
        <w:keepLines w:val="0"/>
        <w:pageBreakBefore w:val="0"/>
        <w:widowControl w:val="0"/>
        <w:kinsoku/>
        <w:wordWrap/>
        <w:autoSpaceDE/>
        <w:autoSpaceDN/>
        <w:bidi w:val="0"/>
        <w:rPr>
          <w:rFonts w:hint="eastAsia"/>
          <w:highlight w:val="none"/>
          <w:lang w:val="en-US" w:eastAsia="zh-CN"/>
        </w:rPr>
      </w:pPr>
      <w:r>
        <w:rPr>
          <w:rFonts w:hint="eastAsia"/>
          <w:highlight w:val="none"/>
          <w:lang w:val="en-US" w:eastAsia="zh-CN"/>
        </w:rPr>
        <w:t xml:space="preserve"> </w:t>
      </w:r>
      <w:bookmarkStart w:id="121" w:name="_Toc26962"/>
      <w:bookmarkStart w:id="122" w:name="_Toc16685"/>
      <w:r>
        <w:rPr>
          <w:rFonts w:hint="eastAsia"/>
          <w:highlight w:val="none"/>
          <w:lang w:val="en-US" w:eastAsia="zh-CN"/>
        </w:rPr>
        <w:t>VOCs治理设施控制要求</w:t>
      </w:r>
      <w:bookmarkEnd w:id="121"/>
      <w:bookmarkEnd w:id="122"/>
    </w:p>
    <w:p w14:paraId="7EEDF4D6">
      <w:pPr>
        <w:keepNext/>
        <w:keepLines w:val="0"/>
        <w:pageBreakBefore w:val="0"/>
        <w:widowControl w:val="0"/>
        <w:numPr>
          <w:ilvl w:val="0"/>
          <w:numId w:val="0"/>
        </w:numPr>
        <w:kinsoku/>
        <w:wordWrap/>
        <w:autoSpaceDE/>
        <w:autoSpaceDN/>
        <w:bidi w:val="0"/>
        <w:ind w:firstLine="480" w:firstLineChars="200"/>
        <w:rPr>
          <w:rFonts w:hint="default"/>
          <w:highlight w:val="none"/>
          <w:lang w:eastAsia="zh-CN"/>
        </w:rPr>
      </w:pPr>
      <w:r>
        <w:rPr>
          <w:rFonts w:hint="eastAsia" w:cs="Times New Roman"/>
          <w:sz w:val="24"/>
          <w:highlight w:val="none"/>
          <w:lang w:eastAsia="zh-CN"/>
        </w:rPr>
        <w:t>根据</w:t>
      </w:r>
      <w:r>
        <w:rPr>
          <w:rFonts w:hint="default" w:ascii="Times New Roman" w:hAnsi="Times New Roman" w:cs="Times New Roman"/>
          <w:sz w:val="24"/>
          <w:highlight w:val="none"/>
        </w:rPr>
        <w:t>202</w:t>
      </w:r>
      <w:r>
        <w:rPr>
          <w:rFonts w:hint="default" w:ascii="Times New Roman" w:hAnsi="Times New Roman" w:cs="Times New Roman"/>
          <w:sz w:val="24"/>
          <w:highlight w:val="none"/>
          <w:lang w:val="en-US" w:eastAsia="zh-CN"/>
        </w:rPr>
        <w:t>3</w:t>
      </w:r>
      <w:r>
        <w:rPr>
          <w:rFonts w:hint="default" w:ascii="Times New Roman" w:hAnsi="Times New Roman" w:cs="Times New Roman"/>
          <w:sz w:val="24"/>
          <w:highlight w:val="none"/>
        </w:rPr>
        <w:t>年四川省大气污染源排放清单</w:t>
      </w:r>
      <w:r>
        <w:rPr>
          <w:rFonts w:hint="eastAsia" w:cs="Times New Roman"/>
          <w:sz w:val="24"/>
          <w:highlight w:val="none"/>
          <w:lang w:eastAsia="zh-CN"/>
        </w:rPr>
        <w:t>数据</w:t>
      </w:r>
      <w:r>
        <w:rPr>
          <w:rFonts w:hint="default" w:ascii="Times New Roman" w:hAnsi="Times New Roman" w:cs="Times New Roman"/>
          <w:sz w:val="24"/>
          <w:highlight w:val="none"/>
        </w:rPr>
        <w:t>，</w:t>
      </w:r>
      <w:r>
        <w:rPr>
          <w:rFonts w:hint="eastAsia"/>
          <w:highlight w:val="none"/>
          <w:lang w:val="en-US" w:eastAsia="zh-CN"/>
        </w:rPr>
        <w:t>四川省汽车维修行业92.8%的企业均安装了VOCs处理设施，但以非燃烧技术为主，占比高达89.0%</w:t>
      </w:r>
      <w:r>
        <w:rPr>
          <w:rFonts w:hint="default" w:ascii="Times New Roman" w:hAnsi="Times New Roman" w:cs="Times New Roman"/>
          <w:highlight w:val="none"/>
        </w:rPr>
        <w:t>，</w:t>
      </w:r>
      <w:r>
        <w:rPr>
          <w:rFonts w:hint="default" w:ascii="Times New Roman" w:hAnsi="Times New Roman" w:cs="Times New Roman"/>
          <w:highlight w:val="none"/>
          <w:lang w:val="en-US" w:eastAsia="zh-CN"/>
        </w:rPr>
        <w:t>根据《</w:t>
      </w:r>
      <w:r>
        <w:rPr>
          <w:rFonts w:hint="default" w:ascii="Times New Roman" w:hAnsi="Times New Roman" w:cs="Times New Roman"/>
          <w:highlight w:val="none"/>
        </w:rPr>
        <w:t>国家污染防治技术指导目录（2024年</w:t>
      </w:r>
      <w:r>
        <w:rPr>
          <w:rFonts w:hint="default" w:ascii="Times New Roman" w:hAnsi="Times New Roman" w:cs="Times New Roman"/>
          <w:highlight w:val="none"/>
          <w:lang w:eastAsia="zh-CN"/>
        </w:rPr>
        <w:t>，</w:t>
      </w:r>
      <w:r>
        <w:rPr>
          <w:rFonts w:hint="default" w:ascii="Times New Roman" w:hAnsi="Times New Roman" w:cs="Times New Roman"/>
          <w:highlight w:val="none"/>
        </w:rPr>
        <w:t>限制</w:t>
      </w:r>
      <w:r>
        <w:rPr>
          <w:rFonts w:hint="default" w:ascii="Times New Roman" w:hAnsi="Times New Roman" w:cs="Times New Roman"/>
          <w:highlight w:val="none"/>
          <w:lang w:val="en-US" w:eastAsia="zh-CN"/>
        </w:rPr>
        <w:t>类和</w:t>
      </w:r>
      <w:r>
        <w:rPr>
          <w:rFonts w:hint="default" w:ascii="Times New Roman" w:hAnsi="Times New Roman" w:cs="Times New Roman"/>
          <w:highlight w:val="none"/>
        </w:rPr>
        <w:t>淘汰</w:t>
      </w:r>
      <w:r>
        <w:rPr>
          <w:rFonts w:hint="default" w:ascii="Times New Roman" w:hAnsi="Times New Roman" w:cs="Times New Roman"/>
          <w:highlight w:val="none"/>
          <w:lang w:val="en-US" w:eastAsia="zh-CN"/>
        </w:rPr>
        <w:t>类</w:t>
      </w:r>
      <w:r>
        <w:rPr>
          <w:rFonts w:hint="default" w:ascii="Times New Roman" w:hAnsi="Times New Roman" w:cs="Times New Roman"/>
          <w:highlight w:val="none"/>
        </w:rPr>
        <w:t>）</w:t>
      </w:r>
      <w:r>
        <w:rPr>
          <w:rFonts w:hint="default" w:ascii="Times New Roman" w:hAnsi="Times New Roman" w:cs="Times New Roman"/>
          <w:highlight w:val="none"/>
          <w:lang w:val="en-US" w:eastAsia="zh-CN"/>
        </w:rPr>
        <w:t>》，VOCs光催化及其组合净化技术和VOCs光解（光氧化）及其组合净化技术属于淘汰类技术，全省共计</w:t>
      </w:r>
      <w:r>
        <w:rPr>
          <w:rFonts w:hint="default" w:ascii="Times New Roman" w:hAnsi="Times New Roman" w:cs="Times New Roman"/>
          <w:color w:val="auto"/>
          <w:highlight w:val="none"/>
          <w:lang w:val="en-US" w:eastAsia="zh-CN"/>
        </w:rPr>
        <w:t>16.3%的企业采用以上技术，</w:t>
      </w:r>
      <w:r>
        <w:rPr>
          <w:rFonts w:hint="default" w:ascii="Times New Roman" w:hAnsi="Times New Roman" w:cs="Times New Roman"/>
          <w:color w:val="auto"/>
          <w:highlight w:val="none"/>
        </w:rPr>
        <w:t>可以看出我省</w:t>
      </w:r>
      <w:r>
        <w:rPr>
          <w:rFonts w:hint="default" w:ascii="Times New Roman" w:hAnsi="Times New Roman" w:cs="Times New Roman"/>
          <w:color w:val="auto"/>
          <w:highlight w:val="none"/>
          <w:lang w:eastAsia="zh-CN"/>
        </w:rPr>
        <w:t>汽车维修</w:t>
      </w:r>
      <w:r>
        <w:rPr>
          <w:rFonts w:hint="default" w:ascii="Times New Roman" w:hAnsi="Times New Roman" w:cs="Times New Roman"/>
          <w:color w:val="auto"/>
          <w:highlight w:val="none"/>
        </w:rPr>
        <w:t>行业末端治理技术单一且效率整体偏低。</w:t>
      </w:r>
      <w:r>
        <w:rPr>
          <w:rFonts w:hint="eastAsia"/>
          <w:highlight w:val="none"/>
          <w:lang w:val="en-US" w:eastAsia="zh-CN"/>
        </w:rPr>
        <w:t>为提升末端治理效率，本标准在5.2~5.5节规定了VOCs治理设施</w:t>
      </w:r>
      <w:r>
        <w:rPr>
          <w:rFonts w:hint="default"/>
          <w:highlight w:val="none"/>
          <w:lang w:eastAsia="zh-CN"/>
        </w:rPr>
        <w:t>处理效率及计算方法，明确了使用VOCs燃烧装置的污染物排放限值及其浓度换算要求。</w:t>
      </w:r>
    </w:p>
    <w:p w14:paraId="18FD9BAD">
      <w:pPr>
        <w:pStyle w:val="5"/>
        <w:keepNext/>
        <w:keepLines w:val="0"/>
        <w:pageBreakBefore w:val="0"/>
        <w:widowControl w:val="0"/>
        <w:kinsoku/>
        <w:wordWrap/>
        <w:autoSpaceDE/>
        <w:autoSpaceDN/>
        <w:bidi w:val="0"/>
        <w:rPr>
          <w:rFonts w:hint="eastAsia"/>
          <w:highlight w:val="none"/>
          <w:lang w:eastAsia="zh-CN"/>
        </w:rPr>
      </w:pPr>
      <w:r>
        <w:rPr>
          <w:rFonts w:hint="eastAsia"/>
          <w:highlight w:val="none"/>
          <w:lang w:eastAsia="zh-CN"/>
        </w:rPr>
        <w:t>处理效率</w:t>
      </w:r>
    </w:p>
    <w:p w14:paraId="46C2453A">
      <w:pPr>
        <w:keepNext/>
        <w:keepLines w:val="0"/>
        <w:pageBreakBefore w:val="0"/>
        <w:widowControl w:val="0"/>
        <w:kinsoku/>
        <w:wordWrap/>
        <w:autoSpaceDE/>
        <w:autoSpaceDN/>
        <w:bidi w:val="0"/>
        <w:rPr>
          <w:rFonts w:hint="eastAsia"/>
          <w:b/>
          <w:bCs/>
          <w:highlight w:val="none"/>
          <w:lang w:val="en-US" w:eastAsia="zh-CN"/>
        </w:rPr>
      </w:pPr>
      <w:r>
        <w:rPr>
          <w:rFonts w:hint="eastAsia" w:cs="Times New Roman"/>
          <w:highlight w:val="none"/>
          <w:lang w:val="en-US" w:eastAsia="zh-CN"/>
        </w:rPr>
        <w:t>针对本标准沿用了</w:t>
      </w:r>
      <w:r>
        <w:rPr>
          <w:rFonts w:hint="eastAsia"/>
          <w:highlight w:val="none"/>
          <w:lang w:val="en-US" w:eastAsia="zh-CN"/>
        </w:rPr>
        <w:t>《挥发性有机物无组织排放标准》（GB37822-2019）的要求，</w:t>
      </w:r>
      <w:r>
        <w:rPr>
          <w:rFonts w:hint="eastAsia"/>
          <w:b/>
          <w:bCs/>
          <w:highlight w:val="none"/>
          <w:lang w:val="en-US" w:eastAsia="zh-CN"/>
        </w:rPr>
        <w:t>提出：</w:t>
      </w:r>
      <w:r>
        <w:rPr>
          <w:rFonts w:hint="eastAsia"/>
          <w:b/>
          <w:bCs/>
          <w:color w:val="auto"/>
          <w:highlight w:val="none"/>
          <w:lang w:val="zh-CN" w:eastAsia="zh-CN"/>
        </w:rPr>
        <w:t>车间或生产设施排气中NMHC初始排放速率≥2 kg/h（其他区≥3kg/h）时，VOCs处理设施的处理效率不应低于80%；采用的全部原辅材料均符合国家有关低VOCs含量产品规定的除外</w:t>
      </w:r>
      <w:r>
        <w:rPr>
          <w:rFonts w:hint="eastAsia"/>
          <w:b/>
          <w:bCs/>
          <w:highlight w:val="none"/>
          <w:lang w:val="en-US" w:eastAsia="zh-CN"/>
        </w:rPr>
        <w:t>。</w:t>
      </w:r>
    </w:p>
    <w:p w14:paraId="77428CE8">
      <w:pPr>
        <w:keepNext/>
        <w:keepLines w:val="0"/>
        <w:pageBreakBefore w:val="0"/>
        <w:widowControl w:val="0"/>
        <w:kinsoku/>
        <w:wordWrap/>
        <w:autoSpaceDE/>
        <w:autoSpaceDN/>
        <w:bidi w:val="0"/>
        <w:rPr>
          <w:highlight w:val="none"/>
          <w:lang w:val="zh-CN" w:eastAsia="zh-CN"/>
        </w:rPr>
      </w:pPr>
      <w:r>
        <w:rPr>
          <w:rFonts w:hint="eastAsia"/>
          <w:highlight w:val="none"/>
          <w:lang w:val="en-US" w:eastAsia="zh-CN"/>
        </w:rPr>
        <w:t>同时标准明确了汽车维修企业VOCs治理设施效率的计算方法，按</w:t>
      </w:r>
      <w:r>
        <w:rPr>
          <w:rFonts w:hint="eastAsia"/>
          <w:highlight w:val="none"/>
          <w:lang w:val="zh-CN" w:eastAsia="zh-CN"/>
        </w:rPr>
        <w:t>公式（1）计算。当污染处理设施为多级串联处理工艺时，处理效率为多级处理的总效率，即以第一级进口为“处理前”，最后一级出口为“处理后”进行计算；当污染处理设施处理多个来源的废气时，应以各来源废气进入处理设施的污染物总量为“处理前”，以污染处理设施最终出口为“处理后”进行计算；当污染处理设施有多个排放出口，则以各排放出口的污染物总量为“处理后”。</w:t>
      </w:r>
    </w:p>
    <w:p w14:paraId="6EF2AB33">
      <w:pPr>
        <w:keepNext/>
        <w:keepLines w:val="0"/>
        <w:pageBreakBefore w:val="0"/>
        <w:widowControl w:val="0"/>
        <w:kinsoku/>
        <w:wordWrap/>
        <w:overflowPunct/>
        <w:topLinePunct w:val="0"/>
        <w:autoSpaceDE/>
        <w:autoSpaceDN/>
        <w:bidi w:val="0"/>
        <w:adjustRightInd/>
        <w:snapToGrid/>
        <w:spacing w:line="360" w:lineRule="auto"/>
        <w:ind w:firstLine="0" w:firstLineChars="0"/>
        <w:jc w:val="right"/>
        <w:textAlignment w:val="auto"/>
        <w:rPr>
          <w:rFonts w:hint="eastAsia" w:cs="Times New Roman"/>
          <w:snapToGrid/>
          <w:color w:val="auto"/>
          <w:highlight w:val="none"/>
          <w:lang w:eastAsia="zh-CN"/>
        </w:rPr>
      </w:pPr>
      <w:r>
        <w:rPr>
          <w:rFonts w:hint="eastAsia" w:hAnsi="Cambria Math" w:cs="Times New Roman" w:eastAsiaTheme="minorEastAsia"/>
          <w:b w:val="0"/>
          <w:i w:val="0"/>
          <w:snapToGrid/>
          <w:color w:val="auto"/>
          <w:highlight w:val="none"/>
          <w:lang w:val="en-US" w:eastAsia="zh-CN"/>
        </w:rPr>
        <w:t xml:space="preserve"> </w:t>
      </w:r>
      <m:oMath>
        <m:r>
          <m:rPr>
            <m:nor/>
            <m:sty m:val="p"/>
          </m:rPr>
          <w:rPr>
            <w:rFonts w:ascii="Cambria Math" w:hAnsi="Cambria Math" w:cs="Times New Roman" w:eastAsiaTheme="minorEastAsia"/>
            <w:b w:val="0"/>
            <w:i w:val="0"/>
            <w:snapToGrid/>
            <w:color w:val="auto"/>
            <w:highlight w:val="none"/>
            <w:lang w:eastAsia="zh-CN"/>
          </w:rPr>
          <m:t>η=</m:t>
        </m:r>
        <m:r>
          <m:rPr>
            <m:nor/>
            <m:sty m:val="p"/>
          </m:rPr>
          <w:rPr>
            <w:rFonts w:hint="eastAsia" w:ascii="Cambria Math" w:hAnsi="Cambria Math" w:cs="Times New Roman" w:eastAsiaTheme="minorEastAsia"/>
            <w:b w:val="0"/>
            <w:i w:val="0"/>
            <w:snapToGrid/>
            <w:color w:val="auto"/>
            <w:highlight w:val="none"/>
            <w:lang w:eastAsia="zh-CN"/>
          </w:rPr>
          <m:t>(</m:t>
        </m:r>
        <m:f>
          <m:fPr>
            <m:ctrlPr>
              <w:rPr>
                <w:rFonts w:ascii="Cambria Math" w:hAnsi="Cambria Math" w:cs="Times New Roman" w:eastAsiaTheme="minorEastAsia"/>
                <w:i/>
                <w:snapToGrid/>
                <w:color w:val="auto"/>
                <w:highlight w:val="none"/>
                <w:lang w:eastAsia="zh-CN"/>
              </w:rPr>
            </m:ctrlPr>
          </m:fPr>
          <m:num>
            <m:sSub>
              <m:sSubPr>
                <m:ctrlPr>
                  <w:rPr>
                    <w:rFonts w:ascii="Cambria Math" w:hAnsi="Cambria Math" w:cs="Times New Roman" w:eastAsiaTheme="minorEastAsia"/>
                    <w:i/>
                    <w:snapToGrid/>
                    <w:color w:val="auto"/>
                    <w:highlight w:val="none"/>
                    <w:lang w:eastAsia="zh-CN"/>
                  </w:rPr>
                </m:ctrlPr>
              </m:sSubPr>
              <m:e>
                <m:r>
                  <m:rPr/>
                  <w:rPr>
                    <w:rFonts w:ascii="Cambria Math" w:hAnsi="Cambria Math" w:cs="Times New Roman" w:eastAsiaTheme="minorEastAsia"/>
                    <w:snapToGrid/>
                    <w:color w:val="auto"/>
                    <w:highlight w:val="none"/>
                    <w:lang w:eastAsia="zh-CN"/>
                  </w:rPr>
                  <m:t>G</m:t>
                </m:r>
                <m:ctrlPr>
                  <w:rPr>
                    <w:rFonts w:ascii="Cambria Math" w:hAnsi="Cambria Math" w:cs="Times New Roman" w:eastAsiaTheme="minorEastAsia"/>
                    <w:i/>
                    <w:snapToGrid/>
                    <w:color w:val="auto"/>
                    <w:highlight w:val="none"/>
                    <w:lang w:eastAsia="zh-CN"/>
                  </w:rPr>
                </m:ctrlPr>
              </m:e>
              <m:sub>
                <m:r>
                  <m:rPr/>
                  <w:rPr>
                    <w:rFonts w:hint="eastAsia" w:ascii="Cambria Math" w:hAnsi="Cambria Math" w:cs="Times New Roman" w:eastAsiaTheme="minorEastAsia"/>
                    <w:snapToGrid/>
                    <w:color w:val="auto"/>
                    <w:highlight w:val="none"/>
                    <w:lang w:eastAsia="zh-CN"/>
                  </w:rPr>
                  <m:t>处理前</m:t>
                </m:r>
                <m:ctrlPr>
                  <w:rPr>
                    <w:rFonts w:ascii="Cambria Math" w:hAnsi="Cambria Math" w:cs="Times New Roman" w:eastAsiaTheme="minorEastAsia"/>
                    <w:i/>
                    <w:snapToGrid/>
                    <w:color w:val="auto"/>
                    <w:highlight w:val="none"/>
                    <w:lang w:eastAsia="zh-CN"/>
                  </w:rPr>
                </m:ctrlPr>
              </m:sub>
            </m:sSub>
            <m:r>
              <m:rPr/>
              <w:rPr>
                <w:rFonts w:hint="eastAsia" w:ascii="Cambria Math" w:hAnsi="Cambria Math" w:eastAsia="微软雅黑" w:cs="微软雅黑"/>
                <w:snapToGrid/>
                <w:color w:val="auto"/>
                <w:highlight w:val="none"/>
                <w:lang w:eastAsia="zh-CN"/>
              </w:rPr>
              <m:t>−</m:t>
            </m:r>
            <m:sSub>
              <m:sSubPr>
                <m:ctrlPr>
                  <w:rPr>
                    <w:rFonts w:ascii="Cambria Math" w:hAnsi="Cambria Math" w:cs="Times New Roman" w:eastAsiaTheme="minorEastAsia"/>
                    <w:i/>
                    <w:snapToGrid/>
                    <w:color w:val="auto"/>
                    <w:highlight w:val="none"/>
                    <w:lang w:eastAsia="zh-CN"/>
                  </w:rPr>
                </m:ctrlPr>
              </m:sSubPr>
              <m:e>
                <m:r>
                  <m:rPr/>
                  <w:rPr>
                    <w:rFonts w:ascii="Cambria Math" w:hAnsi="Cambria Math" w:cs="Times New Roman" w:eastAsiaTheme="minorEastAsia"/>
                    <w:snapToGrid/>
                    <w:color w:val="auto"/>
                    <w:highlight w:val="none"/>
                    <w:lang w:eastAsia="zh-CN"/>
                  </w:rPr>
                  <m:t>G</m:t>
                </m:r>
                <m:ctrlPr>
                  <w:rPr>
                    <w:rFonts w:ascii="Cambria Math" w:hAnsi="Cambria Math" w:cs="Times New Roman" w:eastAsiaTheme="minorEastAsia"/>
                    <w:i/>
                    <w:snapToGrid/>
                    <w:color w:val="auto"/>
                    <w:highlight w:val="none"/>
                    <w:lang w:eastAsia="zh-CN"/>
                  </w:rPr>
                </m:ctrlPr>
              </m:e>
              <m:sub>
                <m:r>
                  <m:rPr/>
                  <w:rPr>
                    <w:rFonts w:hint="eastAsia" w:ascii="Cambria Math" w:hAnsi="Cambria Math" w:cs="Times New Roman" w:eastAsiaTheme="minorEastAsia"/>
                    <w:snapToGrid/>
                    <w:color w:val="auto"/>
                    <w:highlight w:val="none"/>
                    <w:lang w:eastAsia="zh-CN"/>
                  </w:rPr>
                  <m:t>处理后</m:t>
                </m:r>
                <m:ctrlPr>
                  <w:rPr>
                    <w:rFonts w:ascii="Cambria Math" w:hAnsi="Cambria Math" w:cs="Times New Roman" w:eastAsiaTheme="minorEastAsia"/>
                    <w:i/>
                    <w:snapToGrid/>
                    <w:color w:val="auto"/>
                    <w:highlight w:val="none"/>
                    <w:lang w:eastAsia="zh-CN"/>
                  </w:rPr>
                </m:ctrlPr>
              </m:sub>
            </m:sSub>
            <m:ctrlPr>
              <w:rPr>
                <w:rFonts w:ascii="Cambria Math" w:hAnsi="Cambria Math" w:cs="Times New Roman" w:eastAsiaTheme="minorEastAsia"/>
                <w:i/>
                <w:snapToGrid/>
                <w:color w:val="auto"/>
                <w:highlight w:val="none"/>
                <w:lang w:eastAsia="zh-CN"/>
              </w:rPr>
            </m:ctrlPr>
          </m:num>
          <m:den>
            <m:sSub>
              <m:sSubPr>
                <m:ctrlPr>
                  <w:rPr>
                    <w:rFonts w:ascii="Cambria Math" w:hAnsi="Cambria Math" w:cs="Times New Roman" w:eastAsiaTheme="minorEastAsia"/>
                    <w:i/>
                    <w:snapToGrid/>
                    <w:color w:val="auto"/>
                    <w:highlight w:val="none"/>
                    <w:lang w:eastAsia="zh-CN"/>
                  </w:rPr>
                </m:ctrlPr>
              </m:sSubPr>
              <m:e>
                <m:r>
                  <m:rPr/>
                  <w:rPr>
                    <w:rFonts w:ascii="Cambria Math" w:hAnsi="Cambria Math" w:cs="Times New Roman" w:eastAsiaTheme="minorEastAsia"/>
                    <w:snapToGrid/>
                    <w:color w:val="auto"/>
                    <w:highlight w:val="none"/>
                    <w:lang w:eastAsia="zh-CN"/>
                  </w:rPr>
                  <m:t>G</m:t>
                </m:r>
                <m:ctrlPr>
                  <w:rPr>
                    <w:rFonts w:ascii="Cambria Math" w:hAnsi="Cambria Math" w:cs="Times New Roman" w:eastAsiaTheme="minorEastAsia"/>
                    <w:i/>
                    <w:snapToGrid/>
                    <w:color w:val="auto"/>
                    <w:highlight w:val="none"/>
                    <w:lang w:eastAsia="zh-CN"/>
                  </w:rPr>
                </m:ctrlPr>
              </m:e>
              <m:sub>
                <m:r>
                  <m:rPr/>
                  <w:rPr>
                    <w:rFonts w:hint="eastAsia" w:ascii="Cambria Math" w:hAnsi="Cambria Math" w:cs="Times New Roman" w:eastAsiaTheme="minorEastAsia"/>
                    <w:snapToGrid/>
                    <w:color w:val="auto"/>
                    <w:highlight w:val="none"/>
                    <w:lang w:eastAsia="zh-CN"/>
                  </w:rPr>
                  <m:t>处理前</m:t>
                </m:r>
                <m:ctrlPr>
                  <w:rPr>
                    <w:rFonts w:ascii="Cambria Math" w:hAnsi="Cambria Math" w:cs="Times New Roman" w:eastAsiaTheme="minorEastAsia"/>
                    <w:i/>
                    <w:snapToGrid/>
                    <w:color w:val="auto"/>
                    <w:highlight w:val="none"/>
                    <w:lang w:eastAsia="zh-CN"/>
                  </w:rPr>
                </m:ctrlPr>
              </m:sub>
            </m:sSub>
            <m:ctrlPr>
              <w:rPr>
                <w:rFonts w:ascii="Cambria Math" w:hAnsi="Cambria Math" w:cs="Times New Roman" w:eastAsiaTheme="minorEastAsia"/>
                <w:i/>
                <w:snapToGrid/>
                <w:color w:val="auto"/>
                <w:highlight w:val="none"/>
                <w:lang w:eastAsia="zh-CN"/>
              </w:rPr>
            </m:ctrlPr>
          </m:den>
        </m:f>
        <m:r>
          <m:rPr>
            <m:nor/>
            <m:sty m:val="p"/>
          </m:rPr>
          <w:rPr>
            <w:rFonts w:hint="eastAsia" w:ascii="Cambria Math" w:hAnsi="Cambria Math" w:cs="Times New Roman" w:eastAsiaTheme="minorEastAsia"/>
            <w:b w:val="0"/>
            <w:i w:val="0"/>
            <w:snapToGrid/>
            <w:color w:val="auto"/>
            <w:highlight w:val="none"/>
            <w:lang w:eastAsia="zh-CN"/>
          </w:rPr>
          <m:t>)</m:t>
        </m:r>
        <m:r>
          <m:rPr>
            <m:nor/>
            <m:sty m:val="p"/>
          </m:rPr>
          <w:rPr>
            <w:rFonts w:ascii="Cambria Math" w:hAnsi="Cambria Math" w:cs="Times New Roman" w:eastAsiaTheme="minorEastAsia"/>
            <w:b w:val="0"/>
            <w:i w:val="0"/>
            <w:snapToGrid/>
            <w:color w:val="auto"/>
            <w:highlight w:val="none"/>
            <w:lang w:eastAsia="zh-CN"/>
          </w:rPr>
          <m:t>×</m:t>
        </m:r>
        <m:r>
          <m:rPr>
            <m:nor/>
            <m:sty m:val="p"/>
          </m:rPr>
          <w:rPr>
            <w:rFonts w:hint="eastAsia" w:ascii="Cambria Math" w:hAnsi="Cambria Math" w:cs="Times New Roman" w:eastAsiaTheme="minorEastAsia"/>
            <w:b w:val="0"/>
            <w:i w:val="0"/>
            <w:snapToGrid/>
            <w:color w:val="auto"/>
            <w:highlight w:val="none"/>
            <w:lang w:eastAsia="zh-CN"/>
          </w:rPr>
          <m:t>100%=</m:t>
        </m:r>
        <m:f>
          <m:fPr>
            <m:ctrlPr>
              <w:rPr>
                <w:rFonts w:ascii="Cambria Math" w:hAnsi="Cambria Math" w:cs="Times New Roman" w:eastAsiaTheme="minorEastAsia"/>
                <w:snapToGrid/>
                <w:color w:val="auto"/>
                <w:highlight w:val="none"/>
                <w:lang w:val="zh-CN" w:eastAsia="zh-CN"/>
              </w:rPr>
            </m:ctrlPr>
          </m:fPr>
          <m:num>
            <m:sSub>
              <m:sSubPr>
                <m:ctrlPr>
                  <w:rPr>
                    <w:rFonts w:ascii="Cambria Math" w:hAnsi="Cambria Math" w:cs="Times New Roman" w:eastAsiaTheme="minorEastAsia"/>
                    <w:i/>
                    <w:snapToGrid/>
                    <w:color w:val="auto"/>
                    <w:highlight w:val="none"/>
                    <w:lang w:val="zh-CN" w:eastAsia="zh-CN"/>
                  </w:rPr>
                </m:ctrlPr>
              </m:sSubPr>
              <m:e>
                <m:r>
                  <m:rPr/>
                  <w:rPr>
                    <w:rFonts w:ascii="Cambria Math" w:hAnsi="Cambria Math" w:cs="Times New Roman" w:eastAsiaTheme="minorEastAsia"/>
                    <w:snapToGrid/>
                    <w:color w:val="auto"/>
                    <w:highlight w:val="none"/>
                    <w:lang w:val="zh-CN" w:eastAsia="zh-CN"/>
                  </w:rPr>
                  <m:t>C</m:t>
                </m:r>
                <m:ctrlPr>
                  <w:rPr>
                    <w:rFonts w:ascii="Cambria Math" w:hAnsi="Cambria Math" w:cs="Times New Roman" w:eastAsiaTheme="minorEastAsia"/>
                    <w:i/>
                    <w:snapToGrid/>
                    <w:color w:val="auto"/>
                    <w:highlight w:val="none"/>
                    <w:lang w:val="zh-CN" w:eastAsia="zh-CN"/>
                  </w:rPr>
                </m:ctrlPr>
              </m:e>
              <m:sub>
                <m:r>
                  <m:rPr/>
                  <w:rPr>
                    <w:rFonts w:hint="eastAsia" w:ascii="Cambria Math" w:hAnsi="Cambria Math" w:cs="Times New Roman" w:eastAsiaTheme="minorEastAsia"/>
                    <w:snapToGrid/>
                    <w:color w:val="auto"/>
                    <w:highlight w:val="none"/>
                    <w:lang w:val="zh-CN" w:eastAsia="zh-CN"/>
                  </w:rPr>
                  <m:t>处理前</m:t>
                </m:r>
                <m:ctrlPr>
                  <w:rPr>
                    <w:rFonts w:ascii="Cambria Math" w:hAnsi="Cambria Math" w:cs="Times New Roman" w:eastAsiaTheme="minorEastAsia"/>
                    <w:i/>
                    <w:snapToGrid/>
                    <w:color w:val="auto"/>
                    <w:highlight w:val="none"/>
                    <w:lang w:val="zh-CN" w:eastAsia="zh-CN"/>
                  </w:rPr>
                </m:ctrlPr>
              </m:sub>
            </m:sSub>
            <m:r>
              <m:rPr/>
              <w:rPr>
                <w:rFonts w:ascii="Cambria Math" w:hAnsi="Cambria Math" w:cs="Times New Roman" w:eastAsiaTheme="minorEastAsia"/>
                <w:snapToGrid/>
                <w:color w:val="auto"/>
                <w:highlight w:val="none"/>
                <w:lang w:eastAsia="zh-CN"/>
              </w:rPr>
              <m:t>×</m:t>
            </m:r>
            <m:sSub>
              <m:sSubPr>
                <m:ctrlPr>
                  <w:rPr>
                    <w:rFonts w:ascii="Cambria Math" w:hAnsi="Cambria Math" w:cs="Times New Roman" w:eastAsiaTheme="minorEastAsia"/>
                    <w:i/>
                    <w:snapToGrid/>
                    <w:color w:val="auto"/>
                    <w:highlight w:val="none"/>
                    <w:lang w:val="zh-CN" w:eastAsia="zh-CN"/>
                  </w:rPr>
                </m:ctrlPr>
              </m:sSubPr>
              <m:e>
                <m:r>
                  <m:rPr/>
                  <w:rPr>
                    <w:rFonts w:ascii="Cambria Math" w:hAnsi="Cambria Math" w:cs="Times New Roman" w:eastAsiaTheme="minorEastAsia"/>
                    <w:snapToGrid/>
                    <w:color w:val="auto"/>
                    <w:highlight w:val="none"/>
                    <w:lang w:val="zh-CN" w:eastAsia="zh-CN"/>
                  </w:rPr>
                  <m:t>Q</m:t>
                </m:r>
                <m:ctrlPr>
                  <w:rPr>
                    <w:rFonts w:ascii="Cambria Math" w:hAnsi="Cambria Math" w:cs="Times New Roman" w:eastAsiaTheme="minorEastAsia"/>
                    <w:i/>
                    <w:snapToGrid/>
                    <w:color w:val="auto"/>
                    <w:highlight w:val="none"/>
                    <w:lang w:val="zh-CN" w:eastAsia="zh-CN"/>
                  </w:rPr>
                </m:ctrlPr>
              </m:e>
              <m:sub>
                <m:r>
                  <m:rPr/>
                  <w:rPr>
                    <w:rFonts w:hint="eastAsia" w:ascii="Cambria Math" w:hAnsi="Cambria Math" w:cs="Times New Roman" w:eastAsiaTheme="minorEastAsia"/>
                    <w:snapToGrid/>
                    <w:color w:val="auto"/>
                    <w:highlight w:val="none"/>
                    <w:lang w:val="zh-CN" w:eastAsia="zh-CN"/>
                  </w:rPr>
                  <m:t>处理前</m:t>
                </m:r>
                <m:ctrlPr>
                  <w:rPr>
                    <w:rFonts w:ascii="Cambria Math" w:hAnsi="Cambria Math" w:cs="Times New Roman" w:eastAsiaTheme="minorEastAsia"/>
                    <w:i/>
                    <w:snapToGrid/>
                    <w:color w:val="auto"/>
                    <w:highlight w:val="none"/>
                    <w:lang w:val="zh-CN" w:eastAsia="zh-CN"/>
                  </w:rPr>
                </m:ctrlPr>
              </m:sub>
            </m:sSub>
            <m:r>
              <m:rPr/>
              <w:rPr>
                <w:rFonts w:hint="eastAsia" w:ascii="Cambria Math" w:hAnsi="Cambria Math" w:cs="Times New Roman" w:eastAsiaTheme="minorEastAsia"/>
                <w:snapToGrid/>
                <w:color w:val="auto"/>
                <w:highlight w:val="none"/>
                <w:lang w:eastAsia="zh-CN"/>
              </w:rPr>
              <m:t>—</m:t>
            </m:r>
            <m:sSub>
              <m:sSubPr>
                <m:ctrlPr>
                  <w:rPr>
                    <w:rFonts w:ascii="Cambria Math" w:hAnsi="Cambria Math" w:cs="Times New Roman" w:eastAsiaTheme="minorEastAsia"/>
                    <w:i/>
                    <w:snapToGrid/>
                    <w:color w:val="auto"/>
                    <w:highlight w:val="none"/>
                    <w:lang w:eastAsia="zh-CN"/>
                  </w:rPr>
                </m:ctrlPr>
              </m:sSubPr>
              <m:e>
                <m:r>
                  <m:rPr/>
                  <w:rPr>
                    <w:rFonts w:ascii="Cambria Math" w:hAnsi="Cambria Math" w:cs="Times New Roman" w:eastAsiaTheme="minorEastAsia"/>
                    <w:snapToGrid/>
                    <w:color w:val="auto"/>
                    <w:highlight w:val="none"/>
                    <w:lang w:eastAsia="zh-CN"/>
                  </w:rPr>
                  <m:t>C</m:t>
                </m:r>
                <m:ctrlPr>
                  <w:rPr>
                    <w:rFonts w:ascii="Cambria Math" w:hAnsi="Cambria Math" w:cs="Times New Roman" w:eastAsiaTheme="minorEastAsia"/>
                    <w:i/>
                    <w:snapToGrid/>
                    <w:color w:val="auto"/>
                    <w:highlight w:val="none"/>
                    <w:lang w:eastAsia="zh-CN"/>
                  </w:rPr>
                </m:ctrlPr>
              </m:e>
              <m:sub>
                <m:r>
                  <m:rPr/>
                  <w:rPr>
                    <w:rFonts w:hint="eastAsia" w:ascii="Cambria Math" w:hAnsi="Cambria Math" w:cs="Times New Roman" w:eastAsiaTheme="minorEastAsia"/>
                    <w:snapToGrid/>
                    <w:color w:val="auto"/>
                    <w:highlight w:val="none"/>
                    <w:lang w:eastAsia="zh-CN"/>
                  </w:rPr>
                  <m:t>处理后</m:t>
                </m:r>
                <m:ctrlPr>
                  <w:rPr>
                    <w:rFonts w:ascii="Cambria Math" w:hAnsi="Cambria Math" w:cs="Times New Roman" w:eastAsiaTheme="minorEastAsia"/>
                    <w:i/>
                    <w:snapToGrid/>
                    <w:color w:val="auto"/>
                    <w:highlight w:val="none"/>
                    <w:lang w:eastAsia="zh-CN"/>
                  </w:rPr>
                </m:ctrlPr>
              </m:sub>
            </m:sSub>
            <m:sSub>
              <m:sSubPr>
                <m:ctrlPr>
                  <w:rPr>
                    <w:rFonts w:ascii="Cambria Math" w:hAnsi="Cambria Math" w:cs="Times New Roman" w:eastAsiaTheme="minorEastAsia"/>
                    <w:i/>
                    <w:iCs/>
                    <w:snapToGrid/>
                    <w:color w:val="auto"/>
                    <w:highlight w:val="none"/>
                    <w:lang w:val="zh-CN" w:eastAsia="zh-CN"/>
                  </w:rPr>
                </m:ctrlPr>
              </m:sSubPr>
              <m:e>
                <m:r>
                  <m:rPr/>
                  <w:rPr>
                    <w:rFonts w:ascii="Cambria Math" w:hAnsi="Cambria Math" w:cs="Times New Roman" w:eastAsiaTheme="minorEastAsia"/>
                    <w:snapToGrid/>
                    <w:color w:val="auto"/>
                    <w:highlight w:val="none"/>
                    <w:lang w:eastAsia="zh-CN"/>
                  </w:rPr>
                  <m:t>×</m:t>
                </m:r>
                <m:r>
                  <m:rPr/>
                  <w:rPr>
                    <w:rFonts w:ascii="Cambria Math" w:hAnsi="Cambria Math" w:cs="Times New Roman" w:eastAsiaTheme="minorEastAsia"/>
                    <w:snapToGrid/>
                    <w:color w:val="auto"/>
                    <w:highlight w:val="none"/>
                    <w:lang w:val="zh-CN" w:eastAsia="zh-CN"/>
                  </w:rPr>
                  <m:t>Q</m:t>
                </m:r>
                <m:ctrlPr>
                  <w:rPr>
                    <w:rFonts w:ascii="Cambria Math" w:hAnsi="Cambria Math" w:cs="Times New Roman" w:eastAsiaTheme="minorEastAsia"/>
                    <w:i/>
                    <w:iCs/>
                    <w:snapToGrid/>
                    <w:color w:val="auto"/>
                    <w:highlight w:val="none"/>
                    <w:lang w:val="zh-CN" w:eastAsia="zh-CN"/>
                  </w:rPr>
                </m:ctrlPr>
              </m:e>
              <m:sub>
                <m:r>
                  <m:rPr/>
                  <w:rPr>
                    <w:rFonts w:hint="eastAsia" w:ascii="Cambria Math" w:hAnsi="Cambria Math" w:cs="Times New Roman" w:eastAsiaTheme="minorEastAsia"/>
                    <w:snapToGrid/>
                    <w:color w:val="auto"/>
                    <w:highlight w:val="none"/>
                    <w:lang w:val="zh-CN" w:eastAsia="zh-CN"/>
                  </w:rPr>
                  <m:t>处理后</m:t>
                </m:r>
                <m:ctrlPr>
                  <w:rPr>
                    <w:rFonts w:ascii="Cambria Math" w:hAnsi="Cambria Math" w:cs="Times New Roman" w:eastAsiaTheme="minorEastAsia"/>
                    <w:i/>
                    <w:iCs/>
                    <w:snapToGrid/>
                    <w:color w:val="auto"/>
                    <w:highlight w:val="none"/>
                    <w:lang w:val="zh-CN" w:eastAsia="zh-CN"/>
                  </w:rPr>
                </m:ctrlPr>
              </m:sub>
            </m:sSub>
            <m:ctrlPr>
              <w:rPr>
                <w:rFonts w:ascii="Cambria Math" w:hAnsi="Cambria Math" w:cs="Times New Roman" w:eastAsiaTheme="minorEastAsia"/>
                <w:snapToGrid/>
                <w:color w:val="auto"/>
                <w:highlight w:val="none"/>
                <w:lang w:val="zh-CN" w:eastAsia="zh-CN"/>
              </w:rPr>
            </m:ctrlPr>
          </m:num>
          <m:den>
            <m:sSub>
              <m:sSubPr>
                <m:ctrlPr>
                  <w:rPr>
                    <w:rFonts w:ascii="Cambria Math" w:hAnsi="Cambria Math" w:cs="Times New Roman" w:eastAsiaTheme="minorEastAsia"/>
                    <w:i/>
                    <w:snapToGrid/>
                    <w:color w:val="auto"/>
                    <w:highlight w:val="none"/>
                    <w:lang w:val="zh-CN" w:eastAsia="zh-CN"/>
                  </w:rPr>
                </m:ctrlPr>
              </m:sSubPr>
              <m:e>
                <m:r>
                  <m:rPr/>
                  <w:rPr>
                    <w:rFonts w:ascii="Cambria Math" w:hAnsi="Cambria Math" w:cs="Times New Roman" w:eastAsiaTheme="minorEastAsia"/>
                    <w:snapToGrid/>
                    <w:color w:val="auto"/>
                    <w:highlight w:val="none"/>
                    <w:lang w:val="zh-CN" w:eastAsia="zh-CN"/>
                  </w:rPr>
                  <m:t>C</m:t>
                </m:r>
                <m:ctrlPr>
                  <w:rPr>
                    <w:rFonts w:ascii="Cambria Math" w:hAnsi="Cambria Math" w:cs="Times New Roman" w:eastAsiaTheme="minorEastAsia"/>
                    <w:i/>
                    <w:snapToGrid/>
                    <w:color w:val="auto"/>
                    <w:highlight w:val="none"/>
                    <w:lang w:val="zh-CN" w:eastAsia="zh-CN"/>
                  </w:rPr>
                </m:ctrlPr>
              </m:e>
              <m:sub>
                <m:r>
                  <m:rPr/>
                  <w:rPr>
                    <w:rFonts w:hint="eastAsia" w:ascii="Cambria Math" w:hAnsi="Cambria Math" w:cs="Times New Roman" w:eastAsiaTheme="minorEastAsia"/>
                    <w:snapToGrid/>
                    <w:color w:val="auto"/>
                    <w:highlight w:val="none"/>
                    <w:lang w:val="zh-CN" w:eastAsia="zh-CN"/>
                  </w:rPr>
                  <m:t>处理前</m:t>
                </m:r>
                <m:ctrlPr>
                  <w:rPr>
                    <w:rFonts w:ascii="Cambria Math" w:hAnsi="Cambria Math" w:cs="Times New Roman" w:eastAsiaTheme="minorEastAsia"/>
                    <w:i/>
                    <w:snapToGrid/>
                    <w:color w:val="auto"/>
                    <w:highlight w:val="none"/>
                    <w:lang w:val="zh-CN" w:eastAsia="zh-CN"/>
                  </w:rPr>
                </m:ctrlPr>
              </m:sub>
            </m:sSub>
            <m:r>
              <m:rPr/>
              <w:rPr>
                <w:rFonts w:ascii="Cambria Math" w:hAnsi="Cambria Math" w:cs="Times New Roman" w:eastAsiaTheme="minorEastAsia"/>
                <w:snapToGrid/>
                <w:color w:val="auto"/>
                <w:highlight w:val="none"/>
                <w:lang w:eastAsia="zh-CN"/>
              </w:rPr>
              <m:t>×</m:t>
            </m:r>
            <m:sSub>
              <m:sSubPr>
                <m:ctrlPr>
                  <w:rPr>
                    <w:rFonts w:ascii="Cambria Math" w:hAnsi="Cambria Math" w:cs="Times New Roman" w:eastAsiaTheme="minorEastAsia"/>
                    <w:i/>
                    <w:snapToGrid/>
                    <w:color w:val="auto"/>
                    <w:highlight w:val="none"/>
                    <w:lang w:val="zh-CN" w:eastAsia="zh-CN"/>
                  </w:rPr>
                </m:ctrlPr>
              </m:sSubPr>
              <m:e>
                <m:r>
                  <m:rPr/>
                  <w:rPr>
                    <w:rFonts w:ascii="Cambria Math" w:hAnsi="Cambria Math" w:cs="Times New Roman" w:eastAsiaTheme="minorEastAsia"/>
                    <w:snapToGrid/>
                    <w:color w:val="auto"/>
                    <w:highlight w:val="none"/>
                    <w:lang w:val="zh-CN" w:eastAsia="zh-CN"/>
                  </w:rPr>
                  <m:t>Q</m:t>
                </m:r>
                <m:ctrlPr>
                  <w:rPr>
                    <w:rFonts w:ascii="Cambria Math" w:hAnsi="Cambria Math" w:cs="Times New Roman" w:eastAsiaTheme="minorEastAsia"/>
                    <w:i/>
                    <w:snapToGrid/>
                    <w:color w:val="auto"/>
                    <w:highlight w:val="none"/>
                    <w:lang w:val="zh-CN" w:eastAsia="zh-CN"/>
                  </w:rPr>
                </m:ctrlPr>
              </m:e>
              <m:sub>
                <m:r>
                  <m:rPr/>
                  <w:rPr>
                    <w:rFonts w:hint="eastAsia" w:ascii="Cambria Math" w:hAnsi="Cambria Math" w:cs="Times New Roman" w:eastAsiaTheme="minorEastAsia"/>
                    <w:snapToGrid/>
                    <w:color w:val="auto"/>
                    <w:highlight w:val="none"/>
                    <w:lang w:val="zh-CN" w:eastAsia="zh-CN"/>
                  </w:rPr>
                  <m:t>处理前</m:t>
                </m:r>
                <m:ctrlPr>
                  <w:rPr>
                    <w:rFonts w:ascii="Cambria Math" w:hAnsi="Cambria Math" w:cs="Times New Roman" w:eastAsiaTheme="minorEastAsia"/>
                    <w:i/>
                    <w:snapToGrid/>
                    <w:color w:val="auto"/>
                    <w:highlight w:val="none"/>
                    <w:lang w:val="zh-CN" w:eastAsia="zh-CN"/>
                  </w:rPr>
                </m:ctrlPr>
              </m:sub>
            </m:sSub>
            <m:ctrlPr>
              <w:rPr>
                <w:rFonts w:ascii="Cambria Math" w:hAnsi="Cambria Math" w:cs="Times New Roman" w:eastAsiaTheme="minorEastAsia"/>
                <w:snapToGrid/>
                <w:color w:val="auto"/>
                <w:highlight w:val="none"/>
                <w:lang w:val="zh-CN" w:eastAsia="zh-CN"/>
              </w:rPr>
            </m:ctrlPr>
          </m:den>
        </m:f>
        <m:r>
          <m:rPr/>
          <w:rPr>
            <w:rFonts w:ascii="Cambria Math" w:hAnsi="Cambria Math" w:cs="Times New Roman" w:eastAsiaTheme="minorEastAsia"/>
            <w:snapToGrid/>
            <w:color w:val="auto"/>
            <w:highlight w:val="none"/>
            <w:lang w:eastAsia="zh-CN"/>
          </w:rPr>
          <m:t>×100%</m:t>
        </m:r>
        <m:r>
          <m:rPr/>
          <w:rPr>
            <w:rFonts w:hint="eastAsia" w:hAnsi="Cambria Math" w:cs="Times New Roman" w:eastAsiaTheme="minorEastAsia"/>
            <w:snapToGrid/>
            <w:color w:val="auto"/>
            <w:highlight w:val="none"/>
            <w:lang w:val="en-US" w:eastAsia="zh-CN"/>
          </w:rPr>
          <m:t xml:space="preserve">      </m:t>
        </m:r>
      </m:oMath>
      <w:r>
        <w:rPr>
          <w:rFonts w:hint="eastAsia" w:hAnsi="Cambria Math" w:cs="Times New Roman" w:eastAsiaTheme="minorEastAsia"/>
          <w:i w:val="0"/>
          <w:snapToGrid/>
          <w:color w:val="auto"/>
          <w:highlight w:val="none"/>
          <w:lang w:val="en-US" w:eastAsia="zh-CN"/>
        </w:rPr>
        <w:t xml:space="preserve">           </w:t>
      </w:r>
      <w:r>
        <w:rPr>
          <w:rFonts w:hint="eastAsia" w:cs="Times New Roman"/>
          <w:snapToGrid/>
          <w:color w:val="auto"/>
          <w:highlight w:val="none"/>
          <w:lang w:eastAsia="zh-CN"/>
        </w:rPr>
        <w:t>（</w:t>
      </w:r>
      <w:r>
        <w:rPr>
          <w:rFonts w:cs="Times New Roman"/>
          <w:snapToGrid/>
          <w:color w:val="auto"/>
          <w:highlight w:val="none"/>
          <w:lang w:eastAsia="zh-CN"/>
        </w:rPr>
        <w:t>1</w:t>
      </w:r>
      <w:r>
        <w:rPr>
          <w:rFonts w:hint="eastAsia" w:cs="Times New Roman"/>
          <w:snapToGrid/>
          <w:color w:val="auto"/>
          <w:highlight w:val="none"/>
          <w:lang w:eastAsia="zh-CN"/>
        </w:rPr>
        <w:t>）</w:t>
      </w:r>
    </w:p>
    <w:p w14:paraId="502626C2">
      <w:pPr>
        <w:keepNext/>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cs="Times New Roman"/>
          <w:snapToGrid/>
          <w:color w:val="auto"/>
          <w:highlight w:val="none"/>
          <w:lang w:eastAsia="zh-CN"/>
        </w:rPr>
      </w:pPr>
    </w:p>
    <w:p w14:paraId="6B265F99">
      <w:pPr>
        <w:keepNext/>
        <w:keepLines w:val="0"/>
        <w:pageBreakBefore w:val="0"/>
        <w:widowControl w:val="0"/>
        <w:kinsoku/>
        <w:wordWrap/>
        <w:autoSpaceDE/>
        <w:autoSpaceDN/>
        <w:bidi w:val="0"/>
        <w:snapToGrid/>
        <w:ind w:firstLine="720" w:firstLineChars="300"/>
        <w:jc w:val="both"/>
        <w:textAlignment w:val="auto"/>
        <w:rPr>
          <w:rFonts w:cs="Times New Roman"/>
          <w:snapToGrid/>
          <w:color w:val="000000" w:themeColor="text1"/>
          <w:lang w:val="zh-CN" w:eastAsia="zh-CN"/>
          <w14:textFill>
            <w14:solidFill>
              <w14:schemeClr w14:val="tx1"/>
            </w14:solidFill>
          </w14:textFill>
        </w:rPr>
      </w:pPr>
      <w:r>
        <w:rPr>
          <w:rFonts w:hint="eastAsia" w:cs="Times New Roman"/>
          <w:snapToGrid/>
          <w:color w:val="000000" w:themeColor="text1"/>
          <w:lang w:val="zh-CN" w:eastAsia="zh-CN"/>
          <w14:textFill>
            <w14:solidFill>
              <w14:schemeClr w14:val="tx1"/>
            </w14:solidFill>
          </w14:textFill>
        </w:rPr>
        <w:t>式中：</w:t>
      </w:r>
      <w:r>
        <w:rPr>
          <w:rFonts w:cs="Times New Roman"/>
          <w:snapToGrid/>
          <w:color w:val="000000" w:themeColor="text1"/>
          <w:lang w:val="zh-CN" w:eastAsia="zh-CN"/>
          <w14:textFill>
            <w14:solidFill>
              <w14:schemeClr w14:val="tx1"/>
            </w14:solidFill>
          </w14:textFill>
        </w:rPr>
        <w:t>η</w:t>
      </w:r>
      <w:r>
        <w:rPr>
          <w:rFonts w:hint="eastAsia" w:cs="Times New Roman"/>
          <w:snapToGrid/>
          <w:color w:val="000000" w:themeColor="text1"/>
          <w:lang w:val="zh-CN" w:eastAsia="zh-CN"/>
          <w14:textFill>
            <w14:solidFill>
              <w14:schemeClr w14:val="tx1"/>
            </w14:solidFill>
          </w14:textFill>
        </w:rPr>
        <w:t>——污染物处理设施处理效率，%；</w:t>
      </w:r>
    </w:p>
    <w:p w14:paraId="17C14C99">
      <w:pPr>
        <w:pStyle w:val="12"/>
        <w:keepNext/>
        <w:keepLines w:val="0"/>
        <w:pageBreakBefore w:val="0"/>
        <w:kinsoku/>
        <w:wordWrap/>
        <w:autoSpaceDE/>
        <w:autoSpaceDN/>
        <w:bidi w:val="0"/>
        <w:ind w:firstLine="1050" w:firstLineChars="500"/>
        <w:jc w:val="both"/>
        <w:rPr>
          <w:rFonts w:ascii="Times New Roman" w:hAnsi="Times New Roman" w:eastAsia="宋体" w:cs="Times New Roman"/>
          <w:color w:val="000000" w:themeColor="text1"/>
          <w:sz w:val="21"/>
          <w:szCs w:val="21"/>
          <w:lang w:eastAsia="zh-CN"/>
          <w14:textFill>
            <w14:solidFill>
              <w14:schemeClr w14:val="tx1"/>
            </w14:solidFill>
          </w14:textFill>
        </w:rPr>
      </w:pPr>
      <m:oMath>
        <m:sSub>
          <m:sSubPr>
            <m:ctrlPr>
              <w:rPr>
                <w:rFonts w:ascii="Cambria Math" w:hAnsi="Cambria Math" w:eastAsia="宋体" w:cs="Times New Roman"/>
                <w:color w:val="000000" w:themeColor="text1"/>
                <w:sz w:val="21"/>
                <w:szCs w:val="21"/>
                <w:lang w:eastAsia="zh-CN"/>
                <w14:textFill>
                  <w14:solidFill>
                    <w14:schemeClr w14:val="tx1"/>
                  </w14:solidFill>
                </w14:textFill>
              </w:rPr>
            </m:ctrlPr>
          </m:sSubPr>
          <m:e>
            <m:r>
              <m:rPr/>
              <w:rPr>
                <w:rFonts w:ascii="Cambria Math" w:hAnsi="Cambria Math" w:eastAsia="宋体" w:cs="Times New Roman"/>
                <w:color w:val="000000" w:themeColor="text1"/>
                <w:sz w:val="21"/>
                <w:szCs w:val="21"/>
                <w:lang w:eastAsia="zh-CN"/>
                <w14:textFill>
                  <w14:solidFill>
                    <w14:schemeClr w14:val="tx1"/>
                  </w14:solidFill>
                </w14:textFill>
              </w:rPr>
              <m:t>G</m:t>
            </m:r>
            <m:ctrlPr>
              <w:rPr>
                <w:rFonts w:ascii="Cambria Math" w:hAnsi="Cambria Math" w:eastAsia="宋体" w:cs="Times New Roman"/>
                <w:color w:val="000000" w:themeColor="text1"/>
                <w:sz w:val="21"/>
                <w:szCs w:val="21"/>
                <w:lang w:eastAsia="zh-CN"/>
                <w14:textFill>
                  <w14:solidFill>
                    <w14:schemeClr w14:val="tx1"/>
                  </w14:solidFill>
                </w14:textFill>
              </w:rPr>
            </m:ctrlPr>
          </m:e>
          <m:sub>
            <m:r>
              <m:rPr>
                <m:sty m:val="p"/>
              </m:rPr>
              <w:rPr>
                <w:rFonts w:hint="eastAsia" w:ascii="Cambria Math" w:hAnsi="Cambria Math" w:eastAsia="宋体" w:cs="Times New Roman"/>
                <w:color w:val="000000" w:themeColor="text1"/>
                <w:sz w:val="21"/>
                <w:szCs w:val="21"/>
                <w:lang w:eastAsia="zh-CN"/>
                <w14:textFill>
                  <w14:solidFill>
                    <w14:schemeClr w14:val="tx1"/>
                  </w14:solidFill>
                </w14:textFill>
              </w:rPr>
              <m:t>处理前</m:t>
            </m:r>
            <m:ctrlPr>
              <w:rPr>
                <w:rFonts w:ascii="Cambria Math" w:hAnsi="Cambria Math" w:eastAsia="宋体" w:cs="Times New Roman"/>
                <w:color w:val="000000" w:themeColor="text1"/>
                <w:sz w:val="21"/>
                <w:szCs w:val="21"/>
                <w:lang w:eastAsia="zh-CN"/>
                <w14:textFill>
                  <w14:solidFill>
                    <w14:schemeClr w14:val="tx1"/>
                  </w14:solidFill>
                </w14:textFill>
              </w:rPr>
            </m:ctrlPr>
          </m:sub>
        </m:sSub>
        <m:r>
          <m:rPr/>
          <w:rPr>
            <w:rFonts w:hint="eastAsia" w:ascii="Cambria Math" w:hAnsi="Cambria Math" w:eastAsia="宋体" w:cs="Times New Roman"/>
            <w:color w:val="000000" w:themeColor="text1"/>
            <w:sz w:val="21"/>
            <w:szCs w:val="21"/>
            <w:lang w:eastAsia="zh-CN"/>
            <w14:textFill>
              <w14:solidFill>
                <w14:schemeClr w14:val="tx1"/>
              </w14:solidFill>
            </w14:textFill>
          </w:rPr>
          <m:t>、</m:t>
        </m:r>
        <m:sSub>
          <m:sSubPr>
            <m:ctrlPr>
              <w:rPr>
                <w:rFonts w:ascii="Cambria Math" w:hAnsi="Cambria Math" w:eastAsia="宋体" w:cs="Times New Roman"/>
                <w:color w:val="000000" w:themeColor="text1"/>
                <w:sz w:val="21"/>
                <w:szCs w:val="21"/>
                <w:lang w:eastAsia="zh-CN"/>
                <w14:textFill>
                  <w14:solidFill>
                    <w14:schemeClr w14:val="tx1"/>
                  </w14:solidFill>
                </w14:textFill>
              </w:rPr>
            </m:ctrlPr>
          </m:sSubPr>
          <m:e>
            <m:r>
              <m:rPr/>
              <w:rPr>
                <w:rFonts w:ascii="Cambria Math" w:hAnsi="Cambria Math" w:eastAsia="宋体" w:cs="Times New Roman"/>
                <w:color w:val="000000" w:themeColor="text1"/>
                <w:sz w:val="21"/>
                <w:szCs w:val="21"/>
                <w:lang w:eastAsia="zh-CN"/>
                <w14:textFill>
                  <w14:solidFill>
                    <w14:schemeClr w14:val="tx1"/>
                  </w14:solidFill>
                </w14:textFill>
              </w:rPr>
              <m:t>G</m:t>
            </m:r>
            <m:ctrlPr>
              <w:rPr>
                <w:rFonts w:ascii="Cambria Math" w:hAnsi="Cambria Math" w:eastAsia="宋体" w:cs="Times New Roman"/>
                <w:color w:val="000000" w:themeColor="text1"/>
                <w:sz w:val="21"/>
                <w:szCs w:val="21"/>
                <w:lang w:eastAsia="zh-CN"/>
                <w14:textFill>
                  <w14:solidFill>
                    <w14:schemeClr w14:val="tx1"/>
                  </w14:solidFill>
                </w14:textFill>
              </w:rPr>
            </m:ctrlPr>
          </m:e>
          <m:sub>
            <m:r>
              <m:rPr>
                <m:sty m:val="p"/>
              </m:rPr>
              <w:rPr>
                <w:rFonts w:hint="eastAsia" w:ascii="Cambria Math" w:hAnsi="Cambria Math" w:eastAsia="宋体" w:cs="Times New Roman"/>
                <w:color w:val="000000" w:themeColor="text1"/>
                <w:sz w:val="21"/>
                <w:szCs w:val="21"/>
                <w:lang w:eastAsia="zh-CN"/>
                <w14:textFill>
                  <w14:solidFill>
                    <w14:schemeClr w14:val="tx1"/>
                  </w14:solidFill>
                </w14:textFill>
              </w:rPr>
              <m:t>处理后</m:t>
            </m:r>
            <m:ctrlPr>
              <w:rPr>
                <w:rFonts w:ascii="Cambria Math" w:hAnsi="Cambria Math" w:eastAsia="宋体" w:cs="Times New Roman"/>
                <w:color w:val="000000" w:themeColor="text1"/>
                <w:sz w:val="21"/>
                <w:szCs w:val="21"/>
                <w:lang w:eastAsia="zh-CN"/>
                <w14:textFill>
                  <w14:solidFill>
                    <w14:schemeClr w14:val="tx1"/>
                  </w14:solidFill>
                </w14:textFill>
              </w:rPr>
            </m:ctrlPr>
          </m:sub>
        </m:sSub>
      </m:oMath>
      <w:r>
        <w:rPr>
          <w:rFonts w:hint="eastAsia" w:ascii="Times New Roman" w:hAnsi="Times New Roman" w:eastAsia="宋体" w:cs="Times New Roman"/>
          <w:color w:val="000000" w:themeColor="text1"/>
          <w:sz w:val="21"/>
          <w:szCs w:val="21"/>
          <w:lang w:eastAsia="zh-CN"/>
          <w14:textFill>
            <w14:solidFill>
              <w14:schemeClr w14:val="tx1"/>
            </w14:solidFill>
          </w14:textFill>
        </w:rPr>
        <w:t>——处理设施处理前、后污染物排放速率，kg</w:t>
      </w:r>
      <w:r>
        <w:rPr>
          <w:rFonts w:ascii="Times New Roman" w:hAnsi="Times New Roman" w:eastAsia="宋体" w:cs="Times New Roman"/>
          <w:color w:val="000000" w:themeColor="text1"/>
          <w:sz w:val="21"/>
          <w:szCs w:val="21"/>
          <w:lang w:eastAsia="zh-CN"/>
          <w14:textFill>
            <w14:solidFill>
              <w14:schemeClr w14:val="tx1"/>
            </w14:solidFill>
          </w14:textFill>
        </w:rPr>
        <w:t>/</w:t>
      </w:r>
      <w:r>
        <w:rPr>
          <w:rFonts w:hint="eastAsia" w:ascii="Times New Roman" w:hAnsi="Times New Roman" w:eastAsia="宋体" w:cs="Times New Roman"/>
          <w:color w:val="000000" w:themeColor="text1"/>
          <w:sz w:val="21"/>
          <w:szCs w:val="21"/>
          <w:lang w:eastAsia="zh-CN"/>
          <w14:textFill>
            <w14:solidFill>
              <w14:schemeClr w14:val="tx1"/>
            </w14:solidFill>
          </w14:textFill>
        </w:rPr>
        <w:t>h；</w:t>
      </w:r>
    </w:p>
    <w:p w14:paraId="5922BD95">
      <w:pPr>
        <w:pStyle w:val="12"/>
        <w:keepNext/>
        <w:keepLines w:val="0"/>
        <w:pageBreakBefore w:val="0"/>
        <w:widowControl/>
        <w:kinsoku/>
        <w:wordWrap/>
        <w:overflowPunct/>
        <w:topLinePunct w:val="0"/>
        <w:autoSpaceDE/>
        <w:autoSpaceDN/>
        <w:bidi w:val="0"/>
        <w:adjustRightInd/>
        <w:snapToGrid/>
        <w:ind w:firstLine="1050" w:firstLineChars="500"/>
        <w:jc w:val="both"/>
        <w:textAlignment w:val="auto"/>
        <w:rPr>
          <w:rFonts w:hint="eastAsia" w:ascii="Times New Roman" w:hAnsi="Times New Roman" w:eastAsia="宋体" w:cs="Times New Roman"/>
          <w:color w:val="000000" w:themeColor="text1"/>
          <w:sz w:val="21"/>
          <w:szCs w:val="21"/>
          <w:lang w:val="en-US" w:eastAsia="zh-CN"/>
          <w14:textFill>
            <w14:solidFill>
              <w14:schemeClr w14:val="tx1"/>
            </w14:solidFill>
          </w14:textFill>
        </w:rPr>
      </w:pPr>
      <m:oMath>
        <m:sSub>
          <m:sSubPr>
            <m:ctrlPr>
              <w:rPr>
                <w:rFonts w:ascii="Cambria Math" w:hAnsi="Cambria Math" w:eastAsia="宋体" w:cs="Times New Roman"/>
                <w:color w:val="000000" w:themeColor="text1"/>
                <w:sz w:val="21"/>
                <w:szCs w:val="21"/>
                <w:lang w:eastAsia="zh-CN"/>
                <w14:textFill>
                  <w14:solidFill>
                    <w14:schemeClr w14:val="tx1"/>
                  </w14:solidFill>
                </w14:textFill>
              </w:rPr>
            </m:ctrlPr>
          </m:sSubPr>
          <m:e>
            <m:r>
              <m:rPr/>
              <w:rPr>
                <w:rFonts w:ascii="Cambria Math" w:hAnsi="Cambria Math" w:eastAsia="宋体" w:cs="Times New Roman"/>
                <w:color w:val="000000" w:themeColor="text1"/>
                <w:sz w:val="21"/>
                <w:szCs w:val="21"/>
                <w:lang w:eastAsia="zh-CN"/>
                <w14:textFill>
                  <w14:solidFill>
                    <w14:schemeClr w14:val="tx1"/>
                  </w14:solidFill>
                </w14:textFill>
              </w:rPr>
              <m:t>C</m:t>
            </m:r>
            <m:ctrlPr>
              <w:rPr>
                <w:rFonts w:ascii="Cambria Math" w:hAnsi="Cambria Math" w:eastAsia="宋体" w:cs="Times New Roman"/>
                <w:color w:val="000000" w:themeColor="text1"/>
                <w:sz w:val="21"/>
                <w:szCs w:val="21"/>
                <w:lang w:eastAsia="zh-CN"/>
                <w14:textFill>
                  <w14:solidFill>
                    <w14:schemeClr w14:val="tx1"/>
                  </w14:solidFill>
                </w14:textFill>
              </w:rPr>
            </m:ctrlPr>
          </m:e>
          <m:sub>
            <m:r>
              <m:rPr>
                <m:sty m:val="p"/>
              </m:rPr>
              <w:rPr>
                <w:rFonts w:hint="eastAsia" w:ascii="Cambria Math" w:hAnsi="Cambria Math" w:eastAsia="宋体" w:cs="Times New Roman"/>
                <w:color w:val="000000" w:themeColor="text1"/>
                <w:sz w:val="21"/>
                <w:szCs w:val="21"/>
                <w:lang w:eastAsia="zh-CN"/>
                <w14:textFill>
                  <w14:solidFill>
                    <w14:schemeClr w14:val="tx1"/>
                  </w14:solidFill>
                </w14:textFill>
              </w:rPr>
              <m:t>处理前</m:t>
            </m:r>
            <m:ctrlPr>
              <w:rPr>
                <w:rFonts w:ascii="Cambria Math" w:hAnsi="Cambria Math" w:eastAsia="宋体" w:cs="Times New Roman"/>
                <w:color w:val="000000" w:themeColor="text1"/>
                <w:sz w:val="21"/>
                <w:szCs w:val="21"/>
                <w:lang w:eastAsia="zh-CN"/>
                <w14:textFill>
                  <w14:solidFill>
                    <w14:schemeClr w14:val="tx1"/>
                  </w14:solidFill>
                </w14:textFill>
              </w:rPr>
            </m:ctrlPr>
          </m:sub>
        </m:sSub>
        <m:r>
          <m:rPr/>
          <w:rPr>
            <w:rFonts w:hint="eastAsia" w:ascii="Cambria Math" w:hAnsi="Cambria Math" w:eastAsia="宋体" w:cs="Times New Roman"/>
            <w:color w:val="000000" w:themeColor="text1"/>
            <w:sz w:val="21"/>
            <w:szCs w:val="21"/>
            <w:lang w:eastAsia="zh-CN"/>
            <w14:textFill>
              <w14:solidFill>
                <w14:schemeClr w14:val="tx1"/>
              </w14:solidFill>
            </w14:textFill>
          </w:rPr>
          <m:t>、</m:t>
        </m:r>
        <m:sSub>
          <m:sSubPr>
            <m:ctrlPr>
              <w:rPr>
                <w:rFonts w:ascii="Cambria Math" w:hAnsi="Cambria Math" w:eastAsia="宋体" w:cs="Times New Roman"/>
                <w:color w:val="000000" w:themeColor="text1"/>
                <w:sz w:val="21"/>
                <w:szCs w:val="21"/>
                <w:lang w:eastAsia="zh-CN"/>
                <w14:textFill>
                  <w14:solidFill>
                    <w14:schemeClr w14:val="tx1"/>
                  </w14:solidFill>
                </w14:textFill>
              </w:rPr>
            </m:ctrlPr>
          </m:sSubPr>
          <m:e>
            <m:r>
              <m:rPr/>
              <w:rPr>
                <w:rFonts w:ascii="Cambria Math" w:hAnsi="Cambria Math" w:eastAsia="宋体" w:cs="Times New Roman"/>
                <w:color w:val="000000" w:themeColor="text1"/>
                <w:sz w:val="21"/>
                <w:szCs w:val="21"/>
                <w:lang w:eastAsia="zh-CN"/>
                <w14:textFill>
                  <w14:solidFill>
                    <w14:schemeClr w14:val="tx1"/>
                  </w14:solidFill>
                </w14:textFill>
              </w:rPr>
              <m:t>C</m:t>
            </m:r>
            <m:ctrlPr>
              <w:rPr>
                <w:rFonts w:ascii="Cambria Math" w:hAnsi="Cambria Math" w:eastAsia="宋体" w:cs="Times New Roman"/>
                <w:color w:val="000000" w:themeColor="text1"/>
                <w:sz w:val="21"/>
                <w:szCs w:val="21"/>
                <w:lang w:eastAsia="zh-CN"/>
                <w14:textFill>
                  <w14:solidFill>
                    <w14:schemeClr w14:val="tx1"/>
                  </w14:solidFill>
                </w14:textFill>
              </w:rPr>
            </m:ctrlPr>
          </m:e>
          <m:sub>
            <m:r>
              <m:rPr>
                <m:sty m:val="p"/>
              </m:rPr>
              <w:rPr>
                <w:rFonts w:hint="eastAsia" w:ascii="Cambria Math" w:hAnsi="Cambria Math" w:eastAsia="宋体" w:cs="Times New Roman"/>
                <w:color w:val="000000" w:themeColor="text1"/>
                <w:sz w:val="21"/>
                <w:szCs w:val="21"/>
                <w:lang w:eastAsia="zh-CN"/>
                <w14:textFill>
                  <w14:solidFill>
                    <w14:schemeClr w14:val="tx1"/>
                  </w14:solidFill>
                </w14:textFill>
              </w:rPr>
              <m:t>处理后</m:t>
            </m:r>
            <m:ctrlPr>
              <w:rPr>
                <w:rFonts w:ascii="Cambria Math" w:hAnsi="Cambria Math" w:eastAsia="宋体" w:cs="Times New Roman"/>
                <w:color w:val="000000" w:themeColor="text1"/>
                <w:sz w:val="21"/>
                <w:szCs w:val="21"/>
                <w:lang w:eastAsia="zh-CN"/>
                <w14:textFill>
                  <w14:solidFill>
                    <w14:schemeClr w14:val="tx1"/>
                  </w14:solidFill>
                </w14:textFill>
              </w:rPr>
            </m:ctrlPr>
          </m:sub>
        </m:sSub>
      </m:oMath>
      <w:r>
        <w:rPr>
          <w:rFonts w:hint="eastAsia" w:ascii="Times New Roman" w:hAnsi="Times New Roman" w:eastAsia="宋体" w:cs="Times New Roman"/>
          <w:color w:val="000000" w:themeColor="text1"/>
          <w:sz w:val="21"/>
          <w:szCs w:val="21"/>
          <w:lang w:eastAsia="zh-CN"/>
          <w14:textFill>
            <w14:solidFill>
              <w14:schemeClr w14:val="tx1"/>
            </w14:solidFill>
          </w14:textFill>
        </w:rPr>
        <w:t>——处理设施处理前、后污染物排放浓度，</w:t>
      </w:r>
      <w:r>
        <w:rPr>
          <w:rFonts w:ascii="Times New Roman" w:hAnsi="Times New Roman" w:eastAsia="宋体" w:cs="Times New Roman"/>
          <w:color w:val="000000" w:themeColor="text1"/>
          <w:sz w:val="21"/>
          <w:szCs w:val="21"/>
          <w:lang w:eastAsia="zh-CN"/>
          <w14:textFill>
            <w14:solidFill>
              <w14:schemeClr w14:val="tx1"/>
            </w14:solidFill>
          </w14:textFill>
        </w:rPr>
        <w:t>mg/m</w:t>
      </w:r>
      <w:r>
        <w:rPr>
          <w:rFonts w:ascii="Times New Roman" w:hAnsi="Times New Roman" w:eastAsia="宋体" w:cs="Times New Roman"/>
          <w:color w:val="000000" w:themeColor="text1"/>
          <w:sz w:val="21"/>
          <w:szCs w:val="21"/>
          <w:vertAlign w:val="superscript"/>
          <w:lang w:eastAsia="zh-CN"/>
          <w14:textFill>
            <w14:solidFill>
              <w14:schemeClr w14:val="tx1"/>
            </w14:solidFill>
          </w14:textFill>
        </w:rPr>
        <w:t>3</w:t>
      </w:r>
      <w:r>
        <w:rPr>
          <w:rFonts w:hint="eastAsia" w:ascii="Times New Roman" w:hAnsi="Times New Roman" w:eastAsia="宋体" w:cs="Times New Roman"/>
          <w:color w:val="000000" w:themeColor="text1"/>
          <w:sz w:val="21"/>
          <w:szCs w:val="21"/>
          <w:lang w:eastAsia="zh-CN"/>
          <w14:textFill>
            <w14:solidFill>
              <w14:schemeClr w14:val="tx1"/>
            </w14:solidFill>
          </w14:textFill>
        </w:rPr>
        <w:t>；</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 xml:space="preserve"> </w:t>
      </w:r>
    </w:p>
    <w:p w14:paraId="551D6158">
      <w:pPr>
        <w:pStyle w:val="12"/>
        <w:keepNext/>
        <w:keepLines w:val="0"/>
        <w:pageBreakBefore w:val="0"/>
        <w:widowControl/>
        <w:kinsoku/>
        <w:wordWrap/>
        <w:overflowPunct/>
        <w:topLinePunct w:val="0"/>
        <w:autoSpaceDE/>
        <w:autoSpaceDN/>
        <w:bidi w:val="0"/>
        <w:adjustRightInd/>
        <w:snapToGrid/>
        <w:ind w:firstLine="1050" w:firstLineChars="500"/>
        <w:jc w:val="both"/>
        <w:textAlignment w:val="auto"/>
        <w:rPr>
          <w:rFonts w:hint="eastAsia" w:ascii="Times New Roman" w:hAnsi="Times New Roman" w:eastAsia="宋体" w:cs="Times New Roman"/>
          <w:color w:val="000000" w:themeColor="text1"/>
          <w:sz w:val="21"/>
          <w:szCs w:val="21"/>
          <w:lang w:eastAsia="zh-CN"/>
          <w14:textFill>
            <w14:solidFill>
              <w14:schemeClr w14:val="tx1"/>
            </w14:solidFill>
          </w14:textFill>
        </w:rPr>
      </w:pPr>
      <m:oMath>
        <m:sSub>
          <m:sSubPr>
            <m:ctrlPr>
              <w:rPr>
                <w:rFonts w:ascii="Cambria Math" w:hAnsi="Cambria Math" w:eastAsia="宋体" w:cs="Times New Roman"/>
                <w:color w:val="000000" w:themeColor="text1"/>
                <w:sz w:val="21"/>
                <w:szCs w:val="21"/>
                <w:lang w:eastAsia="zh-CN"/>
                <w14:textFill>
                  <w14:solidFill>
                    <w14:schemeClr w14:val="tx1"/>
                  </w14:solidFill>
                </w14:textFill>
              </w:rPr>
            </m:ctrlPr>
          </m:sSubPr>
          <m:e>
            <m:r>
              <m:rPr/>
              <w:rPr>
                <w:rFonts w:ascii="Cambria Math" w:hAnsi="Cambria Math" w:eastAsia="宋体" w:cs="Times New Roman"/>
                <w:color w:val="000000" w:themeColor="text1"/>
                <w:sz w:val="21"/>
                <w:szCs w:val="21"/>
                <w:lang w:eastAsia="zh-CN"/>
                <w14:textFill>
                  <w14:solidFill>
                    <w14:schemeClr w14:val="tx1"/>
                  </w14:solidFill>
                </w14:textFill>
              </w:rPr>
              <m:t>Q</m:t>
            </m:r>
            <m:ctrlPr>
              <w:rPr>
                <w:rFonts w:ascii="Cambria Math" w:hAnsi="Cambria Math" w:eastAsia="宋体" w:cs="Times New Roman"/>
                <w:color w:val="000000" w:themeColor="text1"/>
                <w:sz w:val="21"/>
                <w:szCs w:val="21"/>
                <w:lang w:eastAsia="zh-CN"/>
                <w14:textFill>
                  <w14:solidFill>
                    <w14:schemeClr w14:val="tx1"/>
                  </w14:solidFill>
                </w14:textFill>
              </w:rPr>
            </m:ctrlPr>
          </m:e>
          <m:sub>
            <m:r>
              <m:rPr>
                <m:sty m:val="p"/>
              </m:rPr>
              <w:rPr>
                <w:rFonts w:hint="eastAsia" w:ascii="Cambria Math" w:hAnsi="Cambria Math" w:eastAsia="宋体" w:cs="Times New Roman"/>
                <w:color w:val="000000" w:themeColor="text1"/>
                <w:sz w:val="21"/>
                <w:szCs w:val="21"/>
                <w:lang w:eastAsia="zh-CN"/>
                <w14:textFill>
                  <w14:solidFill>
                    <w14:schemeClr w14:val="tx1"/>
                  </w14:solidFill>
                </w14:textFill>
              </w:rPr>
              <m:t>处理前</m:t>
            </m:r>
            <m:ctrlPr>
              <w:rPr>
                <w:rFonts w:ascii="Cambria Math" w:hAnsi="Cambria Math" w:eastAsia="宋体" w:cs="Times New Roman"/>
                <w:color w:val="000000" w:themeColor="text1"/>
                <w:sz w:val="21"/>
                <w:szCs w:val="21"/>
                <w:lang w:eastAsia="zh-CN"/>
                <w14:textFill>
                  <w14:solidFill>
                    <w14:schemeClr w14:val="tx1"/>
                  </w14:solidFill>
                </w14:textFill>
              </w:rPr>
            </m:ctrlPr>
          </m:sub>
        </m:sSub>
        <m:r>
          <m:rPr/>
          <w:rPr>
            <w:rFonts w:hint="eastAsia" w:ascii="Cambria Math" w:hAnsi="Cambria Math" w:eastAsia="宋体" w:cs="Times New Roman"/>
            <w:color w:val="000000" w:themeColor="text1"/>
            <w:sz w:val="21"/>
            <w:szCs w:val="21"/>
            <w:lang w:eastAsia="zh-CN"/>
            <w14:textFill>
              <w14:solidFill>
                <w14:schemeClr w14:val="tx1"/>
              </w14:solidFill>
            </w14:textFill>
          </w:rPr>
          <m:t>、</m:t>
        </m:r>
        <m:sSub>
          <m:sSubPr>
            <m:ctrlPr>
              <w:rPr>
                <w:rFonts w:ascii="Cambria Math" w:hAnsi="Cambria Math" w:eastAsia="宋体" w:cs="Times New Roman"/>
                <w:color w:val="000000" w:themeColor="text1"/>
                <w:sz w:val="21"/>
                <w:szCs w:val="21"/>
                <w:lang w:eastAsia="zh-CN"/>
                <w14:textFill>
                  <w14:solidFill>
                    <w14:schemeClr w14:val="tx1"/>
                  </w14:solidFill>
                </w14:textFill>
              </w:rPr>
            </m:ctrlPr>
          </m:sSubPr>
          <m:e>
            <m:r>
              <m:rPr/>
              <w:rPr>
                <w:rFonts w:ascii="Cambria Math" w:hAnsi="Cambria Math" w:eastAsia="宋体" w:cs="Times New Roman"/>
                <w:color w:val="000000" w:themeColor="text1"/>
                <w:sz w:val="21"/>
                <w:szCs w:val="21"/>
                <w:lang w:eastAsia="zh-CN"/>
                <w14:textFill>
                  <w14:solidFill>
                    <w14:schemeClr w14:val="tx1"/>
                  </w14:solidFill>
                </w14:textFill>
              </w:rPr>
              <m:t>Q</m:t>
            </m:r>
            <m:ctrlPr>
              <w:rPr>
                <w:rFonts w:ascii="Cambria Math" w:hAnsi="Cambria Math" w:eastAsia="宋体" w:cs="Times New Roman"/>
                <w:color w:val="000000" w:themeColor="text1"/>
                <w:sz w:val="21"/>
                <w:szCs w:val="21"/>
                <w:lang w:eastAsia="zh-CN"/>
                <w14:textFill>
                  <w14:solidFill>
                    <w14:schemeClr w14:val="tx1"/>
                  </w14:solidFill>
                </w14:textFill>
              </w:rPr>
            </m:ctrlPr>
          </m:e>
          <m:sub>
            <m:r>
              <m:rPr>
                <m:sty m:val="p"/>
              </m:rPr>
              <w:rPr>
                <w:rFonts w:hint="eastAsia" w:ascii="Cambria Math" w:hAnsi="Cambria Math" w:eastAsia="宋体" w:cs="Times New Roman"/>
                <w:color w:val="000000" w:themeColor="text1"/>
                <w:sz w:val="21"/>
                <w:szCs w:val="21"/>
                <w:lang w:eastAsia="zh-CN"/>
                <w14:textFill>
                  <w14:solidFill>
                    <w14:schemeClr w14:val="tx1"/>
                  </w14:solidFill>
                </w14:textFill>
              </w:rPr>
              <m:t>处理后</m:t>
            </m:r>
            <m:ctrlPr>
              <w:rPr>
                <w:rFonts w:ascii="Cambria Math" w:hAnsi="Cambria Math" w:eastAsia="宋体" w:cs="Times New Roman"/>
                <w:color w:val="000000" w:themeColor="text1"/>
                <w:sz w:val="21"/>
                <w:szCs w:val="21"/>
                <w:lang w:eastAsia="zh-CN"/>
                <w14:textFill>
                  <w14:solidFill>
                    <w14:schemeClr w14:val="tx1"/>
                  </w14:solidFill>
                </w14:textFill>
              </w:rPr>
            </m:ctrlPr>
          </m:sub>
        </m:sSub>
      </m:oMath>
      <w:r>
        <w:rPr>
          <w:rFonts w:hint="eastAsia" w:ascii="Times New Roman" w:hAnsi="Times New Roman" w:eastAsia="宋体" w:cs="Times New Roman"/>
          <w:color w:val="000000" w:themeColor="text1"/>
          <w:sz w:val="21"/>
          <w:szCs w:val="21"/>
          <w:lang w:eastAsia="zh-CN"/>
          <w14:textFill>
            <w14:solidFill>
              <w14:schemeClr w14:val="tx1"/>
            </w14:solidFill>
          </w14:textFill>
        </w:rPr>
        <w:t>——处理设施处理前、后标准状态下干排气量，</w:t>
      </w:r>
      <w:r>
        <w:rPr>
          <w:rFonts w:ascii="Times New Roman" w:hAnsi="Times New Roman" w:eastAsia="宋体" w:cs="Times New Roman"/>
          <w:color w:val="000000" w:themeColor="text1"/>
          <w:sz w:val="21"/>
          <w:szCs w:val="21"/>
          <w:lang w:eastAsia="zh-CN"/>
          <w14:textFill>
            <w14:solidFill>
              <w14:schemeClr w14:val="tx1"/>
            </w14:solidFill>
          </w14:textFill>
        </w:rPr>
        <w:t>m</w:t>
      </w:r>
      <w:r>
        <w:rPr>
          <w:rFonts w:ascii="Times New Roman" w:hAnsi="Times New Roman" w:eastAsia="宋体" w:cs="Times New Roman"/>
          <w:color w:val="000000" w:themeColor="text1"/>
          <w:sz w:val="21"/>
          <w:szCs w:val="21"/>
          <w:vertAlign w:val="superscript"/>
          <w:lang w:eastAsia="zh-CN"/>
          <w14:textFill>
            <w14:solidFill>
              <w14:schemeClr w14:val="tx1"/>
            </w14:solidFill>
          </w14:textFill>
        </w:rPr>
        <w:t>3</w:t>
      </w:r>
      <w:r>
        <w:rPr>
          <w:rFonts w:hint="eastAsia" w:ascii="Times New Roman" w:hAnsi="Times New Roman" w:eastAsia="宋体" w:cs="Times New Roman"/>
          <w:color w:val="000000" w:themeColor="text1"/>
          <w:sz w:val="21"/>
          <w:szCs w:val="21"/>
          <w:lang w:eastAsia="zh-CN"/>
          <w14:textFill>
            <w14:solidFill>
              <w14:schemeClr w14:val="tx1"/>
            </w14:solidFill>
          </w14:textFill>
        </w:rPr>
        <w:t>/h；</w:t>
      </w:r>
    </w:p>
    <w:p w14:paraId="3C6F01AB">
      <w:pPr>
        <w:pStyle w:val="5"/>
        <w:keepNext/>
        <w:keepLines w:val="0"/>
        <w:pageBreakBefore w:val="0"/>
        <w:widowControl w:val="0"/>
        <w:kinsoku/>
        <w:wordWrap/>
        <w:autoSpaceDE/>
        <w:autoSpaceDN/>
        <w:bidi w:val="0"/>
        <w:rPr>
          <w:rFonts w:hint="default"/>
          <w:highlight w:val="none"/>
          <w:lang w:val="en-US" w:eastAsia="zh-CN"/>
        </w:rPr>
      </w:pPr>
      <w:r>
        <w:rPr>
          <w:rFonts w:hint="eastAsia"/>
          <w:highlight w:val="none"/>
          <w:lang w:val="en-US" w:eastAsia="zh-CN"/>
        </w:rPr>
        <w:t>VOCs燃烧装置排放限值</w:t>
      </w:r>
      <w:r>
        <w:rPr>
          <w:rFonts w:hint="default"/>
          <w:highlight w:val="none"/>
          <w:lang w:eastAsia="zh-CN"/>
        </w:rPr>
        <w:t>及浓度换算</w:t>
      </w:r>
    </w:p>
    <w:p w14:paraId="302FC0C7">
      <w:pPr>
        <w:keepNext/>
        <w:keepLines w:val="0"/>
        <w:pageBreakBefore w:val="0"/>
        <w:widowControl w:val="0"/>
        <w:kinsoku/>
        <w:wordWrap/>
        <w:autoSpaceDE/>
        <w:autoSpaceDN/>
        <w:bidi w:val="0"/>
        <w:rPr>
          <w:rFonts w:hint="default" w:ascii="Times New Roman" w:hAnsi="Times New Roman" w:cs="Times New Roman"/>
          <w:color w:val="000000"/>
          <w:kern w:val="0"/>
          <w:sz w:val="24"/>
          <w:highlight w:val="none"/>
          <w:vertAlign w:val="baseline"/>
          <w:lang w:eastAsia="zh-CN"/>
        </w:rPr>
      </w:pPr>
      <w:r>
        <w:rPr>
          <w:rFonts w:hint="default" w:ascii="Times New Roman" w:hAnsi="Times New Roman" w:cs="Times New Roman"/>
          <w:highlight w:val="none"/>
          <w:lang w:val="en-US" w:eastAsia="zh-CN"/>
        </w:rPr>
        <w:t>VOCs燃烧（焚烧、氧化）装置除满足</w:t>
      </w:r>
      <w:r>
        <w:rPr>
          <w:rFonts w:hint="eastAsia" w:cs="Times New Roman"/>
          <w:highlight w:val="none"/>
          <w:lang w:val="en-US" w:eastAsia="zh-CN"/>
        </w:rPr>
        <w:t>标准</w:t>
      </w:r>
      <w:r>
        <w:rPr>
          <w:rFonts w:hint="default" w:ascii="Times New Roman" w:hAnsi="Times New Roman" w:cs="Times New Roman"/>
          <w:highlight w:val="none"/>
          <w:lang w:val="en-US" w:eastAsia="zh-CN"/>
        </w:rPr>
        <w:t>表1的大气污染物排放限值要求外，还需对排放烟气中的二氧化硫和氮氧化物进行控制，参照《四川省工业炉窑大气污染物排放标准（征求意见稿）》</w:t>
      </w:r>
      <w:r>
        <w:rPr>
          <w:rFonts w:hint="eastAsia" w:cs="Times New Roman"/>
          <w:highlight w:val="none"/>
          <w:lang w:val="en-US" w:eastAsia="zh-CN"/>
        </w:rPr>
        <w:t>燃气炉</w:t>
      </w:r>
      <w:r>
        <w:rPr>
          <w:rFonts w:hint="eastAsia" w:ascii="Times New Roman" w:hAnsi="Times New Roman" w:cs="Times New Roman"/>
          <w:highlight w:val="none"/>
          <w:lang w:val="en-US" w:eastAsia="zh-CN"/>
        </w:rPr>
        <w:t>要求</w:t>
      </w:r>
      <w:r>
        <w:rPr>
          <w:rFonts w:hint="default" w:ascii="Times New Roman" w:hAnsi="Times New Roman" w:cs="Times New Roman"/>
          <w:highlight w:val="none"/>
          <w:lang w:val="en-US" w:eastAsia="zh-CN"/>
        </w:rPr>
        <w:t>，将VOCs燃烧装置排放的二氧化硫、氮氧化物排放限值分别设</w:t>
      </w:r>
      <w:r>
        <w:rPr>
          <w:rFonts w:hint="default" w:ascii="Times New Roman" w:hAnsi="Times New Roman" w:cs="Times New Roman"/>
          <w:color w:val="000000"/>
          <w:kern w:val="0"/>
          <w:sz w:val="24"/>
          <w:highlight w:val="none"/>
        </w:rPr>
        <w:t>为</w:t>
      </w:r>
      <w:r>
        <w:rPr>
          <w:rFonts w:hint="eastAsia" w:cs="Times New Roman"/>
          <w:color w:val="000000"/>
          <w:kern w:val="0"/>
          <w:sz w:val="24"/>
          <w:highlight w:val="none"/>
          <w:lang w:val="en-US" w:eastAsia="zh-CN"/>
        </w:rPr>
        <w:t>5</w:t>
      </w:r>
      <w:r>
        <w:rPr>
          <w:rFonts w:hint="default" w:ascii="Times New Roman" w:hAnsi="Times New Roman" w:cs="Times New Roman"/>
          <w:color w:val="000000"/>
          <w:kern w:val="0"/>
          <w:sz w:val="24"/>
          <w:highlight w:val="none"/>
          <w:lang w:val="en-US" w:eastAsia="zh-CN"/>
        </w:rPr>
        <w:t>0</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lang w:val="en-US" w:eastAsia="zh-CN"/>
        </w:rPr>
        <w:t>、</w:t>
      </w:r>
      <w:r>
        <w:rPr>
          <w:rFonts w:hint="eastAsia" w:cs="Times New Roman"/>
          <w:color w:val="000000"/>
          <w:kern w:val="0"/>
          <w:sz w:val="24"/>
          <w:highlight w:val="none"/>
          <w:lang w:val="en-US" w:eastAsia="zh-CN"/>
        </w:rPr>
        <w:t>15</w:t>
      </w:r>
      <w:r>
        <w:rPr>
          <w:rFonts w:hint="default" w:ascii="Times New Roman" w:hAnsi="Times New Roman" w:cs="Times New Roman"/>
          <w:color w:val="000000"/>
          <w:kern w:val="0"/>
          <w:sz w:val="24"/>
          <w:highlight w:val="none"/>
          <w:lang w:val="en-US" w:eastAsia="zh-CN"/>
        </w:rPr>
        <w:t>0</w:t>
      </w:r>
      <w:r>
        <w:rPr>
          <w:rFonts w:hint="default" w:ascii="Times New Roman" w:hAnsi="Times New Roman" w:cs="Times New Roman"/>
          <w:color w:val="000000"/>
          <w:kern w:val="0"/>
          <w:sz w:val="24"/>
          <w:highlight w:val="none"/>
        </w:rPr>
        <w:t xml:space="preserve"> 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vertAlign w:val="baseline"/>
          <w:lang w:eastAsia="zh-CN"/>
        </w:rPr>
        <w:t>。</w:t>
      </w:r>
    </w:p>
    <w:p w14:paraId="7F32598C">
      <w:pPr>
        <w:keepNext/>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Times New Roman" w:hAnsi="Times New Roman" w:cs="Times New Roman"/>
          <w:kern w:val="0"/>
          <w:szCs w:val="21"/>
          <w:highlight w:val="none"/>
          <w:lang w:val="en-US" w:eastAsia="zh-CN"/>
        </w:rPr>
      </w:pPr>
      <w:r>
        <w:rPr>
          <w:rFonts w:hint="eastAsia" w:ascii="Times New Roman" w:hAnsi="Times New Roman" w:cs="Times New Roman"/>
          <w:kern w:val="0"/>
          <w:szCs w:val="21"/>
          <w:highlight w:val="none"/>
          <w:lang w:val="en-US" w:eastAsia="zh-CN"/>
        </w:rPr>
        <w:t>表</w:t>
      </w:r>
      <w:r>
        <w:rPr>
          <w:rFonts w:hint="eastAsia" w:cs="Times New Roman"/>
          <w:kern w:val="0"/>
          <w:szCs w:val="21"/>
          <w:highlight w:val="none"/>
          <w:lang w:val="en-US" w:eastAsia="zh-CN"/>
        </w:rPr>
        <w:t>7.5</w:t>
      </w:r>
      <w:r>
        <w:rPr>
          <w:rFonts w:hint="eastAsia" w:ascii="Times New Roman" w:hAnsi="Times New Roman" w:cs="Times New Roman"/>
          <w:kern w:val="0"/>
          <w:szCs w:val="21"/>
          <w:highlight w:val="none"/>
          <w:lang w:val="en-US" w:eastAsia="zh-CN"/>
        </w:rPr>
        <w:t>-1</w:t>
      </w:r>
      <w:r>
        <w:rPr>
          <w:rFonts w:hint="eastAsia" w:cs="Times New Roman"/>
          <w:kern w:val="0"/>
          <w:szCs w:val="21"/>
          <w:highlight w:val="none"/>
          <w:lang w:val="en-US" w:eastAsia="zh-CN"/>
        </w:rPr>
        <w:t>5</w:t>
      </w:r>
      <w:r>
        <w:rPr>
          <w:rFonts w:hint="eastAsia" w:ascii="Times New Roman" w:hAnsi="Times New Roman" w:cs="Times New Roman"/>
          <w:kern w:val="0"/>
          <w:szCs w:val="21"/>
          <w:highlight w:val="none"/>
          <w:lang w:val="en-US" w:eastAsia="zh-CN"/>
        </w:rPr>
        <w:t xml:space="preserve">  VOCs燃烧装置大气污染物排放限值</w:t>
      </w:r>
    </w:p>
    <w:p w14:paraId="1A8182CF">
      <w:pPr>
        <w:keepNext/>
        <w:keepLines w:val="0"/>
        <w:pageBreakBefore w:val="0"/>
        <w:widowControl w:val="0"/>
        <w:kinsoku/>
        <w:wordWrap/>
        <w:overflowPunct/>
        <w:topLinePunct w:val="0"/>
        <w:autoSpaceDE/>
        <w:autoSpaceDN/>
        <w:bidi w:val="0"/>
        <w:snapToGrid/>
        <w:ind w:right="420"/>
        <w:jc w:val="right"/>
        <w:rPr>
          <w:color w:val="auto"/>
          <w:highlight w:val="none"/>
        </w:rPr>
      </w:pPr>
      <w:r>
        <w:rPr>
          <w:rFonts w:hint="eastAsia"/>
          <w:color w:val="auto"/>
          <w:highlight w:val="none"/>
        </w:rPr>
        <w:t>单位：</w:t>
      </w:r>
      <w:r>
        <w:rPr>
          <w:color w:val="auto"/>
          <w:highlight w:val="none"/>
        </w:rPr>
        <w:t>mg/m</w:t>
      </w:r>
      <w:r>
        <w:rPr>
          <w:color w:val="auto"/>
          <w:highlight w:val="none"/>
          <w:vertAlign w:val="superscript"/>
        </w:rPr>
        <w:t>3</w:t>
      </w:r>
    </w:p>
    <w:tbl>
      <w:tblPr>
        <w:tblStyle w:val="22"/>
        <w:tblW w:w="4999"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781"/>
        <w:gridCol w:w="1486"/>
        <w:gridCol w:w="5259"/>
      </w:tblGrid>
      <w:tr w14:paraId="10A3F6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66" w:hRule="atLeast"/>
          <w:tblHeader/>
          <w:jc w:val="center"/>
        </w:trPr>
        <w:tc>
          <w:tcPr>
            <w:tcW w:w="1044" w:type="pct"/>
            <w:vAlign w:val="center"/>
          </w:tcPr>
          <w:p w14:paraId="7B6078C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污染物项目</w:t>
            </w:r>
          </w:p>
        </w:tc>
        <w:tc>
          <w:tcPr>
            <w:tcW w:w="871" w:type="pct"/>
            <w:vAlign w:val="center"/>
          </w:tcPr>
          <w:p w14:paraId="4BE236A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排放限值</w:t>
            </w:r>
          </w:p>
        </w:tc>
        <w:tc>
          <w:tcPr>
            <w:tcW w:w="3083" w:type="pct"/>
            <w:vAlign w:val="center"/>
          </w:tcPr>
          <w:p w14:paraId="578A7DA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eastAsia" w:ascii="Times New Roman" w:hAnsi="Times New Roman" w:cs="Times New Roman"/>
                <w:color w:val="000000"/>
                <w:kern w:val="0"/>
                <w:sz w:val="21"/>
                <w:szCs w:val="21"/>
                <w:highlight w:val="none"/>
                <w:lang w:val="en-US" w:eastAsia="zh-CN"/>
              </w:rPr>
              <w:t>污染物排放监控位置</w:t>
            </w:r>
          </w:p>
        </w:tc>
      </w:tr>
      <w:tr w14:paraId="3D9397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40" w:hRule="atLeast"/>
          <w:jc w:val="center"/>
        </w:trPr>
        <w:tc>
          <w:tcPr>
            <w:tcW w:w="1044" w:type="pct"/>
            <w:vAlign w:val="center"/>
          </w:tcPr>
          <w:p w14:paraId="4E08D64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kern w:val="0"/>
                <w:sz w:val="21"/>
                <w:szCs w:val="21"/>
                <w:highlight w:val="none"/>
                <w:lang w:eastAsia="zh-CN"/>
              </w:rPr>
            </w:pPr>
            <w:r>
              <w:rPr>
                <w:rFonts w:hint="eastAsia" w:ascii="Times New Roman" w:hAnsi="Times New Roman" w:cs="Times New Roman"/>
                <w:color w:val="000000"/>
                <w:kern w:val="0"/>
                <w:sz w:val="21"/>
                <w:szCs w:val="21"/>
                <w:highlight w:val="none"/>
                <w:lang w:val="en-US" w:eastAsia="zh-CN"/>
              </w:rPr>
              <w:t>二氧化硫</w:t>
            </w:r>
          </w:p>
        </w:tc>
        <w:tc>
          <w:tcPr>
            <w:tcW w:w="871" w:type="pct"/>
            <w:vAlign w:val="center"/>
          </w:tcPr>
          <w:p w14:paraId="7EC9DFC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kern w:val="0"/>
                <w:sz w:val="21"/>
                <w:szCs w:val="21"/>
                <w:highlight w:val="none"/>
                <w:lang w:val="en-US" w:eastAsia="zh-CN"/>
              </w:rPr>
            </w:pPr>
            <w:r>
              <w:rPr>
                <w:rFonts w:hint="eastAsia" w:ascii="Times New Roman" w:hAnsi="Times New Roman" w:cs="Times New Roman"/>
                <w:color w:val="000000"/>
                <w:kern w:val="0"/>
                <w:sz w:val="21"/>
                <w:szCs w:val="21"/>
                <w:highlight w:val="none"/>
                <w:lang w:val="en-US" w:eastAsia="zh-CN"/>
              </w:rPr>
              <w:t>50</w:t>
            </w:r>
          </w:p>
        </w:tc>
        <w:tc>
          <w:tcPr>
            <w:tcW w:w="3083" w:type="pct"/>
            <w:vMerge w:val="restart"/>
            <w:vAlign w:val="center"/>
          </w:tcPr>
          <w:p w14:paraId="7BF82E2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rPr>
            </w:pPr>
            <w:r>
              <w:rPr>
                <w:rFonts w:hint="eastAsia" w:ascii="Times New Roman" w:hAnsi="Times New Roman" w:cs="Times New Roman"/>
                <w:color w:val="000000"/>
                <w:kern w:val="0"/>
                <w:sz w:val="21"/>
                <w:szCs w:val="21"/>
                <w:highlight w:val="none"/>
                <w:lang w:val="zh-CN" w:eastAsia="zh-CN"/>
              </w:rPr>
              <w:t>VOCs燃烧（焚烧、氧化）装置</w:t>
            </w:r>
            <w:r>
              <w:rPr>
                <w:rFonts w:hint="eastAsia" w:ascii="Times New Roman" w:hAnsi="Times New Roman" w:cs="Times New Roman"/>
                <w:color w:val="000000"/>
                <w:kern w:val="0"/>
                <w:sz w:val="21"/>
                <w:szCs w:val="21"/>
                <w:highlight w:val="none"/>
                <w:lang w:val="en-US" w:eastAsia="zh-CN"/>
              </w:rPr>
              <w:t>排气筒</w:t>
            </w:r>
          </w:p>
        </w:tc>
      </w:tr>
      <w:tr w14:paraId="19C564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40" w:hRule="atLeast"/>
          <w:jc w:val="center"/>
        </w:trPr>
        <w:tc>
          <w:tcPr>
            <w:tcW w:w="1044" w:type="pct"/>
            <w:vAlign w:val="center"/>
          </w:tcPr>
          <w:p w14:paraId="653851B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kern w:val="0"/>
                <w:sz w:val="21"/>
                <w:szCs w:val="21"/>
                <w:highlight w:val="none"/>
              </w:rPr>
            </w:pPr>
            <w:r>
              <w:rPr>
                <w:rFonts w:hint="eastAsia" w:ascii="Times New Roman" w:hAnsi="Times New Roman" w:cs="Times New Roman"/>
                <w:color w:val="000000"/>
                <w:kern w:val="0"/>
                <w:sz w:val="21"/>
                <w:szCs w:val="21"/>
                <w:highlight w:val="none"/>
                <w:lang w:val="en-US" w:eastAsia="zh-CN"/>
              </w:rPr>
              <w:t>氮氧化物</w:t>
            </w:r>
          </w:p>
        </w:tc>
        <w:tc>
          <w:tcPr>
            <w:tcW w:w="871" w:type="pct"/>
            <w:vAlign w:val="center"/>
          </w:tcPr>
          <w:p w14:paraId="728016B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eastAsia" w:ascii="Times New Roman" w:hAnsi="Times New Roman" w:cs="Times New Roman"/>
                <w:color w:val="000000"/>
                <w:kern w:val="0"/>
                <w:sz w:val="21"/>
                <w:szCs w:val="21"/>
                <w:highlight w:val="none"/>
                <w:lang w:val="en-US" w:eastAsia="zh-CN"/>
              </w:rPr>
              <w:t>150</w:t>
            </w:r>
          </w:p>
        </w:tc>
        <w:tc>
          <w:tcPr>
            <w:tcW w:w="3083" w:type="pct"/>
            <w:vMerge w:val="continue"/>
            <w:vAlign w:val="center"/>
          </w:tcPr>
          <w:p w14:paraId="650FFC1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r>
    </w:tbl>
    <w:p w14:paraId="34CC33D6">
      <w:pPr>
        <w:keepNext/>
        <w:keepLines w:val="0"/>
        <w:pageBreakBefore w:val="0"/>
        <w:widowControl w:val="0"/>
        <w:kinsoku/>
        <w:wordWrap/>
        <w:autoSpaceDE/>
        <w:autoSpaceDN/>
        <w:bidi w:val="0"/>
        <w:rPr>
          <w:rFonts w:hint="default" w:ascii="Times New Roman" w:hAnsi="Times New Roman" w:cs="Times New Roman"/>
          <w:color w:val="000000"/>
          <w:kern w:val="0"/>
          <w:sz w:val="24"/>
          <w:highlight w:val="none"/>
          <w:vertAlign w:val="baseline"/>
          <w:lang w:eastAsia="zh-CN"/>
        </w:rPr>
      </w:pPr>
      <w:r>
        <w:rPr>
          <w:rFonts w:hint="default" w:ascii="Times New Roman" w:hAnsi="Times New Roman" w:cs="Times New Roman"/>
          <w:highlight w:val="none"/>
          <w:lang w:val="en-US" w:eastAsia="zh-CN"/>
        </w:rPr>
        <w:t>利用符合VOCs燃烧（焚烧、氧化）条件和安全要求的锅炉、工业炉窑、固废焚烧炉焚烧处理有机废气的，还应满足相应排放</w:t>
      </w:r>
      <w:r>
        <w:rPr>
          <w:rFonts w:hint="eastAsia" w:cs="Times New Roman"/>
          <w:highlight w:val="none"/>
          <w:lang w:val="en-US" w:eastAsia="zh-CN"/>
        </w:rPr>
        <w:t>标准</w:t>
      </w:r>
      <w:r>
        <w:rPr>
          <w:rFonts w:hint="default" w:ascii="Times New Roman" w:hAnsi="Times New Roman" w:cs="Times New Roman"/>
          <w:highlight w:val="none"/>
          <w:lang w:val="en-US" w:eastAsia="zh-CN"/>
        </w:rPr>
        <w:t>的控制要求。</w:t>
      </w:r>
    </w:p>
    <w:p w14:paraId="65CC5FAB">
      <w:pPr>
        <w:keepNext/>
        <w:keepLines w:val="0"/>
        <w:pageBreakBefore w:val="0"/>
        <w:widowControl w:val="0"/>
        <w:numPr>
          <w:ilvl w:val="0"/>
          <w:numId w:val="0"/>
        </w:numPr>
        <w:kinsoku/>
        <w:wordWrap/>
        <w:autoSpaceDE/>
        <w:autoSpaceDN/>
        <w:bidi w:val="0"/>
        <w:ind w:firstLine="480" w:firstLineChars="200"/>
        <w:rPr>
          <w:rFonts w:hint="default" w:cs="Times New Roman"/>
          <w:color w:val="000000"/>
          <w:kern w:val="0"/>
          <w:sz w:val="24"/>
          <w:highlight w:val="none"/>
          <w:vertAlign w:val="baseline"/>
          <w:lang w:eastAsia="zh-CN"/>
        </w:rPr>
      </w:pPr>
      <w:r>
        <w:rPr>
          <w:rFonts w:hint="default" w:cs="Times New Roman"/>
          <w:color w:val="000000"/>
          <w:kern w:val="0"/>
          <w:sz w:val="24"/>
          <w:highlight w:val="none"/>
          <w:vertAlign w:val="baseline"/>
          <w:lang w:eastAsia="zh-CN"/>
        </w:rPr>
        <w:t>进入VOCs燃烧（焚烧、氧化）装置的废气，向燃烧（焚烧、氧化）装置内或在其后端补充空气的，排气筒中实测大气污染物排放浓度，应按公式（2）换算成基准含氧量为 3%的大气污染物基准排放浓度；不向燃烧（焚烧、氧化）装置内及其后端补充空气的（燃烧器的助燃空气不属于补充空气的情形），以实测浓度作为达标判定依据，但装置出口烟气含氧量不得高于装置进口废气含氧量。利用锅炉、工业炉窑、固废焚烧炉焚烧处理有机废气的，烟气基准含氧量按其排放</w:t>
      </w:r>
      <w:r>
        <w:rPr>
          <w:rFonts w:hint="eastAsia" w:cs="Times New Roman"/>
          <w:color w:val="000000"/>
          <w:kern w:val="0"/>
          <w:sz w:val="24"/>
          <w:highlight w:val="none"/>
          <w:vertAlign w:val="baseline"/>
          <w:lang w:val="en-US" w:eastAsia="zh-CN"/>
        </w:rPr>
        <w:t>标准</w:t>
      </w:r>
      <w:r>
        <w:rPr>
          <w:rFonts w:hint="default" w:cs="Times New Roman"/>
          <w:color w:val="000000"/>
          <w:kern w:val="0"/>
          <w:sz w:val="24"/>
          <w:highlight w:val="none"/>
          <w:vertAlign w:val="baseline"/>
          <w:lang w:eastAsia="zh-CN"/>
        </w:rPr>
        <w:t>定执行。</w:t>
      </w:r>
    </w:p>
    <w:p w14:paraId="2206E203">
      <w:pPr>
        <w:pStyle w:val="52"/>
        <w:keepNext/>
        <w:keepLines w:val="0"/>
        <w:pageBreakBefore w:val="0"/>
        <w:widowControl w:val="0"/>
        <w:tabs>
          <w:tab w:val="right" w:pos="9355"/>
          <w:tab w:val="clear" w:pos="8505"/>
          <w:tab w:val="clear" w:pos="9072"/>
        </w:tabs>
        <w:kinsoku/>
        <w:wordWrap/>
        <w:overflowPunct/>
        <w:topLinePunct w:val="0"/>
        <w:autoSpaceDE/>
        <w:autoSpaceDN/>
        <w:bidi w:val="0"/>
        <w:snapToGrid/>
        <w:ind w:firstLine="0" w:firstLineChars="0"/>
        <w:jc w:val="right"/>
        <w:rPr>
          <w:rFonts w:ascii="Times New Roman" w:hAnsi="Times New Roman" w:cs="Times New Roman"/>
          <w:snapToGrid/>
          <w:color w:val="auto"/>
          <w:highlight w:val="none"/>
          <w:lang w:val="zh-CN" w:eastAsia="zh-CN"/>
        </w:rPr>
      </w:pPr>
      <m:oMath>
        <m:sSub>
          <m:sSubPr>
            <m:ctrlPr>
              <w:rPr>
                <w:rFonts w:ascii="Cambria Math" w:hAnsi="Cambria Math" w:cs="Times New Roman" w:eastAsiaTheme="minorEastAsia"/>
                <w:snapToGrid/>
                <w:color w:val="auto"/>
                <w:sz w:val="21"/>
                <w:szCs w:val="21"/>
                <w:highlight w:val="none"/>
                <w:lang w:val="zh-CN" w:eastAsia="zh-CN"/>
              </w:rPr>
            </m:ctrlPr>
          </m:sSubPr>
          <m:e>
            <m:r>
              <m:rPr>
                <m:nor/>
                <m:sty m:val="p"/>
              </m:rPr>
              <w:rPr>
                <w:rFonts w:ascii="Cambria Math" w:hAnsi="Cambria Math" w:cs="Times New Roman" w:eastAsiaTheme="minorEastAsia"/>
                <w:b w:val="0"/>
                <w:i w:val="0"/>
                <w:iCs/>
                <w:snapToGrid/>
                <w:color w:val="auto"/>
                <w:sz w:val="21"/>
                <w:szCs w:val="21"/>
                <w:highlight w:val="none"/>
                <w:lang w:val="zh-CN" w:eastAsia="zh-CN"/>
              </w:rPr>
              <m:t>ρ</m:t>
            </m:r>
            <m:ctrlPr>
              <w:rPr>
                <w:rFonts w:ascii="Cambria Math" w:hAnsi="Cambria Math" w:cs="Times New Roman" w:eastAsiaTheme="minorEastAsia"/>
                <w:snapToGrid/>
                <w:color w:val="auto"/>
                <w:sz w:val="21"/>
                <w:szCs w:val="21"/>
                <w:highlight w:val="none"/>
                <w:lang w:val="zh-CN" w:eastAsia="zh-CN"/>
              </w:rPr>
            </m:ctrlPr>
          </m:e>
          <m:sub>
            <m:r>
              <m:rPr>
                <m:nor/>
                <m:sty m:val="p"/>
              </m:rPr>
              <w:rPr>
                <w:rFonts w:hint="eastAsia" w:ascii="Cambria Math" w:hAnsi="Cambria Math" w:cs="Times New Roman" w:eastAsiaTheme="minorEastAsia"/>
                <w:b w:val="0"/>
                <w:i w:val="0"/>
                <w:snapToGrid/>
                <w:color w:val="auto"/>
                <w:sz w:val="21"/>
                <w:szCs w:val="21"/>
                <w:highlight w:val="none"/>
                <w:lang w:val="zh-CN" w:eastAsia="zh-CN"/>
              </w:rPr>
              <m:t>基</m:t>
            </m:r>
            <m:ctrlPr>
              <w:rPr>
                <w:rFonts w:ascii="Cambria Math" w:hAnsi="Cambria Math" w:cs="Times New Roman" w:eastAsiaTheme="minorEastAsia"/>
                <w:snapToGrid/>
                <w:color w:val="auto"/>
                <w:sz w:val="21"/>
                <w:szCs w:val="21"/>
                <w:highlight w:val="none"/>
                <w:lang w:val="zh-CN" w:eastAsia="zh-CN"/>
              </w:rPr>
            </m:ctrlPr>
          </m:sub>
        </m:sSub>
        <m:r>
          <m:rPr>
            <m:nor/>
            <m:sty m:val="p"/>
          </m:rPr>
          <w:rPr>
            <w:rFonts w:ascii="Cambria Math" w:hAnsi="Cambria Math" w:cs="Times New Roman" w:eastAsiaTheme="minorEastAsia"/>
            <w:b w:val="0"/>
            <w:i w:val="0"/>
            <w:snapToGrid/>
            <w:color w:val="auto"/>
            <w:sz w:val="21"/>
            <w:szCs w:val="21"/>
            <w:highlight w:val="none"/>
            <w:lang w:val="zh-CN" w:eastAsia="zh-CN"/>
          </w:rPr>
          <m:t>=</m:t>
        </m:r>
        <m:f>
          <m:fPr>
            <m:ctrlPr>
              <w:rPr>
                <w:rFonts w:ascii="Cambria Math" w:hAnsi="Cambria Math" w:cs="Times New Roman" w:eastAsiaTheme="minorEastAsia"/>
                <w:snapToGrid/>
                <w:color w:val="auto"/>
                <w:sz w:val="21"/>
                <w:szCs w:val="21"/>
                <w:highlight w:val="none"/>
                <w:lang w:val="zh-CN" w:eastAsia="zh-CN"/>
              </w:rPr>
            </m:ctrlPr>
          </m:fPr>
          <m:num>
            <m:r>
              <m:rPr>
                <m:nor/>
                <m:sty m:val="p"/>
              </m:rPr>
              <w:rPr>
                <w:rFonts w:ascii="Cambria Math" w:hAnsi="Cambria Math" w:cs="Times New Roman" w:eastAsiaTheme="minorEastAsia"/>
                <w:b w:val="0"/>
                <w:i w:val="0"/>
                <w:snapToGrid/>
                <w:color w:val="auto"/>
                <w:sz w:val="21"/>
                <w:szCs w:val="21"/>
                <w:highlight w:val="none"/>
                <w:lang w:val="zh-CN" w:eastAsia="zh-CN"/>
              </w:rPr>
              <m:t>21-</m:t>
            </m:r>
            <m:sSub>
              <m:sSubPr>
                <m:ctrlPr>
                  <w:rPr>
                    <w:rFonts w:ascii="Cambria Math" w:hAnsi="Cambria Math" w:cs="Times New Roman" w:eastAsiaTheme="minorEastAsia"/>
                    <w:i/>
                    <w:iCs/>
                    <w:snapToGrid/>
                    <w:color w:val="auto"/>
                    <w:sz w:val="21"/>
                    <w:szCs w:val="21"/>
                    <w:highlight w:val="none"/>
                    <w:lang w:val="zh-CN" w:eastAsia="zh-CN"/>
                  </w:rPr>
                </m:ctrlPr>
              </m:sSubPr>
              <m:e>
                <m:r>
                  <m:rPr>
                    <m:nor/>
                  </m:rPr>
                  <w:rPr>
                    <w:rFonts w:ascii="Cambria Math" w:hAnsi="Cambria Math" w:cs="Times New Roman" w:eastAsiaTheme="minorEastAsia"/>
                    <w:i/>
                    <w:iCs/>
                    <w:snapToGrid/>
                    <w:color w:val="auto"/>
                    <w:sz w:val="21"/>
                    <w:szCs w:val="21"/>
                    <w:highlight w:val="none"/>
                    <w:lang w:val="zh-CN" w:eastAsia="zh-CN"/>
                  </w:rPr>
                  <m:t>O</m:t>
                </m:r>
                <m:ctrlPr>
                  <w:rPr>
                    <w:rFonts w:ascii="Cambria Math" w:hAnsi="Cambria Math" w:cs="Times New Roman" w:eastAsiaTheme="minorEastAsia"/>
                    <w:i/>
                    <w:iCs/>
                    <w:snapToGrid/>
                    <w:color w:val="auto"/>
                    <w:sz w:val="21"/>
                    <w:szCs w:val="21"/>
                    <w:highlight w:val="none"/>
                    <w:lang w:val="zh-CN" w:eastAsia="zh-CN"/>
                  </w:rPr>
                </m:ctrlPr>
              </m:e>
              <m:sub>
                <m:r>
                  <m:rPr>
                    <m:nor/>
                  </m:rPr>
                  <w:rPr>
                    <w:rFonts w:hint="eastAsia" w:ascii="Cambria Math" w:hAnsi="Cambria Math" w:cs="Times New Roman" w:eastAsiaTheme="minorEastAsia"/>
                    <w:i/>
                    <w:iCs/>
                    <w:snapToGrid/>
                    <w:color w:val="auto"/>
                    <w:sz w:val="21"/>
                    <w:szCs w:val="21"/>
                    <w:highlight w:val="none"/>
                    <w:lang w:val="zh-CN" w:eastAsia="zh-CN"/>
                  </w:rPr>
                  <m:t>基</m:t>
                </m:r>
                <m:ctrlPr>
                  <w:rPr>
                    <w:rFonts w:ascii="Cambria Math" w:hAnsi="Cambria Math" w:cs="Times New Roman" w:eastAsiaTheme="minorEastAsia"/>
                    <w:i/>
                    <w:iCs/>
                    <w:snapToGrid/>
                    <w:color w:val="auto"/>
                    <w:sz w:val="21"/>
                    <w:szCs w:val="21"/>
                    <w:highlight w:val="none"/>
                    <w:lang w:val="zh-CN" w:eastAsia="zh-CN"/>
                  </w:rPr>
                </m:ctrlPr>
              </m:sub>
            </m:sSub>
            <m:ctrlPr>
              <w:rPr>
                <w:rFonts w:ascii="Cambria Math" w:hAnsi="Cambria Math" w:cs="Times New Roman" w:eastAsiaTheme="minorEastAsia"/>
                <w:snapToGrid/>
                <w:color w:val="auto"/>
                <w:sz w:val="21"/>
                <w:szCs w:val="21"/>
                <w:highlight w:val="none"/>
                <w:lang w:val="zh-CN" w:eastAsia="zh-CN"/>
              </w:rPr>
            </m:ctrlPr>
          </m:num>
          <m:den>
            <m:r>
              <m:rPr>
                <m:nor/>
                <m:sty m:val="p"/>
              </m:rPr>
              <w:rPr>
                <w:rFonts w:ascii="Cambria Math" w:hAnsi="Cambria Math" w:cs="Times New Roman" w:eastAsiaTheme="minorEastAsia"/>
                <w:b w:val="0"/>
                <w:i w:val="0"/>
                <w:snapToGrid/>
                <w:color w:val="auto"/>
                <w:sz w:val="21"/>
                <w:szCs w:val="21"/>
                <w:highlight w:val="none"/>
                <w:lang w:val="zh-CN" w:eastAsia="zh-CN"/>
              </w:rPr>
              <m:t>21-</m:t>
            </m:r>
            <m:sSub>
              <m:sSubPr>
                <m:ctrlPr>
                  <w:rPr>
                    <w:rFonts w:ascii="Cambria Math" w:hAnsi="Cambria Math" w:cs="Times New Roman" w:eastAsiaTheme="minorEastAsia"/>
                    <w:i/>
                    <w:iCs/>
                    <w:snapToGrid/>
                    <w:color w:val="auto"/>
                    <w:sz w:val="21"/>
                    <w:szCs w:val="21"/>
                    <w:highlight w:val="none"/>
                    <w:lang w:val="zh-CN" w:eastAsia="zh-CN"/>
                  </w:rPr>
                </m:ctrlPr>
              </m:sSubPr>
              <m:e>
                <m:r>
                  <m:rPr>
                    <m:nor/>
                  </m:rPr>
                  <w:rPr>
                    <w:rFonts w:ascii="Cambria Math" w:hAnsi="Cambria Math" w:cs="Times New Roman" w:eastAsiaTheme="minorEastAsia"/>
                    <w:i/>
                    <w:iCs/>
                    <w:snapToGrid/>
                    <w:color w:val="auto"/>
                    <w:sz w:val="21"/>
                    <w:szCs w:val="21"/>
                    <w:highlight w:val="none"/>
                    <w:lang w:val="zh-CN" w:eastAsia="zh-CN"/>
                  </w:rPr>
                  <m:t>O</m:t>
                </m:r>
                <m:ctrlPr>
                  <w:rPr>
                    <w:rFonts w:ascii="Cambria Math" w:hAnsi="Cambria Math" w:cs="Times New Roman" w:eastAsiaTheme="minorEastAsia"/>
                    <w:i/>
                    <w:iCs/>
                    <w:snapToGrid/>
                    <w:color w:val="auto"/>
                    <w:sz w:val="21"/>
                    <w:szCs w:val="21"/>
                    <w:highlight w:val="none"/>
                    <w:lang w:val="zh-CN" w:eastAsia="zh-CN"/>
                  </w:rPr>
                </m:ctrlPr>
              </m:e>
              <m:sub>
                <m:r>
                  <m:rPr>
                    <m:nor/>
                  </m:rPr>
                  <w:rPr>
                    <w:rFonts w:hint="eastAsia" w:ascii="Cambria Math" w:hAnsi="Cambria Math" w:cs="Times New Roman" w:eastAsiaTheme="minorEastAsia"/>
                    <w:i/>
                    <w:iCs/>
                    <w:snapToGrid/>
                    <w:color w:val="auto"/>
                    <w:sz w:val="21"/>
                    <w:szCs w:val="21"/>
                    <w:highlight w:val="none"/>
                    <w:lang w:val="zh-CN" w:eastAsia="zh-CN"/>
                  </w:rPr>
                  <m:t>实</m:t>
                </m:r>
                <m:ctrlPr>
                  <w:rPr>
                    <w:rFonts w:ascii="Cambria Math" w:hAnsi="Cambria Math" w:cs="Times New Roman" w:eastAsiaTheme="minorEastAsia"/>
                    <w:i/>
                    <w:iCs/>
                    <w:snapToGrid/>
                    <w:color w:val="auto"/>
                    <w:sz w:val="21"/>
                    <w:szCs w:val="21"/>
                    <w:highlight w:val="none"/>
                    <w:lang w:val="zh-CN" w:eastAsia="zh-CN"/>
                  </w:rPr>
                </m:ctrlPr>
              </m:sub>
            </m:sSub>
            <m:ctrlPr>
              <w:rPr>
                <w:rFonts w:ascii="Cambria Math" w:hAnsi="Cambria Math" w:cs="Times New Roman" w:eastAsiaTheme="minorEastAsia"/>
                <w:snapToGrid/>
                <w:color w:val="auto"/>
                <w:sz w:val="21"/>
                <w:szCs w:val="21"/>
                <w:highlight w:val="none"/>
                <w:lang w:val="zh-CN" w:eastAsia="zh-CN"/>
              </w:rPr>
            </m:ctrlPr>
          </m:den>
        </m:f>
        <m:r>
          <m:rPr>
            <m:nor/>
            <m:sty m:val="p"/>
          </m:rPr>
          <w:rPr>
            <w:rFonts w:ascii="Cambria Math" w:hAnsi="Cambria Math" w:cs="Times New Roman" w:eastAsiaTheme="minorEastAsia"/>
            <w:b w:val="0"/>
            <w:i w:val="0"/>
            <w:snapToGrid/>
            <w:color w:val="auto"/>
            <w:sz w:val="21"/>
            <w:szCs w:val="21"/>
            <w:highlight w:val="none"/>
            <w:lang w:val="zh-CN" w:eastAsia="zh-CN"/>
          </w:rPr>
          <m:t>×</m:t>
        </m:r>
        <m:sSub>
          <m:sSubPr>
            <m:ctrlPr>
              <w:rPr>
                <w:rFonts w:ascii="Cambria Math" w:hAnsi="Cambria Math" w:cs="Times New Roman" w:eastAsiaTheme="minorEastAsia"/>
                <w:snapToGrid/>
                <w:color w:val="auto"/>
                <w:sz w:val="21"/>
                <w:szCs w:val="21"/>
                <w:highlight w:val="none"/>
                <w:lang w:val="zh-CN" w:eastAsia="zh-CN"/>
              </w:rPr>
            </m:ctrlPr>
          </m:sSubPr>
          <m:e>
            <m:r>
              <m:rPr>
                <m:nor/>
                <m:sty m:val="p"/>
              </m:rPr>
              <w:rPr>
                <w:rFonts w:ascii="Cambria Math" w:hAnsi="Cambria Math" w:cs="Times New Roman" w:eastAsiaTheme="minorEastAsia"/>
                <w:b w:val="0"/>
                <w:i w:val="0"/>
                <w:iCs/>
                <w:snapToGrid/>
                <w:color w:val="auto"/>
                <w:sz w:val="21"/>
                <w:szCs w:val="21"/>
                <w:highlight w:val="none"/>
                <w:lang w:val="zh-CN" w:eastAsia="zh-CN"/>
              </w:rPr>
              <m:t>ρ</m:t>
            </m:r>
            <m:ctrlPr>
              <w:rPr>
                <w:rFonts w:ascii="Cambria Math" w:hAnsi="Cambria Math" w:cs="Times New Roman" w:eastAsiaTheme="minorEastAsia"/>
                <w:snapToGrid/>
                <w:color w:val="auto"/>
                <w:sz w:val="21"/>
                <w:szCs w:val="21"/>
                <w:highlight w:val="none"/>
                <w:lang w:val="zh-CN" w:eastAsia="zh-CN"/>
              </w:rPr>
            </m:ctrlPr>
          </m:e>
          <m:sub>
            <m:r>
              <m:rPr>
                <m:nor/>
                <m:sty m:val="p"/>
              </m:rPr>
              <w:rPr>
                <w:rFonts w:hint="eastAsia" w:ascii="Cambria Math" w:hAnsi="Cambria Math" w:cs="Times New Roman" w:eastAsiaTheme="minorEastAsia"/>
                <w:b w:val="0"/>
                <w:i w:val="0"/>
                <w:snapToGrid/>
                <w:color w:val="auto"/>
                <w:sz w:val="21"/>
                <w:szCs w:val="21"/>
                <w:highlight w:val="none"/>
                <w:lang w:val="zh-CN" w:eastAsia="zh-CN"/>
              </w:rPr>
              <m:t>实</m:t>
            </m:r>
            <m:ctrlPr>
              <w:rPr>
                <w:rFonts w:ascii="Cambria Math" w:hAnsi="Cambria Math" w:cs="Times New Roman" w:eastAsiaTheme="minorEastAsia"/>
                <w:snapToGrid/>
                <w:color w:val="auto"/>
                <w:sz w:val="21"/>
                <w:szCs w:val="21"/>
                <w:highlight w:val="none"/>
                <w:lang w:val="zh-CN" w:eastAsia="zh-CN"/>
              </w:rPr>
            </m:ctrlPr>
          </m:sub>
        </m:sSub>
      </m:oMath>
      <w:r>
        <w:rPr>
          <w:rFonts w:ascii="Times New Roman" w:hAnsi="Times New Roman" w:eastAsia="宋体" w:cs="Times New Roman"/>
          <w:snapToGrid/>
          <w:color w:val="auto"/>
          <w:highlight w:val="none"/>
          <w:lang w:val="zh-CN" w:eastAsia="zh-CN"/>
        </w:rPr>
        <w:tab/>
      </w:r>
      <w:r>
        <w:rPr>
          <w:rFonts w:hint="eastAsia" w:ascii="Times New Roman" w:hAnsi="Times New Roman" w:eastAsia="宋体" w:cs="Times New Roman"/>
          <w:snapToGrid/>
          <w:color w:val="auto"/>
          <w:highlight w:val="none"/>
          <w:lang w:val="en-US" w:eastAsia="zh-CN"/>
        </w:rPr>
        <w:t xml:space="preserve">   </w:t>
      </w:r>
      <w:r>
        <w:rPr>
          <w:rFonts w:hint="eastAsia" w:ascii="Times New Roman" w:hAnsi="Times New Roman" w:cs="Times New Roman"/>
          <w:snapToGrid/>
          <w:color w:val="auto"/>
          <w:highlight w:val="none"/>
          <w:lang w:val="zh-CN" w:eastAsia="zh-CN"/>
        </w:rPr>
        <w:t>（2）</w:t>
      </w:r>
    </w:p>
    <w:p w14:paraId="7C56C5CF">
      <w:pPr>
        <w:keepNext/>
        <w:keepLines w:val="0"/>
        <w:pageBreakBefore w:val="0"/>
        <w:widowControl w:val="0"/>
        <w:kinsoku/>
        <w:wordWrap/>
        <w:autoSpaceDE/>
        <w:autoSpaceDN/>
        <w:bidi w:val="0"/>
        <w:rPr>
          <w:rFonts w:hint="default" w:cs="Times New Roman"/>
          <w:color w:val="000000"/>
          <w:kern w:val="0"/>
          <w:sz w:val="24"/>
          <w:highlight w:val="none"/>
          <w:vertAlign w:val="baseline"/>
          <w:lang w:eastAsia="zh-CN"/>
        </w:rPr>
      </w:pPr>
      <w:r>
        <w:rPr>
          <w:rFonts w:hint="default" w:cs="Times New Roman"/>
          <w:color w:val="000000"/>
          <w:kern w:val="0"/>
          <w:sz w:val="24"/>
          <w:highlight w:val="none"/>
          <w:vertAlign w:val="baseline"/>
          <w:lang w:eastAsia="zh-CN"/>
        </w:rPr>
        <w:t>式中：</w:t>
      </w:r>
      <m:oMath>
        <m:sSub>
          <m:sSubPr>
            <m:ctrlPr>
              <w:rPr>
                <w:rFonts w:ascii="Cambria Math" w:hAnsi="Cambria Math" w:cs="Times New Roman"/>
                <w:i/>
                <w:snapToGrid/>
                <w:color w:val="auto"/>
                <w:highlight w:val="none"/>
                <w:lang w:val="zh-CN" w:eastAsia="zh-CN"/>
              </w:rPr>
            </m:ctrlPr>
          </m:sSubPr>
          <m:e>
            <m:r>
              <m:rPr/>
              <w:rPr>
                <w:rFonts w:ascii="Cambria Math" w:hAnsi="Cambria Math" w:cs="Times New Roman"/>
                <w:snapToGrid/>
                <w:color w:val="auto"/>
                <w:highlight w:val="none"/>
                <w:lang w:val="zh-CN" w:eastAsia="zh-CN"/>
              </w:rPr>
              <m:t>ρ</m:t>
            </m:r>
            <m:ctrlPr>
              <w:rPr>
                <w:rFonts w:ascii="Cambria Math" w:hAnsi="Cambria Math" w:cs="Times New Roman"/>
                <w:i/>
                <w:snapToGrid/>
                <w:color w:val="auto"/>
                <w:highlight w:val="none"/>
                <w:lang w:val="zh-CN" w:eastAsia="zh-CN"/>
              </w:rPr>
            </m:ctrlPr>
          </m:e>
          <m:sub>
            <m:r>
              <m:rPr/>
              <w:rPr>
                <w:rFonts w:hint="eastAsia" w:ascii="Cambria Math" w:hAnsi="Cambria Math" w:cs="Times New Roman"/>
                <w:snapToGrid/>
                <w:color w:val="auto"/>
                <w:highlight w:val="none"/>
                <w:lang w:val="zh-CN" w:eastAsia="zh-CN"/>
              </w:rPr>
              <m:t>基</m:t>
            </m:r>
            <m:ctrlPr>
              <w:rPr>
                <w:rFonts w:ascii="Cambria Math" w:hAnsi="Cambria Math" w:cs="Times New Roman"/>
                <w:i/>
                <w:snapToGrid/>
                <w:color w:val="auto"/>
                <w:highlight w:val="none"/>
                <w:lang w:val="zh-CN" w:eastAsia="zh-CN"/>
              </w:rPr>
            </m:ctrlPr>
          </m:sub>
        </m:sSub>
      </m:oMath>
      <w:r>
        <w:rPr>
          <w:rFonts w:hint="default" w:cs="Times New Roman"/>
          <w:color w:val="000000"/>
          <w:kern w:val="0"/>
          <w:sz w:val="24"/>
          <w:highlight w:val="none"/>
          <w:vertAlign w:val="baseline"/>
          <w:lang w:eastAsia="zh-CN"/>
        </w:rPr>
        <w:t>——</w:t>
      </w:r>
      <w:r>
        <w:rPr>
          <w:rFonts w:hint="eastAsia" w:cs="Times New Roman"/>
          <w:color w:val="000000"/>
          <w:kern w:val="0"/>
          <w:sz w:val="24"/>
          <w:highlight w:val="none"/>
          <w:vertAlign w:val="baseline"/>
          <w:lang w:val="en-US" w:eastAsia="zh-CN"/>
        </w:rPr>
        <w:t>VOCs</w:t>
      </w:r>
      <w:r>
        <w:rPr>
          <w:rFonts w:hint="default" w:cs="Times New Roman"/>
          <w:color w:val="000000"/>
          <w:kern w:val="0"/>
          <w:sz w:val="24"/>
          <w:highlight w:val="none"/>
          <w:vertAlign w:val="baseline"/>
          <w:lang w:eastAsia="zh-CN"/>
        </w:rPr>
        <w:t>基准排放质量浓度，mg/m</w:t>
      </w:r>
      <w:r>
        <w:rPr>
          <w:rFonts w:hint="default" w:cs="Times New Roman"/>
          <w:color w:val="000000"/>
          <w:kern w:val="0"/>
          <w:sz w:val="24"/>
          <w:highlight w:val="none"/>
          <w:vertAlign w:val="superscript"/>
          <w:lang w:eastAsia="zh-CN"/>
        </w:rPr>
        <w:t>3</w:t>
      </w:r>
      <w:r>
        <w:rPr>
          <w:rFonts w:hint="default" w:cs="Times New Roman"/>
          <w:color w:val="000000"/>
          <w:kern w:val="0"/>
          <w:sz w:val="24"/>
          <w:highlight w:val="none"/>
          <w:vertAlign w:val="baseline"/>
          <w:lang w:eastAsia="zh-CN"/>
        </w:rPr>
        <w:t>；</w:t>
      </w:r>
    </w:p>
    <w:p w14:paraId="517FC6EA">
      <w:pPr>
        <w:keepNext/>
        <w:keepLines w:val="0"/>
        <w:pageBreakBefore w:val="0"/>
        <w:widowControl w:val="0"/>
        <w:kinsoku/>
        <w:wordWrap/>
        <w:autoSpaceDE/>
        <w:autoSpaceDN/>
        <w:bidi w:val="0"/>
        <w:rPr>
          <w:rFonts w:hint="default" w:cs="Times New Roman"/>
          <w:color w:val="000000"/>
          <w:kern w:val="0"/>
          <w:sz w:val="24"/>
          <w:highlight w:val="none"/>
          <w:vertAlign w:val="baseline"/>
          <w:lang w:eastAsia="zh-CN"/>
        </w:rPr>
      </w:pPr>
      <m:oMath>
        <m:sSub>
          <m:sSubPr>
            <m:ctrlPr>
              <w:rPr>
                <w:rFonts w:ascii="Cambria Math" w:hAnsi="Cambria Math" w:eastAsia="宋体" w:cs="Times New Roman"/>
                <w:color w:val="auto"/>
                <w:sz w:val="21"/>
                <w:szCs w:val="21"/>
                <w:highlight w:val="none"/>
                <w:lang w:eastAsia="zh-CN"/>
              </w:rPr>
            </m:ctrlPr>
          </m:sSubPr>
          <m:e>
            <m:r>
              <m:rPr/>
              <w:rPr>
                <w:rFonts w:ascii="Cambria Math" w:hAnsi="Cambria Math" w:eastAsia="宋体" w:cs="Times New Roman"/>
                <w:color w:val="auto"/>
                <w:sz w:val="21"/>
                <w:szCs w:val="21"/>
                <w:highlight w:val="none"/>
                <w:lang w:eastAsia="zh-CN"/>
              </w:rPr>
              <m:t>ρ</m:t>
            </m:r>
            <m:ctrlPr>
              <w:rPr>
                <w:rFonts w:ascii="Cambria Math" w:hAnsi="Cambria Math" w:eastAsia="宋体" w:cs="Times New Roman"/>
                <w:color w:val="auto"/>
                <w:sz w:val="21"/>
                <w:szCs w:val="21"/>
                <w:highlight w:val="none"/>
                <w:lang w:eastAsia="zh-CN"/>
              </w:rPr>
            </m:ctrlPr>
          </m:e>
          <m:sub>
            <m:r>
              <m:rPr>
                <m:sty m:val="p"/>
              </m:rPr>
              <w:rPr>
                <w:rFonts w:hint="eastAsia" w:ascii="Cambria Math" w:hAnsi="Cambria Math" w:eastAsia="宋体" w:cs="Times New Roman"/>
                <w:color w:val="auto"/>
                <w:sz w:val="21"/>
                <w:szCs w:val="21"/>
                <w:highlight w:val="none"/>
                <w:lang w:eastAsia="zh-CN"/>
              </w:rPr>
              <m:t>实</m:t>
            </m:r>
            <m:ctrlPr>
              <w:rPr>
                <w:rFonts w:ascii="Cambria Math" w:hAnsi="Cambria Math" w:eastAsia="宋体" w:cs="Times New Roman"/>
                <w:color w:val="auto"/>
                <w:sz w:val="21"/>
                <w:szCs w:val="21"/>
                <w:highlight w:val="none"/>
                <w:lang w:eastAsia="zh-CN"/>
              </w:rPr>
            </m:ctrlPr>
          </m:sub>
        </m:sSub>
      </m:oMath>
      <w:r>
        <w:rPr>
          <w:rFonts w:hint="default" w:cs="Times New Roman"/>
          <w:color w:val="000000"/>
          <w:kern w:val="0"/>
          <w:sz w:val="24"/>
          <w:highlight w:val="none"/>
          <w:vertAlign w:val="baseline"/>
          <w:lang w:eastAsia="zh-CN"/>
        </w:rPr>
        <w:t>——实测</w:t>
      </w:r>
      <w:r>
        <w:rPr>
          <w:rFonts w:hint="eastAsia" w:cs="Times New Roman"/>
          <w:color w:val="000000"/>
          <w:kern w:val="0"/>
          <w:sz w:val="24"/>
          <w:highlight w:val="none"/>
          <w:vertAlign w:val="baseline"/>
          <w:lang w:val="en-US" w:eastAsia="zh-CN"/>
        </w:rPr>
        <w:t>VOCs</w:t>
      </w:r>
      <w:r>
        <w:rPr>
          <w:rFonts w:hint="default" w:cs="Times New Roman"/>
          <w:color w:val="000000"/>
          <w:kern w:val="0"/>
          <w:sz w:val="24"/>
          <w:highlight w:val="none"/>
          <w:vertAlign w:val="baseline"/>
          <w:lang w:eastAsia="zh-CN"/>
        </w:rPr>
        <w:t>排放质量浓度，mg/m</w:t>
      </w:r>
      <w:r>
        <w:rPr>
          <w:rFonts w:hint="default" w:cs="Times New Roman"/>
          <w:color w:val="000000"/>
          <w:kern w:val="0"/>
          <w:sz w:val="24"/>
          <w:highlight w:val="none"/>
          <w:vertAlign w:val="superscript"/>
          <w:lang w:eastAsia="zh-CN"/>
        </w:rPr>
        <w:t>3</w:t>
      </w:r>
      <w:r>
        <w:rPr>
          <w:rFonts w:hint="default" w:cs="Times New Roman"/>
          <w:color w:val="000000"/>
          <w:kern w:val="0"/>
          <w:sz w:val="24"/>
          <w:highlight w:val="none"/>
          <w:vertAlign w:val="baseline"/>
          <w:lang w:eastAsia="zh-CN"/>
        </w:rPr>
        <w:t>；</w:t>
      </w:r>
    </w:p>
    <w:p w14:paraId="7459331F">
      <w:pPr>
        <w:keepNext/>
        <w:keepLines w:val="0"/>
        <w:pageBreakBefore w:val="0"/>
        <w:widowControl w:val="0"/>
        <w:kinsoku/>
        <w:wordWrap/>
        <w:autoSpaceDE/>
        <w:autoSpaceDN/>
        <w:bidi w:val="0"/>
        <w:rPr>
          <w:rFonts w:hint="default" w:cs="Times New Roman"/>
          <w:color w:val="000000"/>
          <w:kern w:val="0"/>
          <w:sz w:val="24"/>
          <w:highlight w:val="none"/>
          <w:vertAlign w:val="baseline"/>
          <w:lang w:eastAsia="zh-CN"/>
        </w:rPr>
      </w:pPr>
      <m:oMath>
        <m:sSub>
          <m:sSubPr>
            <m:ctrlPr>
              <w:rPr>
                <w:rFonts w:ascii="Cambria Math" w:hAnsi="Cambria Math" w:eastAsia="宋体" w:cs="Times New Roman"/>
                <w:color w:val="auto"/>
                <w:sz w:val="21"/>
                <w:szCs w:val="21"/>
                <w:highlight w:val="none"/>
                <w:lang w:eastAsia="zh-CN"/>
              </w:rPr>
            </m:ctrlPr>
          </m:sSubPr>
          <m:e>
            <m:r>
              <m:rPr/>
              <w:rPr>
                <w:rFonts w:ascii="Cambria Math" w:hAnsi="Cambria Math" w:eastAsia="宋体" w:cs="Times New Roman"/>
                <w:color w:val="auto"/>
                <w:sz w:val="21"/>
                <w:szCs w:val="21"/>
                <w:highlight w:val="none"/>
                <w:lang w:eastAsia="zh-CN"/>
              </w:rPr>
              <m:t>O</m:t>
            </m:r>
            <m:ctrlPr>
              <w:rPr>
                <w:rFonts w:ascii="Cambria Math" w:hAnsi="Cambria Math" w:eastAsia="宋体" w:cs="Times New Roman"/>
                <w:color w:val="auto"/>
                <w:sz w:val="21"/>
                <w:szCs w:val="21"/>
                <w:highlight w:val="none"/>
                <w:lang w:eastAsia="zh-CN"/>
              </w:rPr>
            </m:ctrlPr>
          </m:e>
          <m:sub>
            <m:r>
              <m:rPr>
                <m:sty m:val="p"/>
              </m:rPr>
              <w:rPr>
                <w:rFonts w:hint="eastAsia" w:ascii="Cambria Math" w:hAnsi="Cambria Math" w:eastAsia="宋体" w:cs="Times New Roman"/>
                <w:color w:val="auto"/>
                <w:sz w:val="21"/>
                <w:szCs w:val="21"/>
                <w:highlight w:val="none"/>
                <w:lang w:eastAsia="zh-CN"/>
              </w:rPr>
              <m:t>基</m:t>
            </m:r>
            <m:ctrlPr>
              <w:rPr>
                <w:rFonts w:ascii="Cambria Math" w:hAnsi="Cambria Math" w:eastAsia="宋体" w:cs="Times New Roman"/>
                <w:color w:val="auto"/>
                <w:sz w:val="21"/>
                <w:szCs w:val="21"/>
                <w:highlight w:val="none"/>
                <w:lang w:eastAsia="zh-CN"/>
              </w:rPr>
            </m:ctrlPr>
          </m:sub>
        </m:sSub>
      </m:oMath>
      <w:r>
        <w:rPr>
          <w:rFonts w:hint="default" w:cs="Times New Roman"/>
          <w:color w:val="000000"/>
          <w:kern w:val="0"/>
          <w:sz w:val="24"/>
          <w:highlight w:val="none"/>
          <w:vertAlign w:val="baseline"/>
          <w:lang w:eastAsia="zh-CN"/>
        </w:rPr>
        <w:t>——干烟气基准含氧量，%；</w:t>
      </w:r>
    </w:p>
    <w:p w14:paraId="03E5ECB5">
      <w:pPr>
        <w:keepNext/>
        <w:keepLines w:val="0"/>
        <w:pageBreakBefore w:val="0"/>
        <w:widowControl w:val="0"/>
        <w:kinsoku/>
        <w:wordWrap/>
        <w:autoSpaceDE/>
        <w:autoSpaceDN/>
        <w:bidi w:val="0"/>
        <w:rPr>
          <w:rFonts w:hint="default" w:cs="Times New Roman"/>
          <w:color w:val="000000"/>
          <w:kern w:val="0"/>
          <w:sz w:val="24"/>
          <w:highlight w:val="none"/>
          <w:vertAlign w:val="baseline"/>
          <w:lang w:eastAsia="zh-CN"/>
        </w:rPr>
      </w:pPr>
      <m:oMath>
        <m:sSub>
          <m:sSubPr>
            <m:ctrlPr>
              <w:rPr>
                <w:rFonts w:ascii="Cambria Math" w:hAnsi="Cambria Math" w:eastAsia="宋体" w:cs="Times New Roman"/>
                <w:color w:val="auto"/>
                <w:sz w:val="21"/>
                <w:szCs w:val="21"/>
                <w:highlight w:val="none"/>
                <w:lang w:eastAsia="zh-CN"/>
              </w:rPr>
            </m:ctrlPr>
          </m:sSubPr>
          <m:e>
            <m:r>
              <m:rPr/>
              <w:rPr>
                <w:rFonts w:ascii="Cambria Math" w:hAnsi="Cambria Math" w:eastAsia="宋体" w:cs="Times New Roman"/>
                <w:color w:val="auto"/>
                <w:sz w:val="21"/>
                <w:szCs w:val="21"/>
                <w:highlight w:val="none"/>
                <w:lang w:eastAsia="zh-CN"/>
              </w:rPr>
              <m:t>O</m:t>
            </m:r>
            <m:ctrlPr>
              <w:rPr>
                <w:rFonts w:ascii="Cambria Math" w:hAnsi="Cambria Math" w:eastAsia="宋体" w:cs="Times New Roman"/>
                <w:color w:val="auto"/>
                <w:sz w:val="21"/>
                <w:szCs w:val="21"/>
                <w:highlight w:val="none"/>
                <w:lang w:eastAsia="zh-CN"/>
              </w:rPr>
            </m:ctrlPr>
          </m:e>
          <m:sub>
            <m:r>
              <m:rPr>
                <m:sty m:val="p"/>
              </m:rPr>
              <w:rPr>
                <w:rFonts w:hint="eastAsia" w:ascii="Cambria Math" w:hAnsi="Cambria Math" w:eastAsia="宋体" w:cs="Times New Roman"/>
                <w:color w:val="auto"/>
                <w:sz w:val="21"/>
                <w:szCs w:val="21"/>
                <w:highlight w:val="none"/>
                <w:lang w:eastAsia="zh-CN"/>
              </w:rPr>
              <m:t>实</m:t>
            </m:r>
            <m:ctrlPr>
              <w:rPr>
                <w:rFonts w:ascii="Cambria Math" w:hAnsi="Cambria Math" w:eastAsia="宋体" w:cs="Times New Roman"/>
                <w:color w:val="auto"/>
                <w:sz w:val="21"/>
                <w:szCs w:val="21"/>
                <w:highlight w:val="none"/>
                <w:lang w:eastAsia="zh-CN"/>
              </w:rPr>
            </m:ctrlPr>
          </m:sub>
        </m:sSub>
      </m:oMath>
      <w:r>
        <w:rPr>
          <w:rFonts w:hint="default" w:cs="Times New Roman"/>
          <w:color w:val="000000"/>
          <w:kern w:val="0"/>
          <w:sz w:val="24"/>
          <w:highlight w:val="none"/>
          <w:vertAlign w:val="baseline"/>
          <w:lang w:eastAsia="zh-CN"/>
        </w:rPr>
        <w:t>——实测的干烟气含氧量，%；</w:t>
      </w:r>
    </w:p>
    <w:p w14:paraId="258C27D7">
      <w:pPr>
        <w:keepNext/>
        <w:keepLines w:val="0"/>
        <w:pageBreakBefore w:val="0"/>
        <w:widowControl w:val="0"/>
        <w:kinsoku/>
        <w:wordWrap/>
        <w:autoSpaceDE/>
        <w:autoSpaceDN/>
        <w:bidi w:val="0"/>
        <w:rPr>
          <w:rFonts w:hint="default" w:cs="Times New Roman"/>
          <w:color w:val="000000"/>
          <w:kern w:val="0"/>
          <w:sz w:val="24"/>
          <w:highlight w:val="none"/>
          <w:vertAlign w:val="baseline"/>
          <w:lang w:eastAsia="zh-CN"/>
        </w:rPr>
      </w:pPr>
      <w:r>
        <w:rPr>
          <w:rFonts w:hint="default" w:cs="Times New Roman"/>
          <w:color w:val="000000"/>
          <w:kern w:val="0"/>
          <w:sz w:val="24"/>
          <w:highlight w:val="none"/>
          <w:vertAlign w:val="baseline"/>
          <w:lang w:eastAsia="zh-CN"/>
        </w:rPr>
        <w:t>吸附、吸收、冷凝、生物、膜分离等其他非焚烧类VOCs处理设施，以实测NMHC浓度作为达标判定依据，不得人为稀释排放。</w:t>
      </w:r>
    </w:p>
    <w:p w14:paraId="016C21B4">
      <w:pPr>
        <w:pStyle w:val="4"/>
        <w:keepNext/>
        <w:keepLines w:val="0"/>
        <w:pageBreakBefore w:val="0"/>
        <w:widowControl w:val="0"/>
        <w:kinsoku/>
        <w:wordWrap/>
        <w:autoSpaceDE/>
        <w:autoSpaceDN/>
        <w:bidi w:val="0"/>
        <w:rPr>
          <w:rFonts w:hint="eastAsia"/>
          <w:highlight w:val="none"/>
          <w:lang w:val="en-US" w:eastAsia="zh-CN"/>
        </w:rPr>
      </w:pPr>
      <w:bookmarkStart w:id="123" w:name="_Toc3849"/>
      <w:bookmarkStart w:id="124" w:name="_Toc6323"/>
      <w:r>
        <w:rPr>
          <w:rFonts w:hint="eastAsia"/>
          <w:highlight w:val="none"/>
          <w:lang w:val="en-US" w:eastAsia="zh-CN"/>
        </w:rPr>
        <w:t>加热炉排放要求</w:t>
      </w:r>
      <w:bookmarkEnd w:id="123"/>
      <w:bookmarkEnd w:id="124"/>
    </w:p>
    <w:p w14:paraId="0E4374A8">
      <w:pPr>
        <w:keepNext/>
        <w:keepLines w:val="0"/>
        <w:pageBreakBefore w:val="0"/>
        <w:widowControl w:val="0"/>
        <w:kinsoku/>
        <w:wordWrap/>
        <w:autoSpaceDE/>
        <w:autoSpaceDN/>
        <w:bidi w:val="0"/>
        <w:rPr>
          <w:rFonts w:hint="eastAsia" w:ascii="Times New Roman" w:hAnsi="Times New Roman" w:cs="Times New Roman"/>
          <w:color w:val="000000"/>
          <w:sz w:val="24"/>
          <w:szCs w:val="22"/>
          <w:highlight w:val="none"/>
          <w:lang w:val="en-US" w:eastAsia="zh-CN"/>
        </w:rPr>
      </w:pPr>
      <w:r>
        <w:rPr>
          <w:rFonts w:hint="eastAsia"/>
          <w:highlight w:val="none"/>
          <w:lang w:val="en-US" w:eastAsia="zh-CN"/>
        </w:rPr>
        <w:t>参考安徽、上海等地方汽车维修行业标准，明确喷烤漆房加热炉和试车尾气大气污染物执行的排放标准，</w:t>
      </w:r>
      <w:r>
        <w:rPr>
          <w:rFonts w:hint="default"/>
          <w:highlight w:val="none"/>
          <w:lang w:eastAsia="zh-CN"/>
        </w:rPr>
        <w:t>具体要求</w:t>
      </w:r>
      <w:r>
        <w:rPr>
          <w:rFonts w:hint="eastAsia"/>
          <w:highlight w:val="none"/>
          <w:lang w:val="en-US" w:eastAsia="zh-CN"/>
        </w:rPr>
        <w:t>：喷烤漆房宜采用电加热装置，利用锅炉、工业炉窑、固废焚烧炉焚烧等设施的热烟气对喷烤漆房进行间接加热的，应针对加热设施设置专门的废气排气筒，避免烘烤废气与热烟气混合排放。加热炉排气筒排放的大气污染物应符合DB 51/XXXX的要求。</w:t>
      </w:r>
    </w:p>
    <w:p w14:paraId="6BB5D74D">
      <w:pPr>
        <w:pStyle w:val="4"/>
        <w:keepNext/>
        <w:keepLines w:val="0"/>
        <w:pageBreakBefore w:val="0"/>
        <w:widowControl w:val="0"/>
        <w:kinsoku/>
        <w:wordWrap/>
        <w:autoSpaceDE/>
        <w:autoSpaceDN/>
        <w:bidi w:val="0"/>
        <w:rPr>
          <w:rFonts w:hint="eastAsia"/>
          <w:highlight w:val="none"/>
          <w:lang w:val="en-US" w:eastAsia="zh-CN"/>
        </w:rPr>
      </w:pPr>
      <w:bookmarkStart w:id="125" w:name="_Toc17695"/>
      <w:bookmarkStart w:id="126" w:name="_Toc31520"/>
      <w:r>
        <w:rPr>
          <w:rFonts w:hint="eastAsia"/>
          <w:highlight w:val="none"/>
          <w:lang w:val="en-US" w:eastAsia="zh-CN"/>
        </w:rPr>
        <w:t>排气筒设置要求</w:t>
      </w:r>
      <w:bookmarkEnd w:id="125"/>
      <w:bookmarkEnd w:id="126"/>
    </w:p>
    <w:p w14:paraId="2B0CA879">
      <w:pPr>
        <w:keepNext/>
        <w:keepLines w:val="0"/>
        <w:pageBreakBefore w:val="0"/>
        <w:widowControl w:val="0"/>
        <w:kinsoku/>
        <w:wordWrap/>
        <w:autoSpaceDE/>
        <w:autoSpaceDN/>
        <w:bidi w:val="0"/>
        <w:rPr>
          <w:rFonts w:hint="eastAsia"/>
          <w:highlight w:val="none"/>
          <w:lang w:val="en-US" w:eastAsia="zh-CN"/>
        </w:rPr>
      </w:pPr>
      <w:r>
        <w:rPr>
          <w:rFonts w:hint="eastAsia"/>
          <w:highlight w:val="none"/>
          <w:lang w:val="en-US" w:eastAsia="zh-CN"/>
        </w:rPr>
        <w:t>排气筒具体高度及距周围建筑物的距离按批复的环境影响评价文件确定，且不应低于15m（有安全考虑或其他特殊工艺要求的除外）。结合我省目前汽修企业多数不需要环评的实际情况，依据国家标准，规定排气筒低于15m时，有组织排放按照限值的50%执行。</w:t>
      </w:r>
    </w:p>
    <w:p w14:paraId="4D3342A3">
      <w:pPr>
        <w:pStyle w:val="4"/>
        <w:keepNext/>
        <w:keepLines w:val="0"/>
        <w:pageBreakBefore w:val="0"/>
        <w:widowControl w:val="0"/>
        <w:kinsoku/>
        <w:wordWrap/>
        <w:autoSpaceDE/>
        <w:autoSpaceDN/>
        <w:bidi w:val="0"/>
        <w:rPr>
          <w:rFonts w:hint="eastAsia"/>
          <w:highlight w:val="none"/>
          <w:lang w:val="en-US" w:eastAsia="zh-CN"/>
        </w:rPr>
      </w:pPr>
      <w:bookmarkStart w:id="127" w:name="_Toc7309"/>
      <w:bookmarkStart w:id="128" w:name="_Toc419"/>
      <w:r>
        <w:rPr>
          <w:rFonts w:hint="eastAsia"/>
          <w:highlight w:val="none"/>
          <w:lang w:val="en-US" w:eastAsia="zh-CN"/>
        </w:rPr>
        <w:t>其他管控要求</w:t>
      </w:r>
      <w:bookmarkEnd w:id="127"/>
      <w:bookmarkEnd w:id="128"/>
    </w:p>
    <w:p w14:paraId="4F659CDE">
      <w:pPr>
        <w:keepNext/>
        <w:keepLines w:val="0"/>
        <w:pageBreakBefore w:val="0"/>
        <w:widowControl w:val="0"/>
        <w:kinsoku/>
        <w:wordWrap/>
        <w:autoSpaceDE/>
        <w:autoSpaceDN/>
        <w:bidi w:val="0"/>
        <w:rPr>
          <w:rFonts w:hint="default"/>
          <w:highlight w:val="none"/>
          <w:lang w:eastAsia="zh-CN"/>
        </w:rPr>
      </w:pPr>
      <w:r>
        <w:rPr>
          <w:rFonts w:hint="default"/>
          <w:highlight w:val="none"/>
          <w:lang w:eastAsia="zh-CN"/>
        </w:rPr>
        <w:t>在</w:t>
      </w:r>
      <w:r>
        <w:rPr>
          <w:rFonts w:hint="eastAsia"/>
          <w:highlight w:val="none"/>
          <w:lang w:eastAsia="zh-CN"/>
        </w:rPr>
        <w:t>标准</w:t>
      </w:r>
      <w:r>
        <w:rPr>
          <w:rFonts w:hint="default"/>
          <w:highlight w:val="none"/>
          <w:lang w:eastAsia="zh-CN"/>
        </w:rPr>
        <w:t>的</w:t>
      </w:r>
      <w:r>
        <w:rPr>
          <w:rFonts w:hint="eastAsia"/>
          <w:highlight w:val="none"/>
          <w:lang w:val="en-US" w:eastAsia="zh-CN"/>
        </w:rPr>
        <w:t>6</w:t>
      </w:r>
      <w:r>
        <w:rPr>
          <w:rFonts w:hint="default"/>
          <w:highlight w:val="none"/>
          <w:lang w:eastAsia="zh-CN"/>
        </w:rPr>
        <w:t>.8~</w:t>
      </w:r>
      <w:r>
        <w:rPr>
          <w:rFonts w:hint="eastAsia"/>
          <w:highlight w:val="none"/>
          <w:lang w:val="en-US" w:eastAsia="zh-CN"/>
        </w:rPr>
        <w:t>6</w:t>
      </w:r>
      <w:r>
        <w:rPr>
          <w:rFonts w:hint="default"/>
          <w:highlight w:val="none"/>
          <w:lang w:eastAsia="zh-CN"/>
        </w:rPr>
        <w:t>.1</w:t>
      </w:r>
      <w:r>
        <w:rPr>
          <w:rFonts w:hint="eastAsia"/>
          <w:highlight w:val="none"/>
          <w:lang w:val="en-US" w:eastAsia="zh-CN"/>
        </w:rPr>
        <w:t>1</w:t>
      </w:r>
      <w:r>
        <w:rPr>
          <w:rFonts w:hint="default"/>
          <w:highlight w:val="none"/>
          <w:lang w:eastAsia="zh-CN"/>
        </w:rPr>
        <w:t>节中进一步明确了汽车维修企业废气收集、监测和吸附剂的使用要求。具体内容如下：</w:t>
      </w:r>
    </w:p>
    <w:p w14:paraId="3E99E7D3">
      <w:pPr>
        <w:keepNext/>
        <w:keepLines w:val="0"/>
        <w:pageBreakBefore w:val="0"/>
        <w:widowControl w:val="0"/>
        <w:numPr>
          <w:ilvl w:val="0"/>
          <w:numId w:val="7"/>
        </w:numPr>
        <w:kinsoku/>
        <w:wordWrap/>
        <w:overflowPunct/>
        <w:topLinePunct w:val="0"/>
        <w:autoSpaceDE/>
        <w:autoSpaceDN/>
        <w:bidi w:val="0"/>
        <w:adjustRightInd/>
        <w:snapToGrid/>
        <w:ind w:left="0" w:leftChars="0" w:firstLine="480" w:firstLineChars="200"/>
        <w:textAlignment w:val="auto"/>
        <w:rPr>
          <w:rFonts w:hint="eastAsia"/>
          <w:highlight w:val="none"/>
          <w:lang w:val="en-US" w:eastAsia="zh-CN"/>
        </w:rPr>
      </w:pPr>
      <w:r>
        <w:rPr>
          <w:rFonts w:hint="eastAsia"/>
          <w:highlight w:val="none"/>
          <w:lang w:val="en-US" w:eastAsia="zh-CN"/>
        </w:rPr>
        <w:t>废气收集处理系统应先于生产工艺设备运行，后于生产工艺设备关闭。废气收集处理系统发生故障或检修时，对应的生产工艺设备应停止运行，待检修完毕后投入使用。废气收集处理系统应记录保养维护事项，并每日记录主要操作参数。</w:t>
      </w:r>
    </w:p>
    <w:p w14:paraId="1DF33429">
      <w:pPr>
        <w:keepNext/>
        <w:keepLines w:val="0"/>
        <w:pageBreakBefore w:val="0"/>
        <w:widowControl w:val="0"/>
        <w:numPr>
          <w:ilvl w:val="0"/>
          <w:numId w:val="7"/>
        </w:numPr>
        <w:kinsoku/>
        <w:wordWrap/>
        <w:overflowPunct/>
        <w:topLinePunct w:val="0"/>
        <w:autoSpaceDE/>
        <w:autoSpaceDN/>
        <w:bidi w:val="0"/>
        <w:adjustRightInd/>
        <w:snapToGrid/>
        <w:ind w:left="0" w:leftChars="0" w:firstLine="480" w:firstLineChars="200"/>
        <w:textAlignment w:val="auto"/>
        <w:rPr>
          <w:rFonts w:hint="eastAsia"/>
          <w:highlight w:val="none"/>
          <w:lang w:val="en-US" w:eastAsia="zh-CN"/>
        </w:rPr>
      </w:pPr>
      <w:r>
        <w:rPr>
          <w:rFonts w:hint="eastAsia"/>
          <w:highlight w:val="none"/>
          <w:lang w:val="en-US" w:eastAsia="zh-CN"/>
        </w:rPr>
        <w:t>当执行不同排放控制要求的废气合并排气筒排放时，应在废气混合前进行监测，并执行相应的排放控制要求；若可选择的监控位置只能对混合后的废气进行监测，则应执行各排放控制要求中最严格的规定。</w:t>
      </w:r>
    </w:p>
    <w:p w14:paraId="4F850B58">
      <w:pPr>
        <w:keepNext/>
        <w:keepLines w:val="0"/>
        <w:pageBreakBefore w:val="0"/>
        <w:widowControl w:val="0"/>
        <w:numPr>
          <w:ilvl w:val="0"/>
          <w:numId w:val="7"/>
        </w:numPr>
        <w:kinsoku/>
        <w:wordWrap/>
        <w:overflowPunct/>
        <w:topLinePunct w:val="0"/>
        <w:autoSpaceDE/>
        <w:autoSpaceDN/>
        <w:bidi w:val="0"/>
        <w:adjustRightInd/>
        <w:snapToGrid/>
        <w:ind w:left="0" w:leftChars="0" w:firstLine="480" w:firstLineChars="200"/>
        <w:textAlignment w:val="auto"/>
        <w:rPr>
          <w:rFonts w:hint="eastAsia"/>
          <w:highlight w:val="none"/>
          <w:lang w:val="en-US" w:eastAsia="zh-CN"/>
        </w:rPr>
      </w:pPr>
      <w:r>
        <w:rPr>
          <w:rFonts w:hint="eastAsia"/>
          <w:highlight w:val="none"/>
          <w:lang w:val="en-US" w:eastAsia="zh-CN"/>
        </w:rPr>
        <w:t>喷漆烤房采用更换式吸附处理工艺的，吸附剂的充填量或厚度应满足相关标准或规范的要求，吸附剂应充填均匀，防止沟流、短路。吸附剂（活性炭）更换和技术指标应满足下列公式和表7.5-16的要求。吸附剂的选择应符合HJ 2026的相关规定。</w:t>
      </w:r>
    </w:p>
    <w:p w14:paraId="4FD9D21A">
      <w:pPr>
        <w:keepNext/>
        <w:keepLines w:val="0"/>
        <w:pageBreakBefore w:val="0"/>
        <w:widowControl w:val="0"/>
        <w:kinsoku/>
        <w:wordWrap/>
        <w:autoSpaceDE/>
        <w:autoSpaceDN/>
        <w:bidi w:val="0"/>
        <w:rPr>
          <w:rFonts w:hint="eastAsia"/>
          <w:highlight w:val="none"/>
          <w:lang w:val="zh-CN" w:eastAsia="zh-CN"/>
        </w:rPr>
      </w:pPr>
      <w:r>
        <w:rPr>
          <w:rFonts w:hint="eastAsia"/>
          <w:highlight w:val="none"/>
          <w:lang w:val="en-US" w:eastAsia="zh-CN"/>
        </w:rPr>
        <w:t>汽车维修</w:t>
      </w:r>
      <w:r>
        <w:rPr>
          <w:rFonts w:hint="eastAsia"/>
          <w:highlight w:val="none"/>
          <w:lang w:val="zh-CN" w:eastAsia="zh-CN"/>
        </w:rPr>
        <w:t>企业应参照公式（</w:t>
      </w:r>
      <w:r>
        <w:rPr>
          <w:rFonts w:hint="eastAsia"/>
          <w:highlight w:val="none"/>
          <w:lang w:val="en-US" w:eastAsia="zh-CN"/>
        </w:rPr>
        <w:t>A.1</w:t>
      </w:r>
      <w:r>
        <w:rPr>
          <w:rFonts w:hint="eastAsia"/>
          <w:highlight w:val="none"/>
          <w:lang w:val="zh-CN" w:eastAsia="zh-CN"/>
        </w:rPr>
        <w:t>）计算吸附剂（活性炭）更换周期。</w:t>
      </w:r>
    </w:p>
    <w:p w14:paraId="329551E0">
      <w:pPr>
        <w:pStyle w:val="52"/>
        <w:keepNext/>
        <w:keepLines w:val="0"/>
        <w:pageBreakBefore w:val="0"/>
        <w:widowControl w:val="0"/>
        <w:tabs>
          <w:tab w:val="right" w:pos="9355"/>
          <w:tab w:val="clear" w:pos="8505"/>
          <w:tab w:val="clear" w:pos="9072"/>
        </w:tabs>
        <w:kinsoku/>
        <w:wordWrap/>
        <w:overflowPunct/>
        <w:topLinePunct w:val="0"/>
        <w:autoSpaceDE/>
        <w:autoSpaceDN/>
        <w:bidi w:val="0"/>
        <w:snapToGrid/>
        <w:ind w:firstLine="0" w:firstLineChars="0"/>
        <w:jc w:val="center"/>
        <w:rPr>
          <w:rFonts w:ascii="Times New Roman" w:hAnsi="Times New Roman" w:cs="Times New Roman"/>
          <w:snapToGrid/>
          <w:color w:val="auto"/>
          <w:highlight w:val="none"/>
          <w:lang w:val="zh-CN" w:eastAsia="zh-CN"/>
        </w:rPr>
      </w:pPr>
      <w:r>
        <w:rPr>
          <w:rFonts w:hint="eastAsia" w:hAnsi="Cambria Math" w:cs="Times New Roman"/>
          <w:i w:val="0"/>
          <w:kern w:val="2"/>
          <w:sz w:val="21"/>
          <w:szCs w:val="24"/>
          <w:highlight w:val="none"/>
          <w:lang w:val="en-US" w:eastAsia="zh-CN" w:bidi="ar-SA"/>
        </w:rPr>
        <w:t xml:space="preserve">                  </w:t>
      </w:r>
      <m:oMath>
        <m:r>
          <m:rPr>
            <m:sty m:val="p"/>
          </m:rPr>
          <w:rPr>
            <w:rFonts w:hint="eastAsia" w:ascii="Cambria Math" w:hAnsi="Cambria Math" w:cs="Times New Roman"/>
            <w:kern w:val="2"/>
            <w:sz w:val="21"/>
            <w:szCs w:val="24"/>
            <w:highlight w:val="none"/>
            <w:lang w:val="en-US" w:eastAsia="zh-CN" w:bidi="ar-SA"/>
          </w:rPr>
          <m:t>T</m:t>
        </m:r>
        <m:r>
          <m:rPr>
            <m:sty m:val="p"/>
          </m:rPr>
          <w:rPr>
            <w:rFonts w:hint="default" w:ascii="Cambria Math" w:hAnsi="Cambria Math" w:cs="Times New Roman"/>
            <w:kern w:val="2"/>
            <w:sz w:val="21"/>
            <w:szCs w:val="24"/>
            <w:highlight w:val="none"/>
            <w:lang w:val="en-US" w:eastAsia="zh-CN" w:bidi="ar-SA"/>
          </w:rPr>
          <m:t>=</m:t>
        </m:r>
        <m:f>
          <m:fPr>
            <m:ctrlPr>
              <w:rPr>
                <w:rFonts w:hint="default" w:ascii="Cambria Math" w:hAnsi="Cambria Math" w:cs="Times New Roman"/>
                <w:kern w:val="2"/>
                <w:sz w:val="21"/>
                <w:szCs w:val="24"/>
                <w:highlight w:val="none"/>
                <w:lang w:val="en-US" w:eastAsia="zh-CN" w:bidi="ar-SA"/>
              </w:rPr>
            </m:ctrlPr>
          </m:fPr>
          <m:num>
            <m:r>
              <m:rPr>
                <m:sty m:val="p"/>
              </m:rPr>
              <w:rPr>
                <w:rFonts w:hint="eastAsia" w:ascii="Cambria Math" w:hAnsi="Cambria Math" w:cs="Times New Roman"/>
                <w:kern w:val="2"/>
                <w:sz w:val="21"/>
                <w:szCs w:val="24"/>
                <w:highlight w:val="none"/>
                <w:lang w:val="en-US" w:eastAsia="zh-CN" w:bidi="ar-SA"/>
              </w:rPr>
              <m:t>M</m:t>
            </m:r>
            <m:r>
              <m:rPr>
                <m:sty m:val="p"/>
              </m:rPr>
              <w:rPr>
                <w:rFonts w:ascii="Cambria Math" w:hAnsi="Cambria Math" w:cs="Times New Roman"/>
                <w:kern w:val="2"/>
                <w:sz w:val="21"/>
                <w:szCs w:val="24"/>
                <w:highlight w:val="none"/>
                <w:lang w:val="en-US" w:bidi="ar-SA"/>
              </w:rPr>
              <m:t>×</m:t>
            </m:r>
            <m:r>
              <m:rPr>
                <m:sty m:val="p"/>
              </m:rPr>
              <w:rPr>
                <w:rFonts w:hint="eastAsia" w:ascii="Cambria Math" w:hAnsi="Cambria Math" w:cs="Times New Roman"/>
                <w:kern w:val="2"/>
                <w:sz w:val="21"/>
                <w:szCs w:val="24"/>
                <w:highlight w:val="none"/>
                <w:lang w:val="en-US" w:eastAsia="zh-CN" w:bidi="ar-SA"/>
              </w:rPr>
              <m:t>s</m:t>
            </m:r>
            <m:r>
              <m:rPr>
                <m:sty m:val="p"/>
              </m:rPr>
              <w:rPr>
                <w:rFonts w:ascii="Cambria Math" w:hAnsi="Cambria Math" w:cs="Times New Roman"/>
                <w:kern w:val="2"/>
                <w:sz w:val="21"/>
                <w:szCs w:val="24"/>
                <w:highlight w:val="none"/>
                <w:lang w:val="en-US" w:bidi="ar-SA"/>
              </w:rPr>
              <m:t>×</m:t>
            </m:r>
            <m:sSup>
              <m:sSupPr>
                <m:ctrlPr>
                  <w:rPr>
                    <w:rFonts w:ascii="Cambria Math" w:hAnsi="Cambria Math" w:cs="Times New Roman"/>
                    <w:kern w:val="2"/>
                    <w:sz w:val="21"/>
                    <w:szCs w:val="24"/>
                    <w:highlight w:val="none"/>
                    <w:lang w:val="en-US" w:bidi="ar-SA"/>
                  </w:rPr>
                </m:ctrlPr>
              </m:sSupPr>
              <m:e>
                <m:r>
                  <m:rPr>
                    <m:sty m:val="p"/>
                  </m:rPr>
                  <w:rPr>
                    <w:rFonts w:hint="default" w:ascii="Cambria Math" w:hAnsi="Cambria Math" w:cs="Times New Roman"/>
                    <w:kern w:val="2"/>
                    <w:sz w:val="21"/>
                    <w:szCs w:val="24"/>
                    <w:highlight w:val="none"/>
                    <w:lang w:val="en-US" w:eastAsia="zh-CN" w:bidi="ar-SA"/>
                  </w:rPr>
                  <m:t>10</m:t>
                </m:r>
                <m:ctrlPr>
                  <w:rPr>
                    <w:rFonts w:ascii="Cambria Math" w:hAnsi="Cambria Math" w:cs="Times New Roman"/>
                    <w:kern w:val="2"/>
                    <w:sz w:val="21"/>
                    <w:szCs w:val="24"/>
                    <w:highlight w:val="none"/>
                    <w:lang w:val="en-US" w:bidi="ar-SA"/>
                  </w:rPr>
                </m:ctrlPr>
              </m:e>
              <m:sup>
                <m:r>
                  <m:rPr>
                    <m:sty m:val="p"/>
                  </m:rPr>
                  <w:rPr>
                    <w:rFonts w:hint="default" w:ascii="Cambria Math" w:hAnsi="Cambria Math" w:cs="Times New Roman"/>
                    <w:kern w:val="2"/>
                    <w:sz w:val="21"/>
                    <w:szCs w:val="24"/>
                    <w:highlight w:val="none"/>
                    <w:lang w:val="en-US" w:eastAsia="zh-CN" w:bidi="ar-SA"/>
                  </w:rPr>
                  <m:t>6</m:t>
                </m:r>
                <m:ctrlPr>
                  <w:rPr>
                    <w:rFonts w:ascii="Cambria Math" w:hAnsi="Cambria Math" w:cs="Times New Roman"/>
                    <w:kern w:val="2"/>
                    <w:sz w:val="21"/>
                    <w:szCs w:val="24"/>
                    <w:highlight w:val="none"/>
                    <w:lang w:val="en-US" w:bidi="ar-SA"/>
                  </w:rPr>
                </m:ctrlPr>
              </m:sup>
            </m:sSup>
            <m:ctrlPr>
              <w:rPr>
                <w:rFonts w:hint="default" w:ascii="Cambria Math" w:hAnsi="Cambria Math" w:cs="Times New Roman"/>
                <w:kern w:val="2"/>
                <w:sz w:val="21"/>
                <w:szCs w:val="24"/>
                <w:highlight w:val="none"/>
                <w:lang w:val="en-US" w:eastAsia="zh-CN" w:bidi="ar-SA"/>
              </w:rPr>
            </m:ctrlPr>
          </m:num>
          <m:den>
            <m:r>
              <m:rPr>
                <m:sty m:val="p"/>
              </m:rPr>
              <w:rPr>
                <w:rFonts w:hint="default" w:ascii="Cambria Math" w:hAnsi="Cambria Math" w:cs="Times New Roman"/>
                <w:kern w:val="2"/>
                <w:sz w:val="21"/>
                <w:szCs w:val="24"/>
                <w:highlight w:val="none"/>
                <w:lang w:val="en-US" w:eastAsia="zh-CN" w:bidi="ar-SA"/>
              </w:rPr>
              <m:t>c</m:t>
            </m:r>
            <m:r>
              <m:rPr>
                <m:sty m:val="p"/>
              </m:rPr>
              <w:rPr>
                <w:rFonts w:ascii="Cambria Math" w:hAnsi="Cambria Math" w:cs="Times New Roman"/>
                <w:kern w:val="2"/>
                <w:sz w:val="21"/>
                <w:szCs w:val="24"/>
                <w:highlight w:val="none"/>
                <w:lang w:val="en-US" w:bidi="ar-SA"/>
              </w:rPr>
              <m:t>×</m:t>
            </m:r>
            <m:r>
              <m:rPr>
                <m:sty m:val="p"/>
              </m:rPr>
              <w:rPr>
                <w:rFonts w:hint="eastAsia" w:ascii="Cambria Math" w:hAnsi="Cambria Math" w:cs="Times New Roman"/>
                <w:kern w:val="2"/>
                <w:sz w:val="21"/>
                <w:szCs w:val="24"/>
                <w:highlight w:val="none"/>
                <w:lang w:val="en-US" w:eastAsia="zh-CN" w:bidi="ar-SA"/>
              </w:rPr>
              <m:t>Q</m:t>
            </m:r>
            <m:r>
              <m:rPr>
                <m:sty m:val="p"/>
              </m:rPr>
              <w:rPr>
                <w:rFonts w:ascii="Cambria Math" w:hAnsi="Cambria Math" w:cs="Times New Roman"/>
                <w:kern w:val="2"/>
                <w:sz w:val="21"/>
                <w:szCs w:val="24"/>
                <w:highlight w:val="none"/>
                <w:lang w:val="en-US" w:bidi="ar-SA"/>
              </w:rPr>
              <m:t>×</m:t>
            </m:r>
            <m:r>
              <m:rPr>
                <m:sty m:val="p"/>
              </m:rPr>
              <w:rPr>
                <w:rFonts w:hint="eastAsia" w:ascii="Cambria Math" w:hAnsi="Cambria Math" w:cs="Times New Roman"/>
                <w:kern w:val="2"/>
                <w:sz w:val="21"/>
                <w:szCs w:val="24"/>
                <w:highlight w:val="none"/>
                <w:lang w:val="en-US" w:eastAsia="zh-CN" w:bidi="ar-SA"/>
              </w:rPr>
              <m:t>t</m:t>
            </m:r>
            <m:ctrlPr>
              <w:rPr>
                <w:rFonts w:hint="default" w:ascii="Cambria Math" w:hAnsi="Cambria Math" w:cs="Times New Roman"/>
                <w:kern w:val="2"/>
                <w:sz w:val="21"/>
                <w:szCs w:val="24"/>
                <w:highlight w:val="none"/>
                <w:lang w:val="en-US" w:eastAsia="zh-CN" w:bidi="ar-SA"/>
              </w:rPr>
            </m:ctrlPr>
          </m:den>
        </m:f>
      </m:oMath>
      <w:r>
        <w:rPr>
          <w:rFonts w:hint="eastAsia" w:ascii="Times New Roman" w:hAnsi="Times New Roman" w:eastAsia="宋体" w:cs="Times New Roman"/>
          <w:snapToGrid/>
          <w:color w:val="auto"/>
          <w:highlight w:val="none"/>
          <w:lang w:val="en-US" w:eastAsia="zh-CN"/>
        </w:rPr>
        <w:t xml:space="preserve">                   </w:t>
      </w:r>
      <w:r>
        <w:rPr>
          <w:rFonts w:hint="eastAsia" w:ascii="Times New Roman" w:hAnsi="Times New Roman" w:cs="Times New Roman"/>
          <w:snapToGrid/>
          <w:color w:val="auto"/>
          <w:highlight w:val="none"/>
          <w:lang w:val="zh-CN" w:eastAsia="zh-CN"/>
        </w:rPr>
        <w:t>（</w:t>
      </w:r>
      <w:r>
        <w:rPr>
          <w:rFonts w:hint="eastAsia" w:ascii="Times New Roman" w:hAnsi="Times New Roman" w:cs="Times New Roman"/>
          <w:snapToGrid/>
          <w:color w:val="auto"/>
          <w:highlight w:val="none"/>
          <w:lang w:val="en-US" w:eastAsia="zh-CN"/>
        </w:rPr>
        <w:t>A.1</w:t>
      </w:r>
      <w:r>
        <w:rPr>
          <w:rFonts w:hint="eastAsia" w:ascii="Times New Roman" w:hAnsi="Times New Roman" w:cs="Times New Roman"/>
          <w:snapToGrid/>
          <w:color w:val="auto"/>
          <w:highlight w:val="none"/>
          <w:lang w:val="zh-CN" w:eastAsia="zh-CN"/>
        </w:rPr>
        <w:t>）</w:t>
      </w:r>
    </w:p>
    <w:p w14:paraId="75D226CD">
      <w:pPr>
        <w:keepNext/>
        <w:keepLines w:val="0"/>
        <w:pageBreakBefore w:val="0"/>
        <w:widowControl w:val="0"/>
        <w:kinsoku/>
        <w:wordWrap/>
        <w:overflowPunct/>
        <w:topLinePunct w:val="0"/>
        <w:autoSpaceDE/>
        <w:autoSpaceDN/>
        <w:bidi w:val="0"/>
        <w:snapToGrid/>
        <w:rPr>
          <w:rFonts w:hint="eastAsia" w:eastAsia="宋体"/>
          <w:highlight w:val="none"/>
          <w:lang w:eastAsia="zh-CN"/>
        </w:rPr>
      </w:pPr>
      <w:r>
        <w:rPr>
          <w:highlight w:val="none"/>
        </w:rPr>
        <w:t>式中：T—更换周期，d</w:t>
      </w:r>
      <w:r>
        <w:rPr>
          <w:rFonts w:hint="eastAsia"/>
          <w:highlight w:val="none"/>
          <w:lang w:eastAsia="zh-CN"/>
        </w:rPr>
        <w:t>；</w:t>
      </w:r>
    </w:p>
    <w:p w14:paraId="2D00C9FB">
      <w:pPr>
        <w:keepNext/>
        <w:keepLines w:val="0"/>
        <w:pageBreakBefore w:val="0"/>
        <w:widowControl w:val="0"/>
        <w:kinsoku/>
        <w:wordWrap/>
        <w:overflowPunct/>
        <w:topLinePunct w:val="0"/>
        <w:autoSpaceDE/>
        <w:autoSpaceDN/>
        <w:bidi w:val="0"/>
        <w:snapToGrid/>
        <w:ind w:firstLine="1200" w:firstLineChars="500"/>
        <w:rPr>
          <w:highlight w:val="none"/>
        </w:rPr>
      </w:pPr>
      <w:r>
        <w:rPr>
          <w:highlight w:val="none"/>
        </w:rPr>
        <w:t>M—</w:t>
      </w:r>
      <w:r>
        <w:rPr>
          <w:rFonts w:hint="eastAsia"/>
          <w:highlight w:val="none"/>
        </w:rPr>
        <w:t>吸附剂（活性炭）</w:t>
      </w:r>
      <w:r>
        <w:rPr>
          <w:highlight w:val="none"/>
        </w:rPr>
        <w:t>的用量，kg；</w:t>
      </w:r>
    </w:p>
    <w:p w14:paraId="5799F161">
      <w:pPr>
        <w:keepNext/>
        <w:keepLines w:val="0"/>
        <w:pageBreakBefore w:val="0"/>
        <w:widowControl w:val="0"/>
        <w:kinsoku/>
        <w:wordWrap/>
        <w:overflowPunct/>
        <w:topLinePunct w:val="0"/>
        <w:autoSpaceDE/>
        <w:autoSpaceDN/>
        <w:bidi w:val="0"/>
        <w:snapToGrid/>
        <w:ind w:firstLine="1200" w:firstLineChars="500"/>
        <w:rPr>
          <w:highlight w:val="none"/>
        </w:rPr>
      </w:pPr>
      <w:r>
        <w:rPr>
          <w:highlight w:val="none"/>
        </w:rPr>
        <w:t>s—动态吸附量，%；（一般取值20%</w:t>
      </w:r>
      <w:r>
        <w:rPr>
          <w:rFonts w:hint="eastAsia"/>
          <w:highlight w:val="none"/>
          <w:lang w:eastAsia="zh-CN"/>
        </w:rPr>
        <w:t>，</w:t>
      </w:r>
      <w:r>
        <w:rPr>
          <w:rFonts w:hint="eastAsia"/>
          <w:highlight w:val="none"/>
          <w:lang w:val="en-US" w:eastAsia="zh-CN"/>
        </w:rPr>
        <w:t>若</w:t>
      </w:r>
      <w:r>
        <w:rPr>
          <w:rFonts w:hint="eastAsia"/>
          <w:highlight w:val="none"/>
          <w:lang w:val="zh-CN" w:eastAsia="zh-CN"/>
        </w:rPr>
        <w:t>取值高于20%，应提供含有动态吸附量取值依据的吸附剂（活性炭）性能证明文件</w:t>
      </w:r>
      <w:r>
        <w:rPr>
          <w:highlight w:val="none"/>
        </w:rPr>
        <w:t>）；</w:t>
      </w:r>
    </w:p>
    <w:p w14:paraId="4B93A8D3">
      <w:pPr>
        <w:keepNext/>
        <w:keepLines w:val="0"/>
        <w:pageBreakBefore w:val="0"/>
        <w:widowControl w:val="0"/>
        <w:kinsoku/>
        <w:wordWrap/>
        <w:overflowPunct/>
        <w:topLinePunct w:val="0"/>
        <w:autoSpaceDE/>
        <w:autoSpaceDN/>
        <w:bidi w:val="0"/>
        <w:snapToGrid/>
        <w:ind w:firstLine="1200" w:firstLineChars="500"/>
        <w:rPr>
          <w:highlight w:val="none"/>
        </w:rPr>
      </w:pPr>
      <w:r>
        <w:rPr>
          <w:highlight w:val="none"/>
        </w:rPr>
        <w:t>c—进出口的VOCs浓度差，mg/m</w:t>
      </w:r>
      <w:r>
        <w:rPr>
          <w:highlight w:val="none"/>
          <w:vertAlign w:val="superscript"/>
        </w:rPr>
        <w:t>3</w:t>
      </w:r>
      <w:r>
        <w:rPr>
          <w:highlight w:val="none"/>
        </w:rPr>
        <w:t xml:space="preserve"> ；（按以下顺序优先采用按照监测规范要求获取的有效连续在线监测数据、便携式监测仪器现场执法监测数据、监督性监测数据、竣工验收监测数据及委托监测机构开展手动监测数据）；</w:t>
      </w:r>
    </w:p>
    <w:p w14:paraId="5334A336">
      <w:pPr>
        <w:keepNext/>
        <w:keepLines w:val="0"/>
        <w:pageBreakBefore w:val="0"/>
        <w:widowControl w:val="0"/>
        <w:kinsoku/>
        <w:wordWrap/>
        <w:overflowPunct/>
        <w:topLinePunct w:val="0"/>
        <w:autoSpaceDE/>
        <w:autoSpaceDN/>
        <w:bidi w:val="0"/>
        <w:snapToGrid/>
        <w:ind w:firstLine="1200" w:firstLineChars="500"/>
        <w:rPr>
          <w:highlight w:val="none"/>
        </w:rPr>
      </w:pPr>
      <w:r>
        <w:rPr>
          <w:highlight w:val="none"/>
        </w:rPr>
        <w:t>Q—风量，m</w:t>
      </w:r>
      <w:r>
        <w:rPr>
          <w:highlight w:val="none"/>
          <w:vertAlign w:val="superscript"/>
        </w:rPr>
        <w:t>3</w:t>
      </w:r>
      <w:r>
        <w:rPr>
          <w:highlight w:val="none"/>
        </w:rPr>
        <w:t>/h；</w:t>
      </w:r>
    </w:p>
    <w:p w14:paraId="66DCA929">
      <w:pPr>
        <w:keepNext/>
        <w:keepLines w:val="0"/>
        <w:pageBreakBefore w:val="0"/>
        <w:widowControl w:val="0"/>
        <w:kinsoku/>
        <w:wordWrap/>
        <w:overflowPunct/>
        <w:topLinePunct w:val="0"/>
        <w:autoSpaceDE/>
        <w:autoSpaceDN/>
        <w:bidi w:val="0"/>
        <w:snapToGrid/>
        <w:ind w:firstLine="1200" w:firstLineChars="500"/>
        <w:rPr>
          <w:highlight w:val="none"/>
        </w:rPr>
      </w:pPr>
      <w:r>
        <w:rPr>
          <w:highlight w:val="none"/>
        </w:rPr>
        <w:t>t—运行时间，h/d。</w:t>
      </w:r>
    </w:p>
    <w:p w14:paraId="7B36A1D6">
      <w:pPr>
        <w:keepNext/>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Times New Roman" w:hAnsi="Times New Roman" w:cs="Times New Roman"/>
          <w:kern w:val="0"/>
          <w:szCs w:val="21"/>
          <w:highlight w:val="none"/>
          <w:lang w:val="en-US" w:eastAsia="zh-CN"/>
        </w:rPr>
      </w:pPr>
      <w:r>
        <w:rPr>
          <w:rFonts w:hint="eastAsia" w:ascii="Times New Roman" w:hAnsi="Times New Roman" w:cs="Times New Roman"/>
          <w:kern w:val="0"/>
          <w:szCs w:val="21"/>
          <w:highlight w:val="none"/>
          <w:lang w:val="en-US" w:eastAsia="zh-CN"/>
        </w:rPr>
        <w:t>表</w:t>
      </w:r>
      <w:r>
        <w:rPr>
          <w:rFonts w:hint="eastAsia" w:cs="Times New Roman"/>
          <w:kern w:val="0"/>
          <w:szCs w:val="21"/>
          <w:highlight w:val="none"/>
          <w:lang w:val="en-US" w:eastAsia="zh-CN"/>
        </w:rPr>
        <w:t>7.5</w:t>
      </w:r>
      <w:r>
        <w:rPr>
          <w:rFonts w:hint="eastAsia" w:ascii="Times New Roman" w:hAnsi="Times New Roman" w:cs="Times New Roman"/>
          <w:kern w:val="0"/>
          <w:szCs w:val="21"/>
          <w:highlight w:val="none"/>
          <w:lang w:val="en-US" w:eastAsia="zh-CN"/>
        </w:rPr>
        <w:t>-16 吸附剂（活性炭）技术指标</w:t>
      </w:r>
    </w:p>
    <w:tbl>
      <w:tblPr>
        <w:tblStyle w:val="53"/>
        <w:tblpPr w:leftFromText="180" w:rightFromText="180" w:vertAnchor="text" w:horzAnchor="page" w:tblpX="1431" w:tblpY="159"/>
        <w:tblOverlap w:val="never"/>
        <w:tblW w:w="8899" w:type="dxa"/>
        <w:tblInd w:w="0" w:type="dxa"/>
        <w:tblBorders>
          <w:top w:val="single" w:color="000000" w:sz="10" w:space="0"/>
          <w:left w:val="single" w:color="000000" w:sz="10" w:space="0"/>
          <w:bottom w:val="single" w:color="000000" w:sz="10" w:space="0"/>
          <w:right w:val="single" w:color="000000" w:sz="10" w:space="0"/>
          <w:insideH w:val="single" w:color="000000" w:sz="10" w:space="0"/>
          <w:insideV w:val="single" w:color="000000" w:sz="10" w:space="0"/>
        </w:tblBorders>
        <w:tblLayout w:type="fixed"/>
        <w:tblCellMar>
          <w:top w:w="0" w:type="dxa"/>
          <w:left w:w="0" w:type="dxa"/>
          <w:bottom w:w="0" w:type="dxa"/>
          <w:right w:w="0" w:type="dxa"/>
        </w:tblCellMar>
      </w:tblPr>
      <w:tblGrid>
        <w:gridCol w:w="3399"/>
        <w:gridCol w:w="2756"/>
        <w:gridCol w:w="4"/>
        <w:gridCol w:w="2740"/>
      </w:tblGrid>
      <w:tr w14:paraId="6730F90F">
        <w:tblPrEx>
          <w:tblBorders>
            <w:top w:val="single" w:color="000000" w:sz="10" w:space="0"/>
            <w:left w:val="single" w:color="000000" w:sz="10" w:space="0"/>
            <w:bottom w:val="single" w:color="000000" w:sz="10" w:space="0"/>
            <w:right w:val="single" w:color="000000" w:sz="10" w:space="0"/>
            <w:insideH w:val="single" w:color="000000" w:sz="10" w:space="0"/>
            <w:insideV w:val="single" w:color="000000" w:sz="10" w:space="0"/>
          </w:tblBorders>
          <w:tblCellMar>
            <w:top w:w="0" w:type="dxa"/>
            <w:left w:w="0" w:type="dxa"/>
            <w:bottom w:w="0" w:type="dxa"/>
            <w:right w:w="0" w:type="dxa"/>
          </w:tblCellMar>
        </w:tblPrEx>
        <w:trPr>
          <w:trHeight w:val="274" w:hRule="atLeast"/>
          <w:tblHeader/>
        </w:trPr>
        <w:tc>
          <w:tcPr>
            <w:tcW w:w="3399" w:type="dxa"/>
            <w:vMerge w:val="restart"/>
            <w:tcBorders>
              <w:top w:val="single" w:color="000000" w:sz="2" w:space="0"/>
              <w:left w:val="single" w:color="000000" w:sz="2" w:space="0"/>
              <w:bottom w:val="single" w:color="000000" w:sz="2" w:space="0"/>
              <w:right w:val="single" w:color="000000" w:sz="2" w:space="0"/>
            </w:tcBorders>
            <w:vAlign w:val="center"/>
          </w:tcPr>
          <w:p w14:paraId="739C824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cs="Times New Roman"/>
                <w:b/>
                <w:bCs/>
                <w:color w:val="000000"/>
                <w:kern w:val="0"/>
                <w:sz w:val="21"/>
                <w:szCs w:val="21"/>
                <w:highlight w:val="none"/>
                <w:lang w:val="en-US" w:eastAsia="zh-CN"/>
              </w:rPr>
            </w:pPr>
            <w:r>
              <w:rPr>
                <w:rFonts w:hint="eastAsia" w:ascii="Times New Roman" w:hAnsi="Times New Roman" w:cs="Times New Roman"/>
                <w:b/>
                <w:bCs/>
                <w:color w:val="000000"/>
                <w:kern w:val="0"/>
                <w:sz w:val="21"/>
                <w:szCs w:val="21"/>
                <w:highlight w:val="none"/>
                <w:lang w:val="en-US" w:eastAsia="zh-CN"/>
              </w:rPr>
              <w:t>指标名称</w:t>
            </w:r>
          </w:p>
        </w:tc>
        <w:tc>
          <w:tcPr>
            <w:tcW w:w="5500" w:type="dxa"/>
            <w:gridSpan w:val="3"/>
            <w:tcBorders>
              <w:top w:val="single" w:color="000000" w:sz="2" w:space="0"/>
              <w:left w:val="single" w:color="000000" w:sz="2" w:space="0"/>
              <w:bottom w:val="single" w:color="000000" w:sz="2" w:space="0"/>
              <w:right w:val="single" w:color="000000" w:sz="2" w:space="0"/>
            </w:tcBorders>
            <w:vAlign w:val="center"/>
          </w:tcPr>
          <w:p w14:paraId="469ECF9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cs="Times New Roman"/>
                <w:b/>
                <w:bCs/>
                <w:color w:val="000000"/>
                <w:kern w:val="0"/>
                <w:sz w:val="21"/>
                <w:szCs w:val="21"/>
                <w:highlight w:val="none"/>
                <w:lang w:val="en-US" w:eastAsia="zh-CN"/>
              </w:rPr>
            </w:pPr>
            <w:r>
              <w:rPr>
                <w:rFonts w:hint="default" w:ascii="Times New Roman" w:hAnsi="Times New Roman" w:cs="Times New Roman"/>
                <w:b/>
                <w:bCs/>
                <w:color w:val="000000"/>
                <w:kern w:val="0"/>
                <w:sz w:val="21"/>
                <w:szCs w:val="21"/>
                <w:highlight w:val="none"/>
                <w:lang w:val="en-US" w:eastAsia="zh-CN"/>
              </w:rPr>
              <w:t>指标限值</w:t>
            </w:r>
          </w:p>
        </w:tc>
      </w:tr>
      <w:tr w14:paraId="186C2704">
        <w:tblPrEx>
          <w:tblBorders>
            <w:top w:val="single" w:color="000000" w:sz="10" w:space="0"/>
            <w:left w:val="single" w:color="000000" w:sz="10" w:space="0"/>
            <w:bottom w:val="single" w:color="000000" w:sz="10" w:space="0"/>
            <w:right w:val="single" w:color="000000" w:sz="10" w:space="0"/>
            <w:insideH w:val="single" w:color="000000" w:sz="10" w:space="0"/>
            <w:insideV w:val="single" w:color="000000" w:sz="10" w:space="0"/>
          </w:tblBorders>
          <w:tblCellMar>
            <w:top w:w="0" w:type="dxa"/>
            <w:left w:w="0" w:type="dxa"/>
            <w:bottom w:w="0" w:type="dxa"/>
            <w:right w:w="0" w:type="dxa"/>
          </w:tblCellMar>
        </w:tblPrEx>
        <w:trPr>
          <w:trHeight w:val="274" w:hRule="atLeast"/>
          <w:tblHeader/>
        </w:trPr>
        <w:tc>
          <w:tcPr>
            <w:tcW w:w="3399" w:type="dxa"/>
            <w:vMerge w:val="continue"/>
            <w:tcBorders>
              <w:top w:val="single" w:color="000000" w:sz="2" w:space="0"/>
              <w:left w:val="single" w:color="000000" w:sz="2" w:space="0"/>
              <w:bottom w:val="single" w:color="000000" w:sz="2" w:space="0"/>
              <w:right w:val="single" w:color="000000" w:sz="2" w:space="0"/>
            </w:tcBorders>
            <w:vAlign w:val="center"/>
          </w:tcPr>
          <w:p w14:paraId="750B096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kern w:val="0"/>
                <w:sz w:val="21"/>
                <w:szCs w:val="21"/>
                <w:highlight w:val="none"/>
                <w:lang w:val="en-US" w:eastAsia="zh-CN"/>
              </w:rPr>
            </w:pPr>
          </w:p>
        </w:tc>
        <w:tc>
          <w:tcPr>
            <w:tcW w:w="2756" w:type="dxa"/>
            <w:tcBorders>
              <w:top w:val="single" w:color="000000" w:sz="2" w:space="0"/>
              <w:left w:val="single" w:color="000000" w:sz="2" w:space="0"/>
              <w:bottom w:val="single" w:color="000000" w:sz="2" w:space="0"/>
              <w:right w:val="single" w:color="000000" w:sz="2" w:space="0"/>
            </w:tcBorders>
            <w:vAlign w:val="center"/>
          </w:tcPr>
          <w:p w14:paraId="2DAC74B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cs="Times New Roman"/>
                <w:b/>
                <w:bCs/>
                <w:color w:val="000000"/>
                <w:kern w:val="0"/>
                <w:sz w:val="21"/>
                <w:szCs w:val="21"/>
                <w:highlight w:val="none"/>
                <w:lang w:val="en-US" w:eastAsia="zh-CN"/>
              </w:rPr>
            </w:pPr>
            <w:r>
              <w:rPr>
                <w:rFonts w:hint="default" w:ascii="Times New Roman" w:hAnsi="Times New Roman" w:cs="Times New Roman"/>
                <w:b/>
                <w:bCs/>
                <w:color w:val="000000"/>
                <w:kern w:val="0"/>
                <w:sz w:val="21"/>
                <w:szCs w:val="21"/>
                <w:highlight w:val="none"/>
                <w:lang w:val="en-US" w:eastAsia="zh-CN"/>
              </w:rPr>
              <w:t>颗粒活性炭</w:t>
            </w:r>
          </w:p>
        </w:tc>
        <w:tc>
          <w:tcPr>
            <w:tcW w:w="2744" w:type="dxa"/>
            <w:gridSpan w:val="2"/>
            <w:tcBorders>
              <w:top w:val="single" w:color="000000" w:sz="2" w:space="0"/>
              <w:left w:val="single" w:color="000000" w:sz="2" w:space="0"/>
              <w:bottom w:val="single" w:color="000000" w:sz="2" w:space="0"/>
              <w:right w:val="single" w:color="000000" w:sz="2" w:space="0"/>
            </w:tcBorders>
            <w:vAlign w:val="center"/>
          </w:tcPr>
          <w:p w14:paraId="1B5C248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cs="Times New Roman"/>
                <w:b/>
                <w:bCs/>
                <w:color w:val="000000"/>
                <w:kern w:val="0"/>
                <w:sz w:val="21"/>
                <w:szCs w:val="21"/>
                <w:highlight w:val="none"/>
                <w:lang w:val="en-US" w:eastAsia="zh-CN"/>
              </w:rPr>
            </w:pPr>
            <w:r>
              <w:rPr>
                <w:rFonts w:hint="default" w:ascii="Times New Roman" w:hAnsi="Times New Roman" w:cs="Times New Roman"/>
                <w:b/>
                <w:bCs/>
                <w:color w:val="000000"/>
                <w:kern w:val="0"/>
                <w:sz w:val="21"/>
                <w:szCs w:val="21"/>
                <w:highlight w:val="none"/>
                <w:lang w:val="en-US" w:eastAsia="zh-CN"/>
              </w:rPr>
              <w:t>蜂窝活性炭</w:t>
            </w:r>
          </w:p>
        </w:tc>
      </w:tr>
      <w:tr w14:paraId="7062841B">
        <w:tblPrEx>
          <w:tblBorders>
            <w:top w:val="single" w:color="000000" w:sz="10" w:space="0"/>
            <w:left w:val="single" w:color="000000" w:sz="10" w:space="0"/>
            <w:bottom w:val="single" w:color="000000" w:sz="10" w:space="0"/>
            <w:right w:val="single" w:color="000000" w:sz="10" w:space="0"/>
            <w:insideH w:val="single" w:color="000000" w:sz="10" w:space="0"/>
            <w:insideV w:val="single" w:color="000000" w:sz="10" w:space="0"/>
          </w:tblBorders>
          <w:tblCellMar>
            <w:top w:w="0" w:type="dxa"/>
            <w:left w:w="0" w:type="dxa"/>
            <w:bottom w:w="0" w:type="dxa"/>
            <w:right w:w="0" w:type="dxa"/>
          </w:tblCellMar>
        </w:tblPrEx>
        <w:trPr>
          <w:trHeight w:val="279" w:hRule="atLeast"/>
        </w:trPr>
        <w:tc>
          <w:tcPr>
            <w:tcW w:w="3399" w:type="dxa"/>
            <w:tcBorders>
              <w:top w:val="single" w:color="000000" w:sz="2" w:space="0"/>
              <w:left w:val="single" w:color="000000" w:sz="2" w:space="0"/>
              <w:bottom w:val="single" w:color="000000" w:sz="2" w:space="0"/>
              <w:right w:val="single" w:color="000000" w:sz="2" w:space="0"/>
            </w:tcBorders>
            <w:vAlign w:val="top"/>
          </w:tcPr>
          <w:p w14:paraId="48CCF55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碘值/（mg/g）</w:t>
            </w:r>
          </w:p>
        </w:tc>
        <w:tc>
          <w:tcPr>
            <w:tcW w:w="2760" w:type="dxa"/>
            <w:gridSpan w:val="2"/>
            <w:tcBorders>
              <w:top w:val="single" w:color="000000" w:sz="2" w:space="0"/>
              <w:left w:val="single" w:color="000000" w:sz="2" w:space="0"/>
              <w:bottom w:val="single" w:color="000000" w:sz="2" w:space="0"/>
              <w:right w:val="single" w:color="000000" w:sz="2" w:space="0"/>
            </w:tcBorders>
            <w:vAlign w:val="top"/>
          </w:tcPr>
          <w:p w14:paraId="0610400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≥800</w:t>
            </w:r>
          </w:p>
        </w:tc>
        <w:tc>
          <w:tcPr>
            <w:tcW w:w="2740" w:type="dxa"/>
            <w:tcBorders>
              <w:top w:val="single" w:color="000000" w:sz="2" w:space="0"/>
              <w:left w:val="single" w:color="000000" w:sz="2" w:space="0"/>
              <w:bottom w:val="single" w:color="000000" w:sz="2" w:space="0"/>
              <w:right w:val="single" w:color="000000" w:sz="2" w:space="0"/>
            </w:tcBorders>
            <w:vAlign w:val="top"/>
          </w:tcPr>
          <w:p w14:paraId="5A100EF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≥650</w:t>
            </w:r>
          </w:p>
        </w:tc>
      </w:tr>
    </w:tbl>
    <w:p w14:paraId="65153ECC">
      <w:pPr>
        <w:keepNext/>
        <w:keepLines w:val="0"/>
        <w:pageBreakBefore w:val="0"/>
        <w:widowControl w:val="0"/>
        <w:numPr>
          <w:ilvl w:val="0"/>
          <w:numId w:val="7"/>
        </w:numPr>
        <w:kinsoku/>
        <w:wordWrap/>
        <w:overflowPunct/>
        <w:topLinePunct w:val="0"/>
        <w:autoSpaceDE/>
        <w:autoSpaceDN/>
        <w:bidi w:val="0"/>
        <w:adjustRightInd/>
        <w:snapToGrid/>
        <w:ind w:left="0" w:leftChars="0" w:firstLine="480" w:firstLineChars="200"/>
        <w:textAlignment w:val="auto"/>
        <w:rPr>
          <w:rFonts w:hint="default"/>
          <w:highlight w:val="none"/>
          <w:lang w:val="en-US" w:eastAsia="zh-CN"/>
        </w:rPr>
      </w:pPr>
      <w:r>
        <w:rPr>
          <w:rFonts w:hint="default"/>
          <w:highlight w:val="none"/>
          <w:lang w:val="en-US" w:eastAsia="zh-CN"/>
        </w:rPr>
        <w:t>贮存易产生VOCs的危险废物贮存库，应设置气体收集装置和气体净化设施。</w:t>
      </w:r>
    </w:p>
    <w:p w14:paraId="6EFF26F0">
      <w:pPr>
        <w:keepNext/>
        <w:keepLines w:val="0"/>
        <w:pageBreakBefore w:val="0"/>
        <w:widowControl w:val="0"/>
        <w:numPr>
          <w:ilvl w:val="0"/>
          <w:numId w:val="7"/>
        </w:numPr>
        <w:kinsoku/>
        <w:wordWrap/>
        <w:overflowPunct/>
        <w:topLinePunct w:val="0"/>
        <w:autoSpaceDE/>
        <w:autoSpaceDN/>
        <w:bidi w:val="0"/>
        <w:adjustRightInd/>
        <w:snapToGrid/>
        <w:ind w:left="0" w:leftChars="0" w:firstLine="480" w:firstLineChars="200"/>
        <w:textAlignment w:val="auto"/>
        <w:rPr>
          <w:rFonts w:hint="default"/>
          <w:highlight w:val="none"/>
          <w:lang w:val="en-US" w:eastAsia="zh-CN"/>
        </w:rPr>
      </w:pPr>
      <w:r>
        <w:rPr>
          <w:rFonts w:hint="eastAsia"/>
          <w:highlight w:val="none"/>
          <w:lang w:val="en-US" w:eastAsia="zh-CN"/>
        </w:rPr>
        <w:t>汽车维修企业不应设置废气排放旁路、不得稀释排放。</w:t>
      </w:r>
    </w:p>
    <w:p w14:paraId="066FB16B">
      <w:pPr>
        <w:pStyle w:val="3"/>
        <w:keepNext/>
        <w:keepLines w:val="0"/>
        <w:pageBreakBefore w:val="0"/>
        <w:widowControl w:val="0"/>
        <w:kinsoku/>
        <w:wordWrap/>
        <w:autoSpaceDE/>
        <w:autoSpaceDN/>
        <w:bidi w:val="0"/>
        <w:rPr>
          <w:rFonts w:hint="default"/>
          <w:highlight w:val="none"/>
          <w:lang w:val="en-US" w:eastAsia="zh-CN"/>
        </w:rPr>
      </w:pPr>
      <w:bookmarkStart w:id="129" w:name="_Toc29296"/>
      <w:bookmarkStart w:id="130" w:name="_Toc4894"/>
      <w:r>
        <w:rPr>
          <w:rFonts w:hint="eastAsia"/>
          <w:highlight w:val="none"/>
          <w:lang w:val="en-US" w:eastAsia="zh-CN"/>
        </w:rPr>
        <w:t>无组织排放控制要求</w:t>
      </w:r>
      <w:bookmarkEnd w:id="129"/>
      <w:bookmarkEnd w:id="130"/>
    </w:p>
    <w:p w14:paraId="5314968E">
      <w:pPr>
        <w:pStyle w:val="4"/>
        <w:keepNext/>
        <w:keepLines w:val="0"/>
        <w:pageBreakBefore w:val="0"/>
        <w:widowControl w:val="0"/>
        <w:kinsoku/>
        <w:wordWrap/>
        <w:autoSpaceDE/>
        <w:autoSpaceDN/>
        <w:bidi w:val="0"/>
        <w:rPr>
          <w:rFonts w:hint="eastAsia" w:ascii="Times New Roman" w:hAnsi="Times New Roman" w:eastAsia="宋体" w:cs="Times New Roman"/>
          <w:b w:val="0"/>
          <w:bCs w:val="0"/>
          <w:color w:val="auto"/>
          <w:kern w:val="0"/>
          <w:sz w:val="24"/>
          <w:szCs w:val="21"/>
          <w:highlight w:val="none"/>
          <w:lang w:val="zh-CN" w:eastAsia="zh-CN" w:bidi="ar-SA"/>
        </w:rPr>
      </w:pPr>
      <w:bookmarkStart w:id="131" w:name="_Toc19320"/>
      <w:bookmarkStart w:id="132" w:name="_Toc10730"/>
      <w:bookmarkStart w:id="133" w:name="_Toc15119"/>
      <w:r>
        <w:rPr>
          <w:rFonts w:hint="default"/>
          <w:highlight w:val="none"/>
        </w:rPr>
        <w:t>污染物无组织排放限值要求及其确定</w:t>
      </w:r>
      <w:bookmarkEnd w:id="131"/>
      <w:bookmarkEnd w:id="132"/>
      <w:bookmarkEnd w:id="133"/>
    </w:p>
    <w:p w14:paraId="47973CFB">
      <w:pPr>
        <w:keepNext/>
        <w:keepLines w:val="0"/>
        <w:pageBreakBefore w:val="0"/>
        <w:widowControl w:val="0"/>
        <w:kinsoku/>
        <w:wordWrap/>
        <w:autoSpaceDE/>
        <w:autoSpaceDN/>
        <w:bidi w:val="0"/>
        <w:rPr>
          <w:rFonts w:hint="eastAsia"/>
          <w:highlight w:val="none"/>
          <w:lang w:val="zh-CN" w:eastAsia="zh-CN"/>
        </w:rPr>
      </w:pPr>
      <w:r>
        <w:rPr>
          <w:rFonts w:hint="eastAsia"/>
          <w:highlight w:val="none"/>
          <w:lang w:val="en-US" w:eastAsia="zh-CN"/>
        </w:rPr>
        <w:t>厂区内无组织排放监控点VOCs浓度应执行表7.6-1规定的限值</w:t>
      </w:r>
      <w:r>
        <w:rPr>
          <w:rFonts w:hint="eastAsia"/>
          <w:highlight w:val="none"/>
          <w:lang w:val="zh-CN" w:eastAsia="zh-CN"/>
        </w:rPr>
        <w:t>。</w:t>
      </w:r>
    </w:p>
    <w:p w14:paraId="2B1DFFBD">
      <w:pPr>
        <w:keepNext/>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Times New Roman" w:hAnsi="Times New Roman" w:cs="Times New Roman"/>
          <w:kern w:val="0"/>
          <w:szCs w:val="21"/>
          <w:highlight w:val="none"/>
          <w:lang w:val="en-US" w:eastAsia="zh-CN"/>
        </w:rPr>
      </w:pPr>
      <w:r>
        <w:rPr>
          <w:rFonts w:hint="eastAsia" w:ascii="Times New Roman" w:hAnsi="Times New Roman" w:cs="Times New Roman"/>
          <w:kern w:val="0"/>
          <w:szCs w:val="21"/>
          <w:highlight w:val="none"/>
          <w:lang w:val="en-US" w:eastAsia="zh-CN"/>
        </w:rPr>
        <w:t>表</w:t>
      </w:r>
      <w:r>
        <w:rPr>
          <w:rFonts w:hint="eastAsia" w:cs="Times New Roman"/>
          <w:kern w:val="0"/>
          <w:szCs w:val="21"/>
          <w:highlight w:val="none"/>
          <w:lang w:val="en-US" w:eastAsia="zh-CN"/>
        </w:rPr>
        <w:t>7.6</w:t>
      </w:r>
      <w:r>
        <w:rPr>
          <w:rFonts w:hint="eastAsia" w:ascii="Times New Roman" w:hAnsi="Times New Roman" w:cs="Times New Roman"/>
          <w:kern w:val="0"/>
          <w:szCs w:val="21"/>
          <w:highlight w:val="none"/>
          <w:lang w:val="en-US" w:eastAsia="zh-CN"/>
        </w:rPr>
        <w:t>-1</w:t>
      </w:r>
      <w:r>
        <w:rPr>
          <w:rFonts w:hint="eastAsia" w:cs="Times New Roman"/>
          <w:kern w:val="0"/>
          <w:szCs w:val="21"/>
          <w:highlight w:val="none"/>
          <w:lang w:val="en-US" w:eastAsia="zh-CN"/>
        </w:rPr>
        <w:t xml:space="preserve"> </w:t>
      </w:r>
      <w:r>
        <w:rPr>
          <w:rFonts w:hint="eastAsia" w:ascii="Times New Roman" w:hAnsi="Times New Roman" w:cs="Times New Roman"/>
          <w:kern w:val="0"/>
          <w:szCs w:val="21"/>
          <w:highlight w:val="none"/>
          <w:lang w:val="en-US" w:eastAsia="zh-CN"/>
        </w:rPr>
        <w:t>厂区内VOCs无组织排放限值</w:t>
      </w:r>
    </w:p>
    <w:p w14:paraId="2E442750">
      <w:pPr>
        <w:keepNext/>
        <w:keepLines w:val="0"/>
        <w:pageBreakBefore w:val="0"/>
        <w:widowControl w:val="0"/>
        <w:kinsoku/>
        <w:wordWrap/>
        <w:overflowPunct/>
        <w:topLinePunct w:val="0"/>
        <w:autoSpaceDE/>
        <w:autoSpaceDN/>
        <w:bidi w:val="0"/>
        <w:snapToGrid/>
        <w:spacing w:line="340" w:lineRule="exact"/>
        <w:ind w:right="630" w:firstLine="2160" w:firstLineChars="900"/>
        <w:jc w:val="right"/>
        <w:rPr>
          <w:rFonts w:hint="eastAsia"/>
          <w:color w:val="auto"/>
          <w:szCs w:val="21"/>
          <w:highlight w:val="none"/>
          <w:vertAlign w:val="superscript"/>
        </w:rPr>
      </w:pPr>
      <w:r>
        <w:rPr>
          <w:rFonts w:hint="eastAsia"/>
          <w:color w:val="auto"/>
          <w:szCs w:val="21"/>
          <w:highlight w:val="none"/>
        </w:rPr>
        <w:t>单位：mg/m</w:t>
      </w:r>
      <w:r>
        <w:rPr>
          <w:rFonts w:hint="eastAsia"/>
          <w:color w:val="auto"/>
          <w:szCs w:val="21"/>
          <w:highlight w:val="none"/>
          <w:vertAlign w:val="superscript"/>
        </w:rPr>
        <w:t>3</w:t>
      </w:r>
    </w:p>
    <w:tbl>
      <w:tblPr>
        <w:tblStyle w:val="22"/>
        <w:tblW w:w="5065"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2712"/>
        <w:gridCol w:w="1808"/>
        <w:gridCol w:w="4119"/>
      </w:tblGrid>
      <w:tr w14:paraId="3227AF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14" w:hRule="atLeast"/>
          <w:jc w:val="center"/>
        </w:trPr>
        <w:tc>
          <w:tcPr>
            <w:tcW w:w="1569" w:type="pct"/>
            <w:vAlign w:val="center"/>
          </w:tcPr>
          <w:p w14:paraId="18ECE741">
            <w:pPr>
              <w:keepNext/>
              <w:keepLines w:val="0"/>
              <w:pageBreakBefore w:val="0"/>
              <w:widowControl w:val="0"/>
              <w:kinsoku/>
              <w:wordWrap/>
              <w:overflowPunct/>
              <w:topLinePunct w:val="0"/>
              <w:autoSpaceDE/>
              <w:autoSpaceDN/>
              <w:bidi w:val="0"/>
              <w:snapToGrid/>
              <w:spacing w:line="240" w:lineRule="auto"/>
              <w:ind w:firstLine="0" w:firstLineChars="0"/>
              <w:jc w:val="center"/>
              <w:rPr>
                <w:rFonts w:ascii="Times New Roman"/>
                <w:color w:val="auto"/>
                <w:szCs w:val="21"/>
                <w:highlight w:val="none"/>
              </w:rPr>
            </w:pPr>
            <w:r>
              <w:rPr>
                <w:rFonts w:ascii="Times New Roman"/>
                <w:color w:val="auto"/>
                <w:szCs w:val="21"/>
                <w:highlight w:val="none"/>
              </w:rPr>
              <w:t>污染物项目</w:t>
            </w:r>
          </w:p>
        </w:tc>
        <w:tc>
          <w:tcPr>
            <w:tcW w:w="1046" w:type="pct"/>
            <w:vAlign w:val="center"/>
          </w:tcPr>
          <w:p w14:paraId="3345FCC7">
            <w:pPr>
              <w:keepNext/>
              <w:keepLines w:val="0"/>
              <w:pageBreakBefore w:val="0"/>
              <w:widowControl w:val="0"/>
              <w:kinsoku/>
              <w:wordWrap/>
              <w:overflowPunct/>
              <w:topLinePunct w:val="0"/>
              <w:autoSpaceDE/>
              <w:autoSpaceDN/>
              <w:bidi w:val="0"/>
              <w:snapToGrid/>
              <w:spacing w:line="240" w:lineRule="auto"/>
              <w:ind w:firstLine="0" w:firstLineChars="0"/>
              <w:jc w:val="center"/>
              <w:rPr>
                <w:rFonts w:ascii="Times New Roman"/>
                <w:color w:val="auto"/>
                <w:szCs w:val="21"/>
                <w:highlight w:val="none"/>
              </w:rPr>
            </w:pPr>
            <w:r>
              <w:rPr>
                <w:rFonts w:ascii="Times New Roman"/>
                <w:color w:val="auto"/>
                <w:szCs w:val="21"/>
                <w:highlight w:val="none"/>
              </w:rPr>
              <w:t>排放限值</w:t>
            </w:r>
          </w:p>
        </w:tc>
        <w:tc>
          <w:tcPr>
            <w:tcW w:w="2383" w:type="pct"/>
            <w:vAlign w:val="center"/>
          </w:tcPr>
          <w:p w14:paraId="530E73CB">
            <w:pPr>
              <w:keepNext/>
              <w:keepLines w:val="0"/>
              <w:pageBreakBefore w:val="0"/>
              <w:widowControl w:val="0"/>
              <w:kinsoku/>
              <w:wordWrap/>
              <w:overflowPunct/>
              <w:topLinePunct w:val="0"/>
              <w:autoSpaceDE/>
              <w:autoSpaceDN/>
              <w:bidi w:val="0"/>
              <w:snapToGrid/>
              <w:spacing w:line="240" w:lineRule="auto"/>
              <w:ind w:firstLine="0" w:firstLineChars="0"/>
              <w:jc w:val="center"/>
              <w:rPr>
                <w:rFonts w:ascii="Times New Roman"/>
                <w:color w:val="auto"/>
                <w:szCs w:val="21"/>
                <w:highlight w:val="none"/>
              </w:rPr>
            </w:pPr>
            <w:r>
              <w:rPr>
                <w:rFonts w:ascii="Times New Roman"/>
                <w:color w:val="auto"/>
                <w:szCs w:val="21"/>
                <w:highlight w:val="none"/>
              </w:rPr>
              <w:t>限值含义</w:t>
            </w:r>
          </w:p>
        </w:tc>
      </w:tr>
      <w:tr w14:paraId="60943A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8" w:hRule="atLeast"/>
          <w:jc w:val="center"/>
        </w:trPr>
        <w:tc>
          <w:tcPr>
            <w:tcW w:w="1569" w:type="pct"/>
            <w:vMerge w:val="restart"/>
            <w:vAlign w:val="center"/>
          </w:tcPr>
          <w:p w14:paraId="0266B0E1">
            <w:pPr>
              <w:keepNext/>
              <w:keepLines w:val="0"/>
              <w:pageBreakBefore w:val="0"/>
              <w:widowControl w:val="0"/>
              <w:kinsoku/>
              <w:wordWrap/>
              <w:overflowPunct/>
              <w:topLinePunct w:val="0"/>
              <w:autoSpaceDE/>
              <w:autoSpaceDN/>
              <w:bidi w:val="0"/>
              <w:snapToGrid/>
              <w:spacing w:line="240" w:lineRule="auto"/>
              <w:ind w:firstLine="0" w:firstLineChars="0"/>
              <w:jc w:val="center"/>
              <w:rPr>
                <w:rFonts w:hint="eastAsia" w:ascii="Times New Roman" w:eastAsia="宋体"/>
                <w:color w:val="auto"/>
                <w:szCs w:val="21"/>
                <w:highlight w:val="none"/>
                <w:lang w:eastAsia="zh-CN"/>
              </w:rPr>
            </w:pPr>
            <w:r>
              <w:rPr>
                <w:rFonts w:hint="eastAsia"/>
                <w:color w:val="auto"/>
                <w:szCs w:val="21"/>
                <w:highlight w:val="none"/>
                <w:lang w:val="en-US" w:eastAsia="zh-CN"/>
              </w:rPr>
              <w:t>NMHC</w:t>
            </w:r>
          </w:p>
        </w:tc>
        <w:tc>
          <w:tcPr>
            <w:tcW w:w="1046" w:type="pct"/>
            <w:vAlign w:val="center"/>
          </w:tcPr>
          <w:p w14:paraId="580C3E89">
            <w:pPr>
              <w:keepNext/>
              <w:keepLines w:val="0"/>
              <w:pageBreakBefore w:val="0"/>
              <w:widowControl w:val="0"/>
              <w:kinsoku/>
              <w:wordWrap/>
              <w:overflowPunct/>
              <w:topLinePunct w:val="0"/>
              <w:autoSpaceDE/>
              <w:autoSpaceDN/>
              <w:bidi w:val="0"/>
              <w:snapToGrid/>
              <w:spacing w:line="240" w:lineRule="auto"/>
              <w:ind w:firstLine="0" w:firstLineChars="0"/>
              <w:jc w:val="center"/>
              <w:rPr>
                <w:rFonts w:hint="eastAsia" w:ascii="Times New Roman" w:eastAsia="宋体"/>
                <w:color w:val="auto"/>
                <w:szCs w:val="21"/>
                <w:highlight w:val="none"/>
                <w:lang w:eastAsia="zh-CN"/>
              </w:rPr>
            </w:pPr>
            <w:r>
              <w:rPr>
                <w:rFonts w:hint="eastAsia"/>
                <w:color w:val="auto"/>
                <w:szCs w:val="21"/>
                <w:highlight w:val="none"/>
                <w:lang w:val="en-US" w:eastAsia="zh-CN"/>
              </w:rPr>
              <w:t>2</w:t>
            </w:r>
          </w:p>
        </w:tc>
        <w:tc>
          <w:tcPr>
            <w:tcW w:w="2383" w:type="pct"/>
            <w:vAlign w:val="center"/>
          </w:tcPr>
          <w:p w14:paraId="44816554">
            <w:pPr>
              <w:keepNext/>
              <w:keepLines w:val="0"/>
              <w:pageBreakBefore w:val="0"/>
              <w:widowControl w:val="0"/>
              <w:kinsoku/>
              <w:wordWrap/>
              <w:overflowPunct/>
              <w:topLinePunct w:val="0"/>
              <w:autoSpaceDE/>
              <w:autoSpaceDN/>
              <w:bidi w:val="0"/>
              <w:snapToGrid/>
              <w:spacing w:line="240" w:lineRule="auto"/>
              <w:ind w:firstLine="0" w:firstLineChars="0"/>
              <w:jc w:val="center"/>
              <w:rPr>
                <w:rFonts w:hint="default" w:ascii="Times New Roman" w:eastAsia="宋体"/>
                <w:color w:val="auto"/>
                <w:szCs w:val="21"/>
                <w:highlight w:val="none"/>
                <w:lang w:val="en-US" w:eastAsia="zh-CN"/>
              </w:rPr>
            </w:pPr>
            <w:r>
              <w:rPr>
                <w:rFonts w:ascii="Times New Roman"/>
                <w:color w:val="auto"/>
                <w:szCs w:val="21"/>
                <w:highlight w:val="none"/>
              </w:rPr>
              <w:t>监控点处1小时</w:t>
            </w:r>
            <w:r>
              <w:rPr>
                <w:rFonts w:hint="eastAsia"/>
                <w:color w:val="auto"/>
                <w:szCs w:val="21"/>
                <w:highlight w:val="none"/>
                <w:lang w:eastAsia="zh-CN"/>
              </w:rPr>
              <w:t>（</w:t>
            </w:r>
            <w:r>
              <w:rPr>
                <w:rFonts w:hint="eastAsia"/>
                <w:color w:val="auto"/>
                <w:szCs w:val="21"/>
                <w:highlight w:val="none"/>
                <w:lang w:val="en-US" w:eastAsia="zh-CN"/>
              </w:rPr>
              <w:t>或1小时内</w:t>
            </w:r>
            <w:r>
              <w:rPr>
                <w:rFonts w:hint="eastAsia"/>
                <w:color w:val="auto"/>
                <w:szCs w:val="21"/>
                <w:highlight w:val="none"/>
                <w:lang w:eastAsia="zh-CN"/>
              </w:rPr>
              <w:t>）</w:t>
            </w:r>
            <w:r>
              <w:rPr>
                <w:rFonts w:ascii="Times New Roman"/>
                <w:color w:val="auto"/>
                <w:szCs w:val="21"/>
                <w:highlight w:val="none"/>
              </w:rPr>
              <w:t>平均浓度值</w:t>
            </w:r>
          </w:p>
        </w:tc>
      </w:tr>
      <w:tr w14:paraId="1487DF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6" w:hRule="atLeast"/>
          <w:jc w:val="center"/>
        </w:trPr>
        <w:tc>
          <w:tcPr>
            <w:tcW w:w="1569" w:type="pct"/>
            <w:vMerge w:val="continue"/>
            <w:vAlign w:val="center"/>
          </w:tcPr>
          <w:p w14:paraId="25703298">
            <w:pPr>
              <w:keepNext/>
              <w:keepLines w:val="0"/>
              <w:pageBreakBefore w:val="0"/>
              <w:widowControl w:val="0"/>
              <w:kinsoku/>
              <w:wordWrap/>
              <w:overflowPunct/>
              <w:topLinePunct w:val="0"/>
              <w:autoSpaceDE/>
              <w:autoSpaceDN/>
              <w:bidi w:val="0"/>
              <w:snapToGrid/>
              <w:spacing w:line="240" w:lineRule="auto"/>
              <w:ind w:firstLine="0" w:firstLineChars="0"/>
              <w:jc w:val="center"/>
              <w:rPr>
                <w:rFonts w:ascii="Times New Roman"/>
                <w:color w:val="auto"/>
                <w:szCs w:val="21"/>
                <w:highlight w:val="none"/>
              </w:rPr>
            </w:pPr>
          </w:p>
        </w:tc>
        <w:tc>
          <w:tcPr>
            <w:tcW w:w="1046" w:type="pct"/>
            <w:vAlign w:val="center"/>
          </w:tcPr>
          <w:p w14:paraId="22B8086A">
            <w:pPr>
              <w:keepNext/>
              <w:keepLines w:val="0"/>
              <w:pageBreakBefore w:val="0"/>
              <w:widowControl w:val="0"/>
              <w:kinsoku/>
              <w:wordWrap/>
              <w:overflowPunct/>
              <w:topLinePunct w:val="0"/>
              <w:autoSpaceDE/>
              <w:autoSpaceDN/>
              <w:bidi w:val="0"/>
              <w:snapToGrid/>
              <w:spacing w:line="240" w:lineRule="auto"/>
              <w:ind w:firstLine="0" w:firstLineChars="0"/>
              <w:jc w:val="center"/>
              <w:rPr>
                <w:rFonts w:hint="eastAsia" w:ascii="Times New Roman" w:eastAsia="宋体"/>
                <w:color w:val="auto"/>
                <w:szCs w:val="21"/>
                <w:highlight w:val="none"/>
                <w:lang w:eastAsia="zh-CN"/>
              </w:rPr>
            </w:pPr>
            <w:r>
              <w:rPr>
                <w:rFonts w:hint="eastAsia"/>
                <w:color w:val="auto"/>
                <w:szCs w:val="21"/>
                <w:highlight w:val="none"/>
                <w:lang w:val="en-US" w:eastAsia="zh-CN"/>
              </w:rPr>
              <w:t>8</w:t>
            </w:r>
          </w:p>
        </w:tc>
        <w:tc>
          <w:tcPr>
            <w:tcW w:w="2383" w:type="pct"/>
            <w:vAlign w:val="center"/>
          </w:tcPr>
          <w:p w14:paraId="5C99FFE0">
            <w:pPr>
              <w:keepNext/>
              <w:keepLines w:val="0"/>
              <w:pageBreakBefore w:val="0"/>
              <w:widowControl w:val="0"/>
              <w:kinsoku/>
              <w:wordWrap/>
              <w:overflowPunct/>
              <w:topLinePunct w:val="0"/>
              <w:autoSpaceDE/>
              <w:autoSpaceDN/>
              <w:bidi w:val="0"/>
              <w:snapToGrid/>
              <w:spacing w:line="240" w:lineRule="auto"/>
              <w:ind w:firstLine="0" w:firstLineChars="0"/>
              <w:jc w:val="center"/>
              <w:rPr>
                <w:rFonts w:ascii="Times New Roman"/>
                <w:color w:val="auto"/>
                <w:szCs w:val="21"/>
                <w:highlight w:val="none"/>
              </w:rPr>
            </w:pPr>
            <w:r>
              <w:rPr>
                <w:rFonts w:ascii="Times New Roman"/>
                <w:color w:val="auto"/>
                <w:szCs w:val="21"/>
                <w:highlight w:val="none"/>
              </w:rPr>
              <w:t>监控点处任意一次浓度值</w:t>
            </w:r>
          </w:p>
        </w:tc>
      </w:tr>
    </w:tbl>
    <w:p w14:paraId="6FDD9A9C">
      <w:pPr>
        <w:pStyle w:val="5"/>
        <w:keepNext/>
        <w:keepLines w:val="0"/>
        <w:pageBreakBefore w:val="0"/>
        <w:widowControl w:val="0"/>
        <w:kinsoku/>
        <w:wordWrap/>
        <w:autoSpaceDE/>
        <w:autoSpaceDN/>
        <w:bidi w:val="0"/>
        <w:rPr>
          <w:rFonts w:hint="default"/>
          <w:highlight w:val="none"/>
        </w:rPr>
      </w:pPr>
      <w:bookmarkStart w:id="134" w:name="_Toc16360"/>
      <w:bookmarkStart w:id="135" w:name="_Toc14252"/>
      <w:r>
        <w:rPr>
          <w:rFonts w:hint="default"/>
          <w:highlight w:val="none"/>
        </w:rPr>
        <w:t>非甲烷总烃</w:t>
      </w:r>
      <w:bookmarkEnd w:id="134"/>
    </w:p>
    <w:p w14:paraId="67342177">
      <w:pPr>
        <w:keepNext/>
        <w:keepLines w:val="0"/>
        <w:pageBreakBefore w:val="0"/>
        <w:widowControl w:val="0"/>
        <w:kinsoku/>
        <w:wordWrap/>
        <w:autoSpaceDE/>
        <w:autoSpaceDN/>
        <w:bidi w:val="0"/>
        <w:rPr>
          <w:rFonts w:hint="default" w:ascii="Times New Roman" w:hAnsi="Times New Roman" w:eastAsia="宋体" w:cs="Times New Roman"/>
          <w:b/>
          <w:bCs/>
          <w:highlight w:val="none"/>
          <w:lang w:val="en-US" w:eastAsia="zh-CN"/>
        </w:rPr>
      </w:pPr>
      <w:r>
        <w:rPr>
          <w:rFonts w:hint="default" w:ascii="Times New Roman" w:hAnsi="Times New Roman" w:cs="Times New Roman"/>
          <w:b/>
          <w:bCs/>
          <w:highlight w:val="none"/>
          <w:lang w:eastAsia="zh-CN"/>
        </w:rPr>
        <w:t>（</w:t>
      </w:r>
      <w:r>
        <w:rPr>
          <w:rFonts w:hint="default" w:ascii="Times New Roman" w:hAnsi="Times New Roman" w:cs="Times New Roman"/>
          <w:b/>
          <w:bCs/>
          <w:highlight w:val="none"/>
          <w:lang w:val="en-US" w:eastAsia="zh-CN"/>
        </w:rPr>
        <w:t>1</w:t>
      </w:r>
      <w:r>
        <w:rPr>
          <w:rFonts w:hint="default" w:ascii="Times New Roman" w:hAnsi="Times New Roman" w:cs="Times New Roman"/>
          <w:b/>
          <w:bCs/>
          <w:highlight w:val="none"/>
          <w:lang w:eastAsia="zh-CN"/>
        </w:rPr>
        <w:t>）</w:t>
      </w:r>
      <w:r>
        <w:rPr>
          <w:rFonts w:hint="eastAsia" w:ascii="Times New Roman" w:hAnsi="Times New Roman" w:cs="Times New Roman"/>
          <w:b/>
          <w:bCs/>
          <w:highlight w:val="none"/>
          <w:lang w:val="en-US" w:eastAsia="zh-CN"/>
        </w:rPr>
        <w:t>厂区</w:t>
      </w:r>
      <w:r>
        <w:rPr>
          <w:rFonts w:hint="default" w:ascii="Times New Roman" w:hAnsi="Times New Roman" w:cs="Times New Roman"/>
          <w:b/>
          <w:bCs/>
          <w:highlight w:val="none"/>
          <w:lang w:val="en-US" w:eastAsia="zh-CN"/>
        </w:rPr>
        <w:t>内任一浓度</w:t>
      </w:r>
    </w:p>
    <w:p w14:paraId="2EFE57C0">
      <w:pPr>
        <w:keepNext/>
        <w:keepLines w:val="0"/>
        <w:pageBreakBefore w:val="0"/>
        <w:widowControl w:val="0"/>
        <w:kinsoku/>
        <w:wordWrap/>
        <w:autoSpaceDE/>
        <w:autoSpaceDN/>
        <w:bidi w:val="0"/>
        <w:spacing w:line="360" w:lineRule="auto"/>
        <w:ind w:firstLine="480" w:firstLineChars="200"/>
        <w:rPr>
          <w:rFonts w:hint="default" w:ascii="Times New Roman" w:hAnsi="Times New Roman" w:cs="Times New Roman"/>
          <w:color w:val="000000"/>
          <w:kern w:val="0"/>
          <w:sz w:val="24"/>
          <w:highlight w:val="none"/>
          <w:lang w:val="en-US" w:eastAsia="zh-CN"/>
        </w:rPr>
      </w:pPr>
      <w:r>
        <w:rPr>
          <w:rFonts w:hint="default" w:ascii="Times New Roman" w:hAnsi="Times New Roman" w:cs="Times New Roman"/>
          <w:kern w:val="0"/>
          <w:sz w:val="24"/>
          <w:highlight w:val="none"/>
        </w:rPr>
        <w:t>在喷漆房外</w:t>
      </w:r>
      <w:r>
        <w:rPr>
          <w:rFonts w:hint="default" w:ascii="Times New Roman" w:hAnsi="Times New Roman" w:cs="Times New Roman"/>
          <w:sz w:val="24"/>
          <w:highlight w:val="none"/>
        </w:rPr>
        <w:t>1m设置无组织排放监测点处针对非甲烷总烃指标进行测试</w:t>
      </w:r>
      <w:r>
        <w:rPr>
          <w:rFonts w:hint="default" w:ascii="Times New Roman" w:hAnsi="Times New Roman" w:cs="Times New Roman"/>
          <w:kern w:val="0"/>
          <w:sz w:val="24"/>
          <w:highlight w:val="none"/>
        </w:rPr>
        <w:t>。</w:t>
      </w:r>
      <w:r>
        <w:rPr>
          <w:rFonts w:hint="default" w:ascii="Times New Roman" w:hAnsi="Times New Roman" w:cs="Times New Roman"/>
          <w:kern w:val="0"/>
          <w:sz w:val="24"/>
          <w:highlight w:val="none"/>
          <w:lang w:val="en-US" w:eastAsia="zh-CN"/>
        </w:rPr>
        <w:t>下表</w:t>
      </w:r>
      <w:r>
        <w:rPr>
          <w:rFonts w:hint="default" w:ascii="Times New Roman" w:hAnsi="Times New Roman" w:cs="Times New Roman"/>
          <w:kern w:val="0"/>
          <w:sz w:val="24"/>
          <w:highlight w:val="none"/>
        </w:rPr>
        <w:t>为</w:t>
      </w:r>
      <w:bookmarkStart w:id="136" w:name="_Hlk120642592"/>
      <w:r>
        <w:rPr>
          <w:rFonts w:hint="default" w:ascii="Times New Roman" w:hAnsi="Times New Roman" w:cs="Times New Roman"/>
          <w:kern w:val="0"/>
          <w:sz w:val="24"/>
          <w:highlight w:val="none"/>
        </w:rPr>
        <w:t>喷烤漆房外</w:t>
      </w:r>
      <w:bookmarkEnd w:id="136"/>
      <w:r>
        <w:rPr>
          <w:rFonts w:hint="default" w:ascii="Times New Roman" w:hAnsi="Times New Roman" w:cs="Times New Roman"/>
          <w:kern w:val="0"/>
          <w:sz w:val="24"/>
          <w:highlight w:val="none"/>
        </w:rPr>
        <w:t>非甲烷总烃无组织的排放浓度情况，</w:t>
      </w:r>
      <w:r>
        <w:rPr>
          <w:rFonts w:hint="default" w:ascii="Times New Roman" w:hAnsi="Times New Roman" w:cs="Times New Roman"/>
          <w:kern w:val="0"/>
          <w:sz w:val="24"/>
          <w:highlight w:val="none"/>
          <w:lang w:val="en-US" w:eastAsia="zh-CN"/>
        </w:rPr>
        <w:t>23个</w:t>
      </w:r>
      <w:r>
        <w:rPr>
          <w:rFonts w:hint="default" w:ascii="Times New Roman" w:hAnsi="Times New Roman" w:cs="Times New Roman"/>
          <w:kern w:val="0"/>
          <w:sz w:val="24"/>
          <w:highlight w:val="none"/>
        </w:rPr>
        <w:t>数据均来自于</w:t>
      </w:r>
      <w:r>
        <w:rPr>
          <w:rFonts w:hint="default" w:ascii="Times New Roman" w:hAnsi="Times New Roman" w:cs="Times New Roman"/>
          <w:highlight w:val="none"/>
          <w:lang w:val="en-US" w:eastAsia="zh-CN"/>
        </w:rPr>
        <w:t>编制组</w:t>
      </w:r>
      <w:r>
        <w:rPr>
          <w:rFonts w:hint="default" w:ascii="Times New Roman" w:hAnsi="Times New Roman" w:cs="Times New Roman"/>
          <w:kern w:val="0"/>
          <w:sz w:val="24"/>
          <w:highlight w:val="none"/>
        </w:rPr>
        <w:t>实测数据</w:t>
      </w:r>
      <w:r>
        <w:rPr>
          <w:rFonts w:hint="default" w:ascii="Times New Roman" w:hAnsi="Times New Roman" w:cs="Times New Roman"/>
          <w:sz w:val="24"/>
          <w:highlight w:val="none"/>
        </w:rPr>
        <w:t>。浓度范围在</w:t>
      </w:r>
      <w:r>
        <w:rPr>
          <w:rFonts w:hint="default" w:ascii="Times New Roman" w:hAnsi="Times New Roman" w:cs="Times New Roman"/>
          <w:sz w:val="24"/>
          <w:highlight w:val="none"/>
          <w:lang w:val="en-US" w:eastAsia="zh-CN"/>
        </w:rPr>
        <w:t>2.3</w:t>
      </w:r>
      <w:r>
        <w:rPr>
          <w:rFonts w:hint="default" w:ascii="Times New Roman" w:hAnsi="Times New Roman" w:cs="Times New Roman"/>
          <w:sz w:val="24"/>
          <w:highlight w:val="none"/>
        </w:rPr>
        <w:t>~</w:t>
      </w:r>
      <w:r>
        <w:rPr>
          <w:rFonts w:hint="default" w:ascii="Times New Roman" w:hAnsi="Times New Roman" w:cs="Times New Roman"/>
          <w:sz w:val="24"/>
          <w:highlight w:val="none"/>
          <w:lang w:val="en-US" w:eastAsia="zh-CN"/>
        </w:rPr>
        <w:t>35.5</w:t>
      </w:r>
      <w:r>
        <w:rPr>
          <w:rFonts w:hint="eastAsia" w:cs="Times New Roman"/>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sz w:val="24"/>
          <w:highlight w:val="none"/>
        </w:rPr>
        <w:t>《四川省固定源大气挥发性有机物排放标准》（DB51/2377</w:t>
      </w:r>
      <w:r>
        <w:rPr>
          <w:rFonts w:hint="eastAsia" w:ascii="Times New Roman" w:hAnsi="Times New Roman" w:cs="Times New Roman"/>
          <w:sz w:val="24"/>
          <w:highlight w:val="none"/>
          <w:lang w:eastAsia="zh-CN"/>
        </w:rPr>
        <w:t>—</w:t>
      </w:r>
      <w:r>
        <w:rPr>
          <w:rFonts w:hint="default" w:ascii="Times New Roman" w:hAnsi="Times New Roman" w:cs="Times New Roman"/>
          <w:sz w:val="24"/>
          <w:highlight w:val="none"/>
        </w:rPr>
        <w:t>20</w:t>
      </w:r>
      <w:r>
        <w:rPr>
          <w:rFonts w:hint="default" w:ascii="Times New Roman" w:hAnsi="Times New Roman" w:cs="Times New Roman"/>
          <w:sz w:val="24"/>
          <w:highlight w:val="none"/>
          <w:lang w:val="en-US" w:eastAsia="zh-CN"/>
        </w:rPr>
        <w:t>17</w:t>
      </w:r>
      <w:r>
        <w:rPr>
          <w:rFonts w:hint="default" w:ascii="Times New Roman" w:hAnsi="Times New Roman" w:cs="Times New Roman"/>
          <w:sz w:val="24"/>
          <w:highlight w:val="none"/>
        </w:rPr>
        <w:t>）非甲烷总烃无组织排放管控的标准要求</w:t>
      </w:r>
      <w:r>
        <w:rPr>
          <w:rFonts w:hint="default" w:ascii="Times New Roman" w:hAnsi="Times New Roman" w:cs="Times New Roman"/>
          <w:sz w:val="24"/>
          <w:highlight w:val="none"/>
          <w:lang w:val="en-US" w:eastAsia="zh-CN"/>
        </w:rPr>
        <w:t>针对厂界小时均值</w:t>
      </w:r>
      <w:r>
        <w:rPr>
          <w:rFonts w:hint="default" w:ascii="Times New Roman" w:hAnsi="Times New Roman" w:cs="Times New Roman"/>
          <w:sz w:val="24"/>
          <w:highlight w:val="none"/>
        </w:rPr>
        <w:t>，</w:t>
      </w:r>
      <w:r>
        <w:rPr>
          <w:rFonts w:hint="default" w:ascii="Times New Roman" w:hAnsi="Times New Roman" w:cs="Times New Roman"/>
          <w:sz w:val="24"/>
          <w:highlight w:val="none"/>
          <w:lang w:val="en-US" w:eastAsia="zh-CN"/>
        </w:rPr>
        <w:t>暂不对比</w:t>
      </w:r>
      <w:r>
        <w:rPr>
          <w:rFonts w:hint="default" w:ascii="Times New Roman" w:hAnsi="Times New Roman" w:cs="Times New Roman"/>
          <w:color w:val="000000"/>
          <w:kern w:val="0"/>
          <w:sz w:val="24"/>
          <w:highlight w:val="none"/>
          <w:lang w:val="en-US" w:eastAsia="zh-CN"/>
        </w:rPr>
        <w:t>。6个超过</w:t>
      </w:r>
      <w:r>
        <w:rPr>
          <w:rFonts w:hint="default" w:ascii="Times New Roman" w:hAnsi="Times New Roman" w:cs="Times New Roman"/>
          <w:sz w:val="24"/>
          <w:highlight w:val="none"/>
          <w:lang w:val="en-US" w:eastAsia="zh-CN"/>
        </w:rPr>
        <w:t>8</w:t>
      </w:r>
      <w:r>
        <w:rPr>
          <w:rFonts w:hint="eastAsia" w:cs="Times New Roman"/>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lang w:val="en-US" w:eastAsia="zh-CN"/>
        </w:rPr>
        <w:t>的企业4家为二类企业，三类、一类各1家。</w:t>
      </w:r>
    </w:p>
    <w:p w14:paraId="4EAF7282">
      <w:pPr>
        <w:keepNext/>
        <w:keepLines w:val="0"/>
        <w:pageBreakBefore w:val="0"/>
        <w:widowControl w:val="0"/>
        <w:kinsoku/>
        <w:wordWrap/>
        <w:autoSpaceDE/>
        <w:autoSpaceDN/>
        <w:bidi w:val="0"/>
        <w:spacing w:line="360" w:lineRule="auto"/>
        <w:ind w:firstLine="480" w:firstLineChars="200"/>
        <w:rPr>
          <w:rFonts w:hint="default" w:ascii="Times New Roman" w:hAnsi="Times New Roman" w:cs="Times New Roman"/>
          <w:color w:val="000000"/>
          <w:kern w:val="0"/>
          <w:sz w:val="24"/>
          <w:highlight w:val="none"/>
        </w:rPr>
      </w:pPr>
      <w:r>
        <w:rPr>
          <w:rFonts w:hint="default" w:ascii="Times New Roman" w:hAnsi="Times New Roman" w:cs="Times New Roman"/>
          <w:color w:val="000000"/>
          <w:kern w:val="0"/>
          <w:sz w:val="24"/>
          <w:highlight w:val="none"/>
        </w:rPr>
        <w:t>分</w:t>
      </w:r>
      <w:r>
        <w:rPr>
          <w:rFonts w:hint="default" w:ascii="Times New Roman" w:hAnsi="Times New Roman" w:cs="Times New Roman"/>
          <w:color w:val="000000"/>
          <w:kern w:val="0"/>
          <w:sz w:val="24"/>
          <w:highlight w:val="none"/>
          <w:lang w:eastAsia="zh-CN"/>
        </w:rPr>
        <w:t>汽车维修</w:t>
      </w:r>
      <w:r>
        <w:rPr>
          <w:rFonts w:hint="default" w:ascii="Times New Roman" w:hAnsi="Times New Roman" w:cs="Times New Roman"/>
          <w:color w:val="000000"/>
          <w:kern w:val="0"/>
          <w:sz w:val="24"/>
          <w:highlight w:val="none"/>
        </w:rPr>
        <w:t>等级来看</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rPr>
        <w:t>一类</w:t>
      </w:r>
      <w:r>
        <w:rPr>
          <w:rFonts w:hint="default" w:ascii="Times New Roman" w:hAnsi="Times New Roman" w:cs="Times New Roman"/>
          <w:color w:val="000000"/>
          <w:kern w:val="0"/>
          <w:sz w:val="24"/>
          <w:highlight w:val="none"/>
          <w:lang w:eastAsia="zh-CN"/>
        </w:rPr>
        <w:t>汽车维修</w:t>
      </w:r>
      <w:r>
        <w:rPr>
          <w:rFonts w:hint="default" w:ascii="Times New Roman" w:hAnsi="Times New Roman" w:cs="Times New Roman"/>
          <w:color w:val="000000"/>
          <w:kern w:val="0"/>
          <w:sz w:val="24"/>
          <w:highlight w:val="none"/>
        </w:rPr>
        <w:t>企业</w:t>
      </w:r>
      <w:r>
        <w:rPr>
          <w:rFonts w:hint="default" w:ascii="Times New Roman" w:hAnsi="Times New Roman" w:cs="Times New Roman"/>
          <w:color w:val="000000"/>
          <w:kern w:val="0"/>
          <w:sz w:val="24"/>
          <w:highlight w:val="none"/>
          <w:lang w:val="en-US" w:eastAsia="zh-CN"/>
        </w:rPr>
        <w:t>非甲烷总烃</w:t>
      </w:r>
      <w:r>
        <w:rPr>
          <w:rFonts w:hint="default" w:ascii="Times New Roman" w:hAnsi="Times New Roman" w:cs="Times New Roman"/>
          <w:color w:val="000000"/>
          <w:kern w:val="0"/>
          <w:sz w:val="24"/>
          <w:highlight w:val="none"/>
        </w:rPr>
        <w:t>的浓度范围在</w:t>
      </w:r>
      <w:r>
        <w:rPr>
          <w:rFonts w:hint="default" w:ascii="Times New Roman" w:hAnsi="Times New Roman" w:cs="Times New Roman"/>
          <w:color w:val="000000"/>
          <w:kern w:val="0"/>
          <w:sz w:val="24"/>
          <w:highlight w:val="none"/>
          <w:lang w:val="en-US" w:eastAsia="zh-CN"/>
        </w:rPr>
        <w:t>2.3</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val="en-US" w:eastAsia="zh-CN"/>
        </w:rPr>
        <w:t>12.3</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color w:val="000000"/>
          <w:kern w:val="0"/>
          <w:sz w:val="24"/>
          <w:highlight w:val="none"/>
          <w:lang w:val="en-US" w:eastAsia="zh-CN"/>
        </w:rPr>
        <w:t>平均浓度为5.7±3.9</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rPr>
        <w:t>二类</w:t>
      </w:r>
      <w:r>
        <w:rPr>
          <w:rFonts w:hint="default" w:ascii="Times New Roman" w:hAnsi="Times New Roman" w:cs="Times New Roman"/>
          <w:color w:val="000000"/>
          <w:kern w:val="0"/>
          <w:sz w:val="24"/>
          <w:highlight w:val="none"/>
          <w:lang w:eastAsia="zh-CN"/>
        </w:rPr>
        <w:t>汽车维修</w:t>
      </w:r>
      <w:r>
        <w:rPr>
          <w:rFonts w:hint="default" w:ascii="Times New Roman" w:hAnsi="Times New Roman" w:cs="Times New Roman"/>
          <w:color w:val="000000"/>
          <w:kern w:val="0"/>
          <w:sz w:val="24"/>
          <w:highlight w:val="none"/>
        </w:rPr>
        <w:t>企业的浓度范围在</w:t>
      </w:r>
      <w:r>
        <w:rPr>
          <w:rFonts w:hint="default" w:ascii="Times New Roman" w:hAnsi="Times New Roman" w:cs="Times New Roman"/>
          <w:color w:val="000000"/>
          <w:kern w:val="0"/>
          <w:sz w:val="24"/>
          <w:highlight w:val="none"/>
          <w:lang w:val="en-US" w:eastAsia="zh-CN"/>
        </w:rPr>
        <w:t>4.3</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val="en-US" w:eastAsia="zh-CN"/>
        </w:rPr>
        <w:t>35.5</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color w:val="000000"/>
          <w:kern w:val="0"/>
          <w:sz w:val="24"/>
          <w:highlight w:val="none"/>
          <w:lang w:val="en-US" w:eastAsia="zh-CN"/>
        </w:rPr>
        <w:t>平均浓度为8.6±7.8</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rPr>
        <w:t>三类</w:t>
      </w:r>
      <w:r>
        <w:rPr>
          <w:rFonts w:hint="default" w:ascii="Times New Roman" w:hAnsi="Times New Roman" w:cs="Times New Roman"/>
          <w:color w:val="000000"/>
          <w:kern w:val="0"/>
          <w:sz w:val="24"/>
          <w:highlight w:val="none"/>
          <w:lang w:eastAsia="zh-CN"/>
        </w:rPr>
        <w:t>汽车维修</w:t>
      </w:r>
      <w:r>
        <w:rPr>
          <w:rFonts w:hint="default" w:ascii="Times New Roman" w:hAnsi="Times New Roman" w:cs="Times New Roman"/>
          <w:color w:val="000000"/>
          <w:kern w:val="0"/>
          <w:sz w:val="24"/>
          <w:highlight w:val="none"/>
        </w:rPr>
        <w:t>企业的浓度范围在</w:t>
      </w:r>
      <w:r>
        <w:rPr>
          <w:rFonts w:hint="default" w:ascii="Times New Roman" w:hAnsi="Times New Roman" w:cs="Times New Roman"/>
          <w:color w:val="000000"/>
          <w:kern w:val="0"/>
          <w:sz w:val="24"/>
          <w:highlight w:val="none"/>
          <w:lang w:val="en-US" w:eastAsia="zh-CN"/>
        </w:rPr>
        <w:t>2.9</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val="en-US" w:eastAsia="zh-CN"/>
        </w:rPr>
        <w:t>20.0</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color w:val="000000"/>
          <w:kern w:val="0"/>
          <w:sz w:val="24"/>
          <w:highlight w:val="none"/>
          <w:lang w:val="en-US" w:eastAsia="zh-CN"/>
        </w:rPr>
        <w:t>平均浓度为9.2±9.4</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rPr>
        <w:t>整体来看</w:t>
      </w:r>
      <w:r>
        <w:rPr>
          <w:rFonts w:hint="default" w:ascii="Times New Roman" w:hAnsi="Times New Roman" w:cs="Times New Roman"/>
          <w:color w:val="000000"/>
          <w:kern w:val="0"/>
          <w:sz w:val="24"/>
          <w:highlight w:val="none"/>
          <w:lang w:val="en-US" w:eastAsia="zh-CN"/>
        </w:rPr>
        <w:t>三类</w:t>
      </w:r>
      <w:r>
        <w:rPr>
          <w:rFonts w:hint="default" w:ascii="Times New Roman" w:hAnsi="Times New Roman" w:cs="Times New Roman"/>
          <w:color w:val="000000"/>
          <w:kern w:val="0"/>
          <w:sz w:val="24"/>
          <w:highlight w:val="none"/>
          <w:lang w:eastAsia="zh-CN"/>
        </w:rPr>
        <w:t>汽车维修</w:t>
      </w:r>
      <w:r>
        <w:rPr>
          <w:rFonts w:hint="default" w:ascii="Times New Roman" w:hAnsi="Times New Roman" w:cs="Times New Roman"/>
          <w:color w:val="000000"/>
          <w:kern w:val="0"/>
          <w:sz w:val="24"/>
          <w:highlight w:val="none"/>
        </w:rPr>
        <w:t>企业</w:t>
      </w:r>
      <w:r>
        <w:rPr>
          <w:rFonts w:hint="default" w:ascii="Times New Roman" w:hAnsi="Times New Roman" w:cs="Times New Roman"/>
          <w:color w:val="000000"/>
          <w:kern w:val="0"/>
          <w:sz w:val="24"/>
          <w:highlight w:val="none"/>
          <w:lang w:val="en-US" w:eastAsia="zh-CN"/>
        </w:rPr>
        <w:t>无组织非甲烷总烃</w:t>
      </w:r>
      <w:r>
        <w:rPr>
          <w:rFonts w:hint="default" w:ascii="Times New Roman" w:hAnsi="Times New Roman" w:cs="Times New Roman"/>
          <w:color w:val="000000"/>
          <w:kern w:val="0"/>
          <w:sz w:val="24"/>
          <w:highlight w:val="none"/>
        </w:rPr>
        <w:t>的排放浓度相对较高</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lang w:val="en-US" w:eastAsia="zh-CN"/>
        </w:rPr>
        <w:t>不同汽修等级浓度分布见图</w:t>
      </w:r>
      <w:r>
        <w:rPr>
          <w:rFonts w:hint="eastAsia" w:cs="Times New Roman"/>
          <w:color w:val="000000"/>
          <w:kern w:val="0"/>
          <w:sz w:val="24"/>
          <w:highlight w:val="none"/>
          <w:lang w:val="en-US" w:eastAsia="zh-CN"/>
        </w:rPr>
        <w:t>7.6</w:t>
      </w:r>
      <w:r>
        <w:rPr>
          <w:rFonts w:hint="default" w:ascii="Times New Roman" w:hAnsi="Times New Roman" w:cs="Times New Roman"/>
          <w:color w:val="000000"/>
          <w:kern w:val="0"/>
          <w:sz w:val="24"/>
          <w:highlight w:val="none"/>
          <w:lang w:val="en-US" w:eastAsia="zh-CN"/>
        </w:rPr>
        <w:t>-1</w:t>
      </w:r>
      <w:r>
        <w:rPr>
          <w:rFonts w:hint="default" w:ascii="Times New Roman" w:hAnsi="Times New Roman" w:cs="Times New Roman"/>
          <w:color w:val="000000"/>
          <w:kern w:val="0"/>
          <w:sz w:val="24"/>
          <w:highlight w:val="none"/>
        </w:rPr>
        <w:t>。</w:t>
      </w:r>
    </w:p>
    <w:p w14:paraId="112EFB14">
      <w:pPr>
        <w:keepNext/>
        <w:keepLines w:val="0"/>
        <w:pageBreakBefore w:val="0"/>
        <w:widowControl w:val="0"/>
        <w:kinsoku/>
        <w:wordWrap/>
        <w:autoSpaceDE/>
        <w:autoSpaceDN/>
        <w:bidi w:val="0"/>
        <w:spacing w:line="360" w:lineRule="auto"/>
        <w:ind w:firstLine="480" w:firstLineChars="200"/>
        <w:rPr>
          <w:rFonts w:hint="default" w:ascii="Times New Roman" w:hAnsi="Times New Roman" w:cs="Times New Roman"/>
          <w:b/>
          <w:bCs/>
          <w:sz w:val="24"/>
          <w:highlight w:val="none"/>
        </w:rPr>
      </w:pPr>
      <w:r>
        <w:rPr>
          <w:rFonts w:hint="default" w:ascii="Times New Roman" w:hAnsi="Times New Roman" w:cs="Times New Roman"/>
          <w:sz w:val="24"/>
          <w:highlight w:val="none"/>
        </w:rPr>
        <w:t>经统计，</w:t>
      </w:r>
      <w:r>
        <w:rPr>
          <w:rFonts w:hint="default" w:ascii="Times New Roman" w:hAnsi="Times New Roman" w:cs="Times New Roman"/>
          <w:color w:val="000000"/>
          <w:kern w:val="0"/>
          <w:sz w:val="24"/>
          <w:highlight w:val="none"/>
        </w:rPr>
        <w:t>浓度</w:t>
      </w:r>
      <w:r>
        <w:rPr>
          <w:rFonts w:hint="default" w:ascii="Times New Roman" w:hAnsi="Times New Roman" w:cs="Times New Roman"/>
          <w:color w:val="000000"/>
          <w:kern w:val="0"/>
          <w:sz w:val="24"/>
          <w:highlight w:val="none"/>
          <w:lang w:val="en-US" w:eastAsia="zh-CN"/>
        </w:rPr>
        <w:t>0~10</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lang w:val="en-US" w:eastAsia="zh-CN"/>
        </w:rPr>
        <w:t>占比83%（其中0~8</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lang w:val="en-US" w:eastAsia="zh-CN"/>
        </w:rPr>
        <w:t>占比74%），10~2</w:t>
      </w:r>
      <w:r>
        <w:rPr>
          <w:rFonts w:hint="default" w:ascii="Times New Roman" w:hAnsi="Times New Roman" w:cs="Times New Roman"/>
          <w:color w:val="000000"/>
          <w:kern w:val="0"/>
          <w:sz w:val="24"/>
          <w:highlight w:val="none"/>
        </w:rPr>
        <w:t>0 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占比</w:t>
      </w:r>
      <w:r>
        <w:rPr>
          <w:rFonts w:hint="default" w:ascii="Times New Roman" w:hAnsi="Times New Roman" w:cs="Times New Roman"/>
          <w:color w:val="000000"/>
          <w:kern w:val="0"/>
          <w:sz w:val="24"/>
          <w:highlight w:val="none"/>
          <w:lang w:val="en-US" w:eastAsia="zh-CN"/>
        </w:rPr>
        <w:t>13</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val="en-US" w:eastAsia="zh-CN"/>
        </w:rPr>
        <w:t>2</w:t>
      </w:r>
      <w:r>
        <w:rPr>
          <w:rFonts w:hint="default" w:ascii="Times New Roman" w:hAnsi="Times New Roman" w:cs="Times New Roman"/>
          <w:color w:val="000000"/>
          <w:kern w:val="0"/>
          <w:sz w:val="24"/>
          <w:highlight w:val="none"/>
        </w:rPr>
        <w:t>0</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vertAlign w:val="baseline"/>
          <w:lang w:val="en-US" w:eastAsia="zh-CN"/>
        </w:rPr>
        <w:t>以上</w:t>
      </w:r>
      <w:r>
        <w:rPr>
          <w:rFonts w:hint="default" w:ascii="Times New Roman" w:hAnsi="Times New Roman" w:cs="Times New Roman"/>
          <w:color w:val="000000"/>
          <w:kern w:val="0"/>
          <w:sz w:val="24"/>
          <w:highlight w:val="none"/>
        </w:rPr>
        <w:t>占比</w:t>
      </w:r>
      <w:r>
        <w:rPr>
          <w:rFonts w:hint="default" w:ascii="Times New Roman" w:hAnsi="Times New Roman" w:cs="Times New Roman"/>
          <w:color w:val="000000"/>
          <w:kern w:val="0"/>
          <w:sz w:val="24"/>
          <w:highlight w:val="none"/>
          <w:lang w:val="en-US" w:eastAsia="zh-CN"/>
        </w:rPr>
        <w:t>4</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b/>
          <w:bCs/>
          <w:color w:val="000000"/>
          <w:kern w:val="0"/>
          <w:sz w:val="24"/>
          <w:highlight w:val="none"/>
        </w:rPr>
        <w:t>约</w:t>
      </w:r>
      <w:r>
        <w:rPr>
          <w:rFonts w:hint="default" w:ascii="Times New Roman" w:hAnsi="Times New Roman" w:cs="Times New Roman"/>
          <w:b/>
          <w:bCs/>
          <w:color w:val="000000"/>
          <w:kern w:val="0"/>
          <w:sz w:val="24"/>
          <w:highlight w:val="none"/>
          <w:lang w:val="en-US" w:eastAsia="zh-CN"/>
        </w:rPr>
        <w:t>74</w:t>
      </w:r>
      <w:r>
        <w:rPr>
          <w:rFonts w:hint="default" w:ascii="Times New Roman" w:hAnsi="Times New Roman" w:cs="Times New Roman"/>
          <w:b/>
          <w:bCs/>
          <w:color w:val="000000"/>
          <w:kern w:val="0"/>
          <w:sz w:val="24"/>
          <w:highlight w:val="none"/>
        </w:rPr>
        <w:t>%的</w:t>
      </w:r>
      <w:r>
        <w:rPr>
          <w:rFonts w:hint="default" w:ascii="Times New Roman" w:hAnsi="Times New Roman" w:cs="Times New Roman"/>
          <w:b/>
          <w:bCs/>
          <w:color w:val="000000"/>
          <w:kern w:val="0"/>
          <w:sz w:val="24"/>
          <w:highlight w:val="none"/>
          <w:lang w:val="en-US" w:eastAsia="zh-CN"/>
        </w:rPr>
        <w:t>无组织非甲烷总烃任一</w:t>
      </w:r>
      <w:r>
        <w:rPr>
          <w:rFonts w:hint="default" w:ascii="Times New Roman" w:hAnsi="Times New Roman" w:cs="Times New Roman"/>
          <w:b/>
          <w:bCs/>
          <w:color w:val="000000"/>
          <w:kern w:val="0"/>
          <w:sz w:val="24"/>
          <w:highlight w:val="none"/>
        </w:rPr>
        <w:t>浓度低于</w:t>
      </w:r>
      <w:r>
        <w:rPr>
          <w:rFonts w:hint="default" w:ascii="Times New Roman" w:hAnsi="Times New Roman" w:cs="Times New Roman"/>
          <w:b/>
          <w:bCs/>
          <w:color w:val="000000"/>
          <w:kern w:val="0"/>
          <w:sz w:val="24"/>
          <w:highlight w:val="none"/>
          <w:lang w:val="en-US" w:eastAsia="zh-CN"/>
        </w:rPr>
        <w:t xml:space="preserve">8 </w:t>
      </w:r>
      <w:r>
        <w:rPr>
          <w:rFonts w:hint="default" w:ascii="Times New Roman" w:hAnsi="Times New Roman" w:cs="Times New Roman"/>
          <w:b/>
          <w:bCs/>
          <w:color w:val="000000"/>
          <w:kern w:val="0"/>
          <w:sz w:val="24"/>
          <w:highlight w:val="none"/>
        </w:rPr>
        <w:t>mg/m</w:t>
      </w:r>
      <w:r>
        <w:rPr>
          <w:rFonts w:hint="default" w:ascii="Times New Roman" w:hAnsi="Times New Roman" w:cs="Times New Roman"/>
          <w:b/>
          <w:bCs/>
          <w:color w:val="000000"/>
          <w:kern w:val="0"/>
          <w:sz w:val="24"/>
          <w:highlight w:val="none"/>
          <w:vertAlign w:val="superscript"/>
        </w:rPr>
        <w:t>3</w:t>
      </w:r>
      <w:r>
        <w:rPr>
          <w:rFonts w:hint="default" w:ascii="Times New Roman" w:hAnsi="Times New Roman" w:cs="Times New Roman"/>
          <w:b/>
          <w:bCs/>
          <w:color w:val="000000"/>
          <w:kern w:val="0"/>
          <w:sz w:val="24"/>
          <w:highlight w:val="none"/>
          <w:vertAlign w:val="baseline"/>
          <w:lang w:eastAsia="zh-CN"/>
        </w:rPr>
        <w:t>。</w:t>
      </w:r>
      <w:r>
        <w:rPr>
          <w:rFonts w:hint="default" w:ascii="Times New Roman" w:hAnsi="Times New Roman" w:cs="Times New Roman"/>
          <w:b/>
          <w:bCs/>
          <w:sz w:val="24"/>
          <w:highlight w:val="none"/>
        </w:rPr>
        <w:t xml:space="preserve"> </w:t>
      </w:r>
    </w:p>
    <w:p w14:paraId="1B341B12">
      <w:pPr>
        <w:keepNext/>
        <w:keepLines w:val="0"/>
        <w:pageBreakBefore w:val="0"/>
        <w:widowControl w:val="0"/>
        <w:kinsoku/>
        <w:wordWrap/>
        <w:autoSpaceDE/>
        <w:autoSpaceDN/>
        <w:bidi w:val="0"/>
        <w:spacing w:line="360" w:lineRule="auto"/>
        <w:ind w:firstLine="482" w:firstLineChars="200"/>
        <w:rPr>
          <w:rFonts w:hint="default" w:ascii="Times New Roman" w:hAnsi="Times New Roman" w:eastAsia="宋体" w:cs="Times New Roman"/>
          <w:sz w:val="24"/>
          <w:highlight w:val="none"/>
          <w:lang w:eastAsia="zh-CN"/>
        </w:rPr>
      </w:pPr>
      <w:r>
        <w:rPr>
          <w:rFonts w:hint="default" w:ascii="Times New Roman" w:hAnsi="Times New Roman" w:cs="Times New Roman"/>
          <w:b/>
          <w:bCs/>
          <w:color w:val="000000"/>
          <w:kern w:val="0"/>
          <w:sz w:val="24"/>
          <w:highlight w:val="none"/>
          <w:lang w:val="en-US" w:eastAsia="zh-CN"/>
        </w:rPr>
        <w:t>综合以上，</w:t>
      </w:r>
      <w:r>
        <w:rPr>
          <w:rFonts w:hint="default" w:ascii="Times New Roman" w:hAnsi="Times New Roman" w:cs="Times New Roman"/>
          <w:b/>
          <w:bCs/>
          <w:color w:val="000000"/>
          <w:kern w:val="0"/>
          <w:sz w:val="24"/>
          <w:highlight w:val="none"/>
          <w:lang w:eastAsia="zh-CN"/>
        </w:rPr>
        <w:t>借鉴北京、上海、安徽、江苏等地标限值，</w:t>
      </w:r>
      <w:r>
        <w:rPr>
          <w:rFonts w:hint="default" w:ascii="Times New Roman" w:hAnsi="Times New Roman" w:cs="Times New Roman"/>
          <w:b/>
          <w:bCs/>
          <w:color w:val="000000"/>
          <w:sz w:val="24"/>
          <w:szCs w:val="24"/>
          <w:highlight w:val="none"/>
          <w:lang w:val="en-US" w:eastAsia="zh-CN"/>
        </w:rPr>
        <w:t>本</w:t>
      </w:r>
      <w:r>
        <w:rPr>
          <w:rFonts w:hint="eastAsia" w:cs="Times New Roman"/>
          <w:b/>
          <w:bCs/>
          <w:color w:val="000000"/>
          <w:sz w:val="24"/>
          <w:szCs w:val="24"/>
          <w:highlight w:val="none"/>
          <w:lang w:val="en-US" w:eastAsia="zh-CN"/>
        </w:rPr>
        <w:t>标准</w:t>
      </w:r>
      <w:r>
        <w:rPr>
          <w:rFonts w:hint="default" w:ascii="Times New Roman" w:hAnsi="Times New Roman" w:cs="Times New Roman"/>
          <w:b/>
          <w:bCs/>
          <w:color w:val="000000"/>
          <w:sz w:val="24"/>
          <w:szCs w:val="24"/>
          <w:highlight w:val="none"/>
          <w:lang w:val="en-US" w:eastAsia="zh-CN"/>
        </w:rPr>
        <w:t>将无组织非甲烷总烃任一浓度</w:t>
      </w:r>
      <w:r>
        <w:rPr>
          <w:rFonts w:hint="default" w:ascii="Times New Roman" w:hAnsi="Times New Roman" w:cs="Times New Roman"/>
          <w:b/>
          <w:bCs/>
          <w:color w:val="000000"/>
          <w:kern w:val="0"/>
          <w:sz w:val="24"/>
          <w:highlight w:val="none"/>
        </w:rPr>
        <w:t>的限值定为</w:t>
      </w:r>
      <w:r>
        <w:rPr>
          <w:rFonts w:hint="default" w:ascii="Times New Roman" w:hAnsi="Times New Roman" w:cs="Times New Roman"/>
          <w:b/>
          <w:bCs/>
          <w:color w:val="000000"/>
          <w:kern w:val="0"/>
          <w:sz w:val="24"/>
          <w:highlight w:val="none"/>
          <w:lang w:val="en-US" w:eastAsia="zh-CN"/>
        </w:rPr>
        <w:t xml:space="preserve">8 </w:t>
      </w:r>
      <w:r>
        <w:rPr>
          <w:rFonts w:hint="default" w:ascii="Times New Roman" w:hAnsi="Times New Roman" w:cs="Times New Roman"/>
          <w:b/>
          <w:bCs/>
          <w:color w:val="000000"/>
          <w:kern w:val="0"/>
          <w:sz w:val="24"/>
          <w:highlight w:val="none"/>
        </w:rPr>
        <w:t>mg/m</w:t>
      </w:r>
      <w:r>
        <w:rPr>
          <w:rFonts w:hint="default" w:ascii="Times New Roman" w:hAnsi="Times New Roman" w:cs="Times New Roman"/>
          <w:b/>
          <w:bCs/>
          <w:color w:val="000000"/>
          <w:kern w:val="0"/>
          <w:sz w:val="24"/>
          <w:highlight w:val="none"/>
          <w:vertAlign w:val="superscript"/>
        </w:rPr>
        <w:t>3</w:t>
      </w:r>
      <w:r>
        <w:rPr>
          <w:rFonts w:hint="default" w:ascii="Times New Roman" w:hAnsi="Times New Roman" w:cs="Times New Roman"/>
          <w:b/>
          <w:bCs/>
          <w:color w:val="000000"/>
          <w:kern w:val="0"/>
          <w:sz w:val="24"/>
          <w:highlight w:val="none"/>
          <w:lang w:eastAsia="zh-CN"/>
        </w:rPr>
        <w:t>。</w:t>
      </w:r>
    </w:p>
    <w:p w14:paraId="13B342FA">
      <w:pPr>
        <w:keepNext/>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kern w:val="0"/>
          <w:szCs w:val="21"/>
          <w:highlight w:val="none"/>
          <w:lang w:eastAsia="zh-CN"/>
        </w:rPr>
      </w:pPr>
      <w:r>
        <w:rPr>
          <w:rFonts w:hint="eastAsia" w:cs="Times New Roman"/>
          <w:kern w:val="0"/>
          <w:szCs w:val="21"/>
          <w:highlight w:val="none"/>
          <w:lang w:val="en-US" w:eastAsia="zh-CN"/>
        </w:rPr>
        <w:t>表7.6</w:t>
      </w:r>
      <w:r>
        <w:rPr>
          <w:rFonts w:hint="default" w:ascii="Times New Roman" w:hAnsi="Times New Roman" w:cs="Times New Roman"/>
          <w:kern w:val="0"/>
          <w:szCs w:val="21"/>
          <w:highlight w:val="none"/>
        </w:rPr>
        <w:t>-</w:t>
      </w:r>
      <w:r>
        <w:rPr>
          <w:rFonts w:hint="eastAsia" w:cs="Times New Roman"/>
          <w:kern w:val="0"/>
          <w:szCs w:val="21"/>
          <w:highlight w:val="none"/>
          <w:lang w:val="en-US" w:eastAsia="zh-CN"/>
        </w:rPr>
        <w:t xml:space="preserve">2 </w:t>
      </w:r>
      <w:r>
        <w:rPr>
          <w:rFonts w:hint="default" w:ascii="Times New Roman" w:hAnsi="Times New Roman" w:cs="Times New Roman"/>
          <w:kern w:val="0"/>
          <w:szCs w:val="21"/>
          <w:highlight w:val="none"/>
        </w:rPr>
        <w:t>非甲烷总烃的无组织排放浓度测试结果</w:t>
      </w:r>
      <w:r>
        <w:rPr>
          <w:rFonts w:hint="default" w:ascii="Times New Roman" w:hAnsi="Times New Roman" w:cs="Times New Roman"/>
          <w:kern w:val="0"/>
          <w:szCs w:val="21"/>
          <w:highlight w:val="none"/>
          <w:lang w:eastAsia="zh-CN"/>
        </w:rPr>
        <w:t>（</w:t>
      </w:r>
      <w:r>
        <w:rPr>
          <w:rFonts w:hint="default" w:ascii="Times New Roman" w:hAnsi="Times New Roman" w:cs="Times New Roman"/>
          <w:kern w:val="0"/>
          <w:szCs w:val="21"/>
          <w:highlight w:val="none"/>
          <w:lang w:val="en-US" w:eastAsia="zh-CN"/>
        </w:rPr>
        <w:t>任一浓度</w:t>
      </w:r>
      <w:r>
        <w:rPr>
          <w:rFonts w:hint="default" w:ascii="Times New Roman" w:hAnsi="Times New Roman" w:cs="Times New Roman"/>
          <w:kern w:val="0"/>
          <w:szCs w:val="21"/>
          <w:highlight w:val="none"/>
          <w:lang w:eastAsia="zh-CN"/>
        </w:rPr>
        <w:t>）</w:t>
      </w:r>
    </w:p>
    <w:tbl>
      <w:tblPr>
        <w:tblStyle w:val="21"/>
        <w:tblW w:w="4998"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526"/>
        <w:gridCol w:w="2735"/>
        <w:gridCol w:w="1529"/>
        <w:gridCol w:w="2735"/>
      </w:tblGrid>
      <w:tr w14:paraId="5EA4254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5" w:hRule="atLeast"/>
          <w:tblHeader/>
        </w:trPr>
        <w:tc>
          <w:tcPr>
            <w:tcW w:w="8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896F1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rPr>
            </w:pPr>
            <w:r>
              <w:rPr>
                <w:rFonts w:hint="default" w:ascii="Times New Roman" w:hAnsi="Times New Roman" w:cs="Times New Roman"/>
                <w:b/>
                <w:bCs/>
                <w:color w:val="000000"/>
                <w:kern w:val="0"/>
                <w:sz w:val="21"/>
                <w:szCs w:val="21"/>
                <w:highlight w:val="none"/>
                <w:lang w:val="en-US" w:eastAsia="zh-CN"/>
              </w:rPr>
              <w:t>序号</w:t>
            </w:r>
          </w:p>
        </w:tc>
        <w:tc>
          <w:tcPr>
            <w:tcW w:w="16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A6F71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rPr>
            </w:pPr>
            <w:r>
              <w:rPr>
                <w:rFonts w:hint="default" w:ascii="Times New Roman" w:hAnsi="Times New Roman" w:cs="Times New Roman"/>
                <w:b/>
                <w:bCs/>
                <w:color w:val="000000"/>
                <w:kern w:val="0"/>
                <w:sz w:val="21"/>
                <w:szCs w:val="21"/>
                <w:highlight w:val="none"/>
                <w:lang w:val="en-US" w:eastAsia="zh-CN"/>
              </w:rPr>
              <w:t>非甲烷总烃浓度（无组织）（mg/m</w:t>
            </w:r>
            <w:r>
              <w:rPr>
                <w:rFonts w:hint="default" w:ascii="Times New Roman" w:hAnsi="Times New Roman" w:cs="Times New Roman"/>
                <w:b/>
                <w:bCs/>
                <w:color w:val="000000"/>
                <w:kern w:val="0"/>
                <w:sz w:val="21"/>
                <w:szCs w:val="21"/>
                <w:highlight w:val="none"/>
                <w:vertAlign w:val="superscript"/>
                <w:lang w:val="en-US" w:eastAsia="zh-CN"/>
              </w:rPr>
              <w:t>3</w:t>
            </w:r>
            <w:r>
              <w:rPr>
                <w:rFonts w:hint="default" w:ascii="Times New Roman" w:hAnsi="Times New Roman" w:cs="Times New Roman"/>
                <w:b/>
                <w:bCs/>
                <w:color w:val="000000"/>
                <w:kern w:val="0"/>
                <w:sz w:val="21"/>
                <w:szCs w:val="21"/>
                <w:highlight w:val="none"/>
                <w:lang w:val="en-US" w:eastAsia="zh-CN"/>
              </w:rPr>
              <w:t>）</w:t>
            </w:r>
          </w:p>
        </w:tc>
        <w:tc>
          <w:tcPr>
            <w:tcW w:w="8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D7962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rPr>
            </w:pPr>
            <w:r>
              <w:rPr>
                <w:rFonts w:hint="default" w:ascii="Times New Roman" w:hAnsi="Times New Roman" w:cs="Times New Roman"/>
                <w:b/>
                <w:bCs/>
                <w:color w:val="000000"/>
                <w:kern w:val="0"/>
                <w:sz w:val="21"/>
                <w:szCs w:val="21"/>
                <w:highlight w:val="none"/>
                <w:lang w:val="en-US" w:eastAsia="zh-CN"/>
              </w:rPr>
              <w:t>序号</w:t>
            </w:r>
          </w:p>
        </w:tc>
        <w:tc>
          <w:tcPr>
            <w:tcW w:w="16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DA255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rPr>
            </w:pPr>
            <w:r>
              <w:rPr>
                <w:rFonts w:hint="default" w:ascii="Times New Roman" w:hAnsi="Times New Roman" w:cs="Times New Roman"/>
                <w:b/>
                <w:bCs/>
                <w:color w:val="000000"/>
                <w:kern w:val="0"/>
                <w:sz w:val="21"/>
                <w:szCs w:val="21"/>
                <w:highlight w:val="none"/>
                <w:lang w:val="en-US" w:eastAsia="zh-CN"/>
              </w:rPr>
              <w:t>非甲烷总烃浓度（无组织）（mg/m</w:t>
            </w:r>
            <w:r>
              <w:rPr>
                <w:rFonts w:hint="default" w:ascii="Times New Roman" w:hAnsi="Times New Roman" w:cs="Times New Roman"/>
                <w:b/>
                <w:bCs/>
                <w:color w:val="000000"/>
                <w:kern w:val="0"/>
                <w:sz w:val="21"/>
                <w:szCs w:val="21"/>
                <w:highlight w:val="none"/>
                <w:vertAlign w:val="superscript"/>
                <w:lang w:val="en-US" w:eastAsia="zh-CN"/>
              </w:rPr>
              <w:t>3</w:t>
            </w:r>
            <w:r>
              <w:rPr>
                <w:rFonts w:hint="default" w:ascii="Times New Roman" w:hAnsi="Times New Roman" w:cs="Times New Roman"/>
                <w:b/>
                <w:bCs/>
                <w:color w:val="000000"/>
                <w:kern w:val="0"/>
                <w:sz w:val="21"/>
                <w:szCs w:val="21"/>
                <w:highlight w:val="none"/>
                <w:lang w:val="en-US" w:eastAsia="zh-CN"/>
              </w:rPr>
              <w:t>）</w:t>
            </w:r>
          </w:p>
        </w:tc>
      </w:tr>
      <w:tr w14:paraId="3CDFF38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9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719AD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w:t>
            </w:r>
          </w:p>
        </w:tc>
        <w:tc>
          <w:tcPr>
            <w:tcW w:w="16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A05A1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4.6 </w:t>
            </w:r>
          </w:p>
        </w:tc>
        <w:tc>
          <w:tcPr>
            <w:tcW w:w="8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65B1B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13</w:t>
            </w:r>
          </w:p>
        </w:tc>
        <w:tc>
          <w:tcPr>
            <w:tcW w:w="16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7044C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6.2 </w:t>
            </w:r>
          </w:p>
        </w:tc>
      </w:tr>
      <w:tr w14:paraId="63B7752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9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B403A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2</w:t>
            </w:r>
          </w:p>
        </w:tc>
        <w:tc>
          <w:tcPr>
            <w:tcW w:w="16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5C98E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2.3 </w:t>
            </w:r>
          </w:p>
        </w:tc>
        <w:tc>
          <w:tcPr>
            <w:tcW w:w="8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6900F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14</w:t>
            </w:r>
          </w:p>
        </w:tc>
        <w:tc>
          <w:tcPr>
            <w:tcW w:w="16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51B7A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4.6 </w:t>
            </w:r>
          </w:p>
        </w:tc>
      </w:tr>
      <w:tr w14:paraId="23D97D7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9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5EB95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3</w:t>
            </w:r>
          </w:p>
        </w:tc>
        <w:tc>
          <w:tcPr>
            <w:tcW w:w="16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E997A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13.5 </w:t>
            </w:r>
          </w:p>
        </w:tc>
        <w:tc>
          <w:tcPr>
            <w:tcW w:w="8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2E950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15</w:t>
            </w:r>
          </w:p>
        </w:tc>
        <w:tc>
          <w:tcPr>
            <w:tcW w:w="16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0C84C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8.8 </w:t>
            </w:r>
          </w:p>
        </w:tc>
      </w:tr>
      <w:tr w14:paraId="4C3C474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9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4FA79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4</w:t>
            </w:r>
          </w:p>
        </w:tc>
        <w:tc>
          <w:tcPr>
            <w:tcW w:w="16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FD346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35.5 </w:t>
            </w:r>
          </w:p>
        </w:tc>
        <w:tc>
          <w:tcPr>
            <w:tcW w:w="8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6DF66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16</w:t>
            </w:r>
          </w:p>
        </w:tc>
        <w:tc>
          <w:tcPr>
            <w:tcW w:w="16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8F4B4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7.3 </w:t>
            </w:r>
          </w:p>
        </w:tc>
      </w:tr>
      <w:tr w14:paraId="3CD15A3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9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B8DC2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5</w:t>
            </w:r>
          </w:p>
        </w:tc>
        <w:tc>
          <w:tcPr>
            <w:tcW w:w="16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212B6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20.0 </w:t>
            </w:r>
          </w:p>
        </w:tc>
        <w:tc>
          <w:tcPr>
            <w:tcW w:w="8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05340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17</w:t>
            </w:r>
          </w:p>
        </w:tc>
        <w:tc>
          <w:tcPr>
            <w:tcW w:w="16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AACC5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4.6 </w:t>
            </w:r>
          </w:p>
        </w:tc>
      </w:tr>
      <w:tr w14:paraId="55C8671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9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9DA04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6</w:t>
            </w:r>
          </w:p>
        </w:tc>
        <w:tc>
          <w:tcPr>
            <w:tcW w:w="16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71A3C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4.4 </w:t>
            </w:r>
          </w:p>
        </w:tc>
        <w:tc>
          <w:tcPr>
            <w:tcW w:w="8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49DA6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18</w:t>
            </w:r>
          </w:p>
        </w:tc>
        <w:tc>
          <w:tcPr>
            <w:tcW w:w="16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CA00C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5.1 </w:t>
            </w:r>
          </w:p>
        </w:tc>
      </w:tr>
      <w:tr w14:paraId="231C829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9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30E80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7</w:t>
            </w:r>
          </w:p>
        </w:tc>
        <w:tc>
          <w:tcPr>
            <w:tcW w:w="16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CB21D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8.5 </w:t>
            </w:r>
          </w:p>
        </w:tc>
        <w:tc>
          <w:tcPr>
            <w:tcW w:w="8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E81B0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19</w:t>
            </w:r>
          </w:p>
        </w:tc>
        <w:tc>
          <w:tcPr>
            <w:tcW w:w="16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D17A8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4.3 </w:t>
            </w:r>
          </w:p>
        </w:tc>
      </w:tr>
      <w:tr w14:paraId="2B1F4E9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9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57B7D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8</w:t>
            </w:r>
          </w:p>
        </w:tc>
        <w:tc>
          <w:tcPr>
            <w:tcW w:w="16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5174C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7.3 </w:t>
            </w:r>
          </w:p>
        </w:tc>
        <w:tc>
          <w:tcPr>
            <w:tcW w:w="8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E9592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20</w:t>
            </w:r>
          </w:p>
        </w:tc>
        <w:tc>
          <w:tcPr>
            <w:tcW w:w="16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C594C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4.6 </w:t>
            </w:r>
          </w:p>
        </w:tc>
      </w:tr>
      <w:tr w14:paraId="4E07792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9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0F767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9</w:t>
            </w:r>
          </w:p>
        </w:tc>
        <w:tc>
          <w:tcPr>
            <w:tcW w:w="16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65B7A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5.8 </w:t>
            </w:r>
          </w:p>
        </w:tc>
        <w:tc>
          <w:tcPr>
            <w:tcW w:w="8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3D19C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21</w:t>
            </w:r>
          </w:p>
        </w:tc>
        <w:tc>
          <w:tcPr>
            <w:tcW w:w="16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2AB86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4.6 </w:t>
            </w:r>
          </w:p>
        </w:tc>
      </w:tr>
      <w:tr w14:paraId="3E02AD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9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98324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10</w:t>
            </w:r>
          </w:p>
        </w:tc>
        <w:tc>
          <w:tcPr>
            <w:tcW w:w="16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0693B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12.3 </w:t>
            </w:r>
          </w:p>
        </w:tc>
        <w:tc>
          <w:tcPr>
            <w:tcW w:w="8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30F41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22</w:t>
            </w:r>
          </w:p>
        </w:tc>
        <w:tc>
          <w:tcPr>
            <w:tcW w:w="16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D2AB0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3.5 </w:t>
            </w:r>
          </w:p>
        </w:tc>
      </w:tr>
      <w:tr w14:paraId="239822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9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A74AA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11</w:t>
            </w:r>
          </w:p>
        </w:tc>
        <w:tc>
          <w:tcPr>
            <w:tcW w:w="16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567C4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7.3 </w:t>
            </w:r>
          </w:p>
        </w:tc>
        <w:tc>
          <w:tcPr>
            <w:tcW w:w="8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2F203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23</w:t>
            </w:r>
          </w:p>
        </w:tc>
        <w:tc>
          <w:tcPr>
            <w:tcW w:w="16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84FF5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2.9 </w:t>
            </w:r>
          </w:p>
        </w:tc>
      </w:tr>
      <w:tr w14:paraId="72F48FE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89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DF5B7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12</w:t>
            </w:r>
          </w:p>
        </w:tc>
        <w:tc>
          <w:tcPr>
            <w:tcW w:w="16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0C9F9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 xml:space="preserve">7.0 </w:t>
            </w:r>
          </w:p>
        </w:tc>
        <w:tc>
          <w:tcPr>
            <w:tcW w:w="8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0CF20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c>
          <w:tcPr>
            <w:tcW w:w="16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BE06F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r>
    </w:tbl>
    <w:p w14:paraId="3D615A07">
      <w:pPr>
        <w:keepNext/>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highlight w:val="none"/>
          <w:lang w:eastAsia="zh-CN"/>
        </w:rPr>
      </w:pPr>
      <w:r>
        <w:rPr>
          <w:rFonts w:hint="default" w:ascii="Times New Roman" w:hAnsi="Times New Roman" w:eastAsia="宋体" w:cs="Times New Roman"/>
          <w:highlight w:val="none"/>
          <w:lang w:eastAsia="zh-CN"/>
        </w:rPr>
        <w:drawing>
          <wp:inline distT="0" distB="0" distL="114300" distR="114300">
            <wp:extent cx="5256530" cy="2013585"/>
            <wp:effectExtent l="0" t="0" r="1270" b="13335"/>
            <wp:docPr id="55" name="图表 55"/>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14:paraId="78610C76">
      <w:pPr>
        <w:keepNext/>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kern w:val="0"/>
          <w:szCs w:val="21"/>
          <w:highlight w:val="none"/>
          <w:lang w:val="en-US" w:eastAsia="zh-CN"/>
        </w:rPr>
      </w:pPr>
      <w:r>
        <w:rPr>
          <w:rFonts w:hint="default" w:ascii="Times New Roman" w:hAnsi="Times New Roman" w:cs="Times New Roman"/>
          <w:kern w:val="0"/>
          <w:szCs w:val="21"/>
          <w:highlight w:val="none"/>
          <w:lang w:val="en-US" w:eastAsia="zh-CN"/>
        </w:rPr>
        <w:t>图</w:t>
      </w:r>
      <w:r>
        <w:rPr>
          <w:rFonts w:hint="eastAsia" w:cs="Times New Roman"/>
          <w:kern w:val="0"/>
          <w:szCs w:val="21"/>
          <w:highlight w:val="none"/>
          <w:lang w:val="en-US" w:eastAsia="zh-CN"/>
        </w:rPr>
        <w:t>7.6</w:t>
      </w:r>
      <w:r>
        <w:rPr>
          <w:rFonts w:hint="default" w:ascii="Times New Roman" w:hAnsi="Times New Roman" w:cs="Times New Roman"/>
          <w:kern w:val="0"/>
          <w:szCs w:val="21"/>
          <w:highlight w:val="none"/>
          <w:lang w:val="en-US" w:eastAsia="zh-CN"/>
        </w:rPr>
        <w:t>-1 不同汽修等级</w:t>
      </w:r>
      <w:r>
        <w:rPr>
          <w:rFonts w:hint="eastAsia" w:ascii="Times New Roman" w:hAnsi="Times New Roman" w:cs="Times New Roman"/>
          <w:kern w:val="0"/>
          <w:szCs w:val="21"/>
          <w:highlight w:val="none"/>
          <w:lang w:val="en-US" w:eastAsia="zh-CN"/>
        </w:rPr>
        <w:t>非甲烷总烃任一</w:t>
      </w:r>
      <w:r>
        <w:rPr>
          <w:rFonts w:hint="default" w:ascii="Times New Roman" w:hAnsi="Times New Roman" w:cs="Times New Roman"/>
          <w:kern w:val="0"/>
          <w:szCs w:val="21"/>
          <w:highlight w:val="none"/>
          <w:lang w:val="en-US" w:eastAsia="zh-CN"/>
        </w:rPr>
        <w:t>浓度分布</w:t>
      </w:r>
    </w:p>
    <w:p w14:paraId="4EBC9ED5">
      <w:pPr>
        <w:keepNext/>
        <w:keepLines w:val="0"/>
        <w:pageBreakBefore w:val="0"/>
        <w:widowControl w:val="0"/>
        <w:kinsoku/>
        <w:wordWrap/>
        <w:autoSpaceDE/>
        <w:autoSpaceDN/>
        <w:bidi w:val="0"/>
        <w:rPr>
          <w:rFonts w:hint="default" w:ascii="Times New Roman" w:hAnsi="Times New Roman" w:cs="Times New Roman"/>
          <w:b/>
          <w:bCs/>
          <w:highlight w:val="none"/>
          <w:lang w:val="en-US" w:eastAsia="zh-CN"/>
        </w:rPr>
      </w:pPr>
      <w:r>
        <w:rPr>
          <w:rFonts w:hint="default" w:ascii="Times New Roman" w:hAnsi="Times New Roman" w:cs="Times New Roman"/>
          <w:b/>
          <w:bCs/>
          <w:highlight w:val="none"/>
          <w:lang w:val="en-US" w:eastAsia="zh-CN"/>
        </w:rPr>
        <w:t>（2）</w:t>
      </w:r>
      <w:r>
        <w:rPr>
          <w:rFonts w:hint="eastAsia" w:ascii="Times New Roman" w:hAnsi="Times New Roman" w:cs="Times New Roman"/>
          <w:b/>
          <w:bCs/>
          <w:highlight w:val="none"/>
          <w:lang w:val="en-US" w:eastAsia="zh-CN"/>
        </w:rPr>
        <w:t>厂区</w:t>
      </w:r>
      <w:r>
        <w:rPr>
          <w:rFonts w:hint="default" w:ascii="Times New Roman" w:hAnsi="Times New Roman" w:cs="Times New Roman"/>
          <w:b/>
          <w:bCs/>
          <w:highlight w:val="none"/>
          <w:lang w:val="en-US" w:eastAsia="zh-CN"/>
        </w:rPr>
        <w:t>内小时均值浓度</w:t>
      </w:r>
    </w:p>
    <w:p w14:paraId="271F2BA0">
      <w:pPr>
        <w:keepNext/>
        <w:keepLines w:val="0"/>
        <w:pageBreakBefore w:val="0"/>
        <w:widowControl w:val="0"/>
        <w:kinsoku/>
        <w:wordWrap/>
        <w:autoSpaceDE/>
        <w:autoSpaceDN/>
        <w:bidi w:val="0"/>
        <w:spacing w:line="360" w:lineRule="auto"/>
        <w:ind w:firstLine="480" w:firstLineChars="200"/>
        <w:rPr>
          <w:rFonts w:hint="default" w:ascii="Times New Roman" w:hAnsi="Times New Roman" w:cs="Times New Roman"/>
          <w:sz w:val="24"/>
          <w:highlight w:val="none"/>
        </w:rPr>
      </w:pPr>
      <w:r>
        <w:rPr>
          <w:rFonts w:hint="default" w:ascii="Times New Roman" w:hAnsi="Times New Roman" w:cs="Times New Roman"/>
          <w:kern w:val="0"/>
          <w:sz w:val="24"/>
          <w:highlight w:val="none"/>
        </w:rPr>
        <w:t>在喷漆房外</w:t>
      </w:r>
      <w:r>
        <w:rPr>
          <w:rFonts w:hint="default" w:ascii="Times New Roman" w:hAnsi="Times New Roman" w:cs="Times New Roman"/>
          <w:sz w:val="24"/>
          <w:highlight w:val="none"/>
        </w:rPr>
        <w:t>1m设置无组织排放监测点处针对非甲烷总烃指标进行测试</w:t>
      </w:r>
      <w:r>
        <w:rPr>
          <w:rFonts w:hint="default" w:ascii="Times New Roman" w:hAnsi="Times New Roman" w:cs="Times New Roman"/>
          <w:kern w:val="0"/>
          <w:sz w:val="24"/>
          <w:highlight w:val="none"/>
        </w:rPr>
        <w:t>。</w:t>
      </w:r>
      <w:r>
        <w:rPr>
          <w:rFonts w:hint="default" w:ascii="Times New Roman" w:hAnsi="Times New Roman" w:cs="Times New Roman"/>
          <w:kern w:val="0"/>
          <w:sz w:val="24"/>
          <w:highlight w:val="none"/>
          <w:lang w:val="en-US" w:eastAsia="zh-CN"/>
        </w:rPr>
        <w:t>下表</w:t>
      </w:r>
      <w:r>
        <w:rPr>
          <w:rFonts w:hint="default" w:ascii="Times New Roman" w:hAnsi="Times New Roman" w:cs="Times New Roman"/>
          <w:kern w:val="0"/>
          <w:sz w:val="24"/>
          <w:highlight w:val="none"/>
        </w:rPr>
        <w:t>为喷烤漆房外非甲烷总烃无组织的</w:t>
      </w:r>
      <w:r>
        <w:rPr>
          <w:rFonts w:hint="default" w:ascii="Times New Roman" w:hAnsi="Times New Roman" w:cs="Times New Roman"/>
          <w:kern w:val="0"/>
          <w:sz w:val="24"/>
          <w:highlight w:val="none"/>
          <w:lang w:val="en-US" w:eastAsia="zh-CN"/>
        </w:rPr>
        <w:t>小时均值</w:t>
      </w:r>
      <w:r>
        <w:rPr>
          <w:rFonts w:hint="default" w:ascii="Times New Roman" w:hAnsi="Times New Roman" w:cs="Times New Roman"/>
          <w:kern w:val="0"/>
          <w:sz w:val="24"/>
          <w:highlight w:val="none"/>
        </w:rPr>
        <w:t>排放浓度情况，</w:t>
      </w:r>
      <w:r>
        <w:rPr>
          <w:rFonts w:hint="default" w:ascii="Times New Roman" w:hAnsi="Times New Roman" w:cs="Times New Roman"/>
          <w:kern w:val="0"/>
          <w:sz w:val="24"/>
          <w:highlight w:val="none"/>
          <w:lang w:val="en-US" w:eastAsia="zh-CN"/>
        </w:rPr>
        <w:t>54个</w:t>
      </w:r>
      <w:r>
        <w:rPr>
          <w:rFonts w:hint="default" w:ascii="Times New Roman" w:hAnsi="Times New Roman" w:cs="Times New Roman"/>
          <w:kern w:val="0"/>
          <w:sz w:val="24"/>
          <w:highlight w:val="none"/>
        </w:rPr>
        <w:t>数据均来自于</w:t>
      </w:r>
      <w:r>
        <w:rPr>
          <w:rFonts w:hint="default" w:ascii="Times New Roman" w:hAnsi="Times New Roman" w:cs="Times New Roman"/>
          <w:highlight w:val="none"/>
          <w:lang w:val="en-US" w:eastAsia="zh-CN"/>
        </w:rPr>
        <w:t>编制组</w:t>
      </w:r>
      <w:r>
        <w:rPr>
          <w:rFonts w:hint="default" w:ascii="Times New Roman" w:hAnsi="Times New Roman" w:cs="Times New Roman"/>
          <w:kern w:val="0"/>
          <w:sz w:val="24"/>
          <w:highlight w:val="none"/>
        </w:rPr>
        <w:t>实测数据</w:t>
      </w:r>
      <w:r>
        <w:rPr>
          <w:rFonts w:hint="default" w:ascii="Times New Roman" w:hAnsi="Times New Roman" w:cs="Times New Roman"/>
          <w:sz w:val="24"/>
          <w:highlight w:val="none"/>
        </w:rPr>
        <w:t>。</w:t>
      </w:r>
    </w:p>
    <w:p w14:paraId="33EE49D0">
      <w:pPr>
        <w:keepNext/>
        <w:keepLines w:val="0"/>
        <w:pageBreakBefore w:val="0"/>
        <w:widowControl w:val="0"/>
        <w:kinsoku/>
        <w:wordWrap/>
        <w:autoSpaceDE/>
        <w:autoSpaceDN/>
        <w:bidi w:val="0"/>
        <w:rPr>
          <w:rFonts w:hint="default" w:ascii="Times New Roman" w:hAnsi="Times New Roman" w:cs="Times New Roman"/>
          <w:color w:val="000000"/>
          <w:kern w:val="0"/>
          <w:sz w:val="24"/>
          <w:highlight w:val="none"/>
          <w:lang w:val="en-US" w:eastAsia="zh-CN"/>
        </w:rPr>
      </w:pPr>
      <w:r>
        <w:rPr>
          <w:rFonts w:hint="default" w:ascii="Times New Roman" w:hAnsi="Times New Roman" w:cs="Times New Roman"/>
          <w:sz w:val="24"/>
          <w:highlight w:val="none"/>
        </w:rPr>
        <w:t>可以看出，</w:t>
      </w:r>
      <w:r>
        <w:rPr>
          <w:rFonts w:hint="default" w:ascii="Times New Roman" w:hAnsi="Times New Roman" w:cs="Times New Roman"/>
          <w:kern w:val="0"/>
          <w:sz w:val="24"/>
          <w:highlight w:val="none"/>
        </w:rPr>
        <w:t>非甲烷总烃无组织的</w:t>
      </w:r>
      <w:r>
        <w:rPr>
          <w:rFonts w:hint="default" w:ascii="Times New Roman" w:hAnsi="Times New Roman" w:cs="Times New Roman"/>
          <w:kern w:val="0"/>
          <w:sz w:val="24"/>
          <w:highlight w:val="none"/>
          <w:lang w:val="en-US" w:eastAsia="zh-CN"/>
        </w:rPr>
        <w:t>小时均值</w:t>
      </w:r>
      <w:r>
        <w:rPr>
          <w:rFonts w:hint="default" w:ascii="Times New Roman" w:hAnsi="Times New Roman" w:cs="Times New Roman"/>
          <w:sz w:val="24"/>
          <w:highlight w:val="none"/>
        </w:rPr>
        <w:t>浓度范围在</w:t>
      </w:r>
      <w:r>
        <w:rPr>
          <w:rFonts w:hint="default" w:ascii="Times New Roman" w:hAnsi="Times New Roman" w:cs="Times New Roman"/>
          <w:sz w:val="24"/>
          <w:highlight w:val="none"/>
          <w:lang w:val="en-US" w:eastAsia="zh-CN"/>
        </w:rPr>
        <w:t>0.6</w:t>
      </w:r>
      <w:r>
        <w:rPr>
          <w:rFonts w:hint="default" w:ascii="Times New Roman" w:hAnsi="Times New Roman" w:cs="Times New Roman"/>
          <w:sz w:val="24"/>
          <w:highlight w:val="none"/>
        </w:rPr>
        <w:t>~</w:t>
      </w:r>
      <w:r>
        <w:rPr>
          <w:rFonts w:hint="default" w:ascii="Times New Roman" w:hAnsi="Times New Roman" w:cs="Times New Roman"/>
          <w:sz w:val="24"/>
          <w:highlight w:val="none"/>
          <w:lang w:val="en-US" w:eastAsia="zh-CN"/>
        </w:rPr>
        <w:t>14.3</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sz w:val="24"/>
          <w:highlight w:val="none"/>
        </w:rPr>
        <w:t>《四川省固定源大气挥发性有机物排放标准》（DB51/2377</w:t>
      </w:r>
      <w:r>
        <w:rPr>
          <w:rFonts w:hint="eastAsia" w:ascii="Times New Roman" w:hAnsi="Times New Roman" w:cs="Times New Roman"/>
          <w:sz w:val="24"/>
          <w:highlight w:val="none"/>
          <w:lang w:eastAsia="zh-CN"/>
        </w:rPr>
        <w:t>—</w:t>
      </w:r>
      <w:r>
        <w:rPr>
          <w:rFonts w:hint="default" w:ascii="Times New Roman" w:hAnsi="Times New Roman" w:cs="Times New Roman"/>
          <w:sz w:val="24"/>
          <w:highlight w:val="none"/>
        </w:rPr>
        <w:t>20</w:t>
      </w:r>
      <w:r>
        <w:rPr>
          <w:rFonts w:hint="default" w:ascii="Times New Roman" w:hAnsi="Times New Roman" w:cs="Times New Roman"/>
          <w:sz w:val="24"/>
          <w:highlight w:val="none"/>
          <w:lang w:val="en-US" w:eastAsia="zh-CN"/>
        </w:rPr>
        <w:t>17</w:t>
      </w:r>
      <w:r>
        <w:rPr>
          <w:rFonts w:hint="default" w:ascii="Times New Roman" w:hAnsi="Times New Roman" w:cs="Times New Roman"/>
          <w:sz w:val="24"/>
          <w:highlight w:val="none"/>
        </w:rPr>
        <w:t>）非甲烷总烃无组织排放管控的标准要求</w:t>
      </w:r>
      <w:r>
        <w:rPr>
          <w:rFonts w:hint="default" w:ascii="Times New Roman" w:hAnsi="Times New Roman" w:cs="Times New Roman"/>
          <w:sz w:val="24"/>
          <w:highlight w:val="none"/>
          <w:lang w:val="en-US" w:eastAsia="zh-CN"/>
        </w:rPr>
        <w:t>针对厂界</w:t>
      </w:r>
      <w:r>
        <w:rPr>
          <w:rFonts w:hint="default" w:ascii="Times New Roman" w:hAnsi="Times New Roman" w:cs="Times New Roman"/>
          <w:sz w:val="24"/>
          <w:highlight w:val="none"/>
        </w:rPr>
        <w:t>，</w:t>
      </w:r>
      <w:r>
        <w:rPr>
          <w:rFonts w:hint="default" w:ascii="Times New Roman" w:hAnsi="Times New Roman" w:cs="Times New Roman"/>
          <w:sz w:val="24"/>
          <w:highlight w:val="none"/>
          <w:lang w:val="en-US" w:eastAsia="zh-CN"/>
        </w:rPr>
        <w:t>暂不对比</w:t>
      </w:r>
      <w:r>
        <w:rPr>
          <w:rFonts w:hint="default" w:ascii="Times New Roman" w:hAnsi="Times New Roman" w:cs="Times New Roman"/>
          <w:color w:val="000000"/>
          <w:kern w:val="0"/>
          <w:sz w:val="24"/>
          <w:highlight w:val="none"/>
          <w:lang w:val="en-US" w:eastAsia="zh-CN"/>
        </w:rPr>
        <w:t>。</w:t>
      </w:r>
    </w:p>
    <w:p w14:paraId="2485E650">
      <w:pPr>
        <w:keepNext/>
        <w:keepLines w:val="0"/>
        <w:pageBreakBefore w:val="0"/>
        <w:widowControl w:val="0"/>
        <w:kinsoku/>
        <w:wordWrap/>
        <w:autoSpaceDE/>
        <w:autoSpaceDN/>
        <w:bidi w:val="0"/>
        <w:spacing w:line="360" w:lineRule="auto"/>
        <w:ind w:firstLine="480" w:firstLineChars="200"/>
        <w:rPr>
          <w:rFonts w:hint="default" w:ascii="Times New Roman" w:hAnsi="Times New Roman" w:cs="Times New Roman"/>
          <w:color w:val="000000"/>
          <w:kern w:val="0"/>
          <w:sz w:val="24"/>
          <w:highlight w:val="none"/>
        </w:rPr>
      </w:pPr>
      <w:r>
        <w:rPr>
          <w:rFonts w:hint="default" w:ascii="Times New Roman" w:hAnsi="Times New Roman" w:cs="Times New Roman"/>
          <w:color w:val="000000"/>
          <w:kern w:val="0"/>
          <w:sz w:val="24"/>
          <w:highlight w:val="none"/>
        </w:rPr>
        <w:t>分</w:t>
      </w:r>
      <w:r>
        <w:rPr>
          <w:rFonts w:hint="default" w:ascii="Times New Roman" w:hAnsi="Times New Roman" w:cs="Times New Roman"/>
          <w:color w:val="000000"/>
          <w:kern w:val="0"/>
          <w:sz w:val="24"/>
          <w:highlight w:val="none"/>
          <w:lang w:eastAsia="zh-CN"/>
        </w:rPr>
        <w:t>汽车维修</w:t>
      </w:r>
      <w:r>
        <w:rPr>
          <w:rFonts w:hint="default" w:ascii="Times New Roman" w:hAnsi="Times New Roman" w:cs="Times New Roman"/>
          <w:color w:val="000000"/>
          <w:kern w:val="0"/>
          <w:sz w:val="24"/>
          <w:highlight w:val="none"/>
        </w:rPr>
        <w:t>等级来看</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rPr>
        <w:t>一类</w:t>
      </w:r>
      <w:r>
        <w:rPr>
          <w:rFonts w:hint="default" w:ascii="Times New Roman" w:hAnsi="Times New Roman" w:cs="Times New Roman"/>
          <w:color w:val="000000"/>
          <w:kern w:val="0"/>
          <w:sz w:val="24"/>
          <w:highlight w:val="none"/>
          <w:lang w:eastAsia="zh-CN"/>
        </w:rPr>
        <w:t>汽车维修</w:t>
      </w:r>
      <w:r>
        <w:rPr>
          <w:rFonts w:hint="default" w:ascii="Times New Roman" w:hAnsi="Times New Roman" w:cs="Times New Roman"/>
          <w:color w:val="000000"/>
          <w:kern w:val="0"/>
          <w:sz w:val="24"/>
          <w:highlight w:val="none"/>
        </w:rPr>
        <w:t>企业</w:t>
      </w:r>
      <w:r>
        <w:rPr>
          <w:rFonts w:hint="default" w:ascii="Times New Roman" w:hAnsi="Times New Roman" w:cs="Times New Roman"/>
          <w:kern w:val="0"/>
          <w:sz w:val="24"/>
          <w:highlight w:val="none"/>
        </w:rPr>
        <w:t>非甲烷总烃无组织的</w:t>
      </w:r>
      <w:r>
        <w:rPr>
          <w:rFonts w:hint="default" w:ascii="Times New Roman" w:hAnsi="Times New Roman" w:cs="Times New Roman"/>
          <w:kern w:val="0"/>
          <w:sz w:val="24"/>
          <w:highlight w:val="none"/>
          <w:lang w:val="en-US" w:eastAsia="zh-CN"/>
        </w:rPr>
        <w:t>小时均值</w:t>
      </w:r>
      <w:r>
        <w:rPr>
          <w:rFonts w:hint="default" w:ascii="Times New Roman" w:hAnsi="Times New Roman" w:cs="Times New Roman"/>
          <w:color w:val="000000"/>
          <w:kern w:val="0"/>
          <w:sz w:val="24"/>
          <w:highlight w:val="none"/>
        </w:rPr>
        <w:t>浓度范围在</w:t>
      </w:r>
      <w:r>
        <w:rPr>
          <w:rFonts w:hint="default" w:ascii="Times New Roman" w:hAnsi="Times New Roman" w:cs="Times New Roman"/>
          <w:color w:val="000000"/>
          <w:kern w:val="0"/>
          <w:sz w:val="24"/>
          <w:highlight w:val="none"/>
          <w:lang w:val="en-US" w:eastAsia="zh-CN"/>
        </w:rPr>
        <w:t>0.6</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val="en-US" w:eastAsia="zh-CN"/>
        </w:rPr>
        <w:t>3.4</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color w:val="000000"/>
          <w:kern w:val="0"/>
          <w:sz w:val="24"/>
          <w:highlight w:val="none"/>
          <w:lang w:val="en-US" w:eastAsia="zh-CN"/>
        </w:rPr>
        <w:t>平均浓度为1.6±0.8</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rPr>
        <w:t>二类</w:t>
      </w:r>
      <w:r>
        <w:rPr>
          <w:rFonts w:hint="default" w:ascii="Times New Roman" w:hAnsi="Times New Roman" w:cs="Times New Roman"/>
          <w:color w:val="000000"/>
          <w:kern w:val="0"/>
          <w:sz w:val="24"/>
          <w:highlight w:val="none"/>
          <w:lang w:eastAsia="zh-CN"/>
        </w:rPr>
        <w:t>汽车维修</w:t>
      </w:r>
      <w:r>
        <w:rPr>
          <w:rFonts w:hint="default" w:ascii="Times New Roman" w:hAnsi="Times New Roman" w:cs="Times New Roman"/>
          <w:color w:val="000000"/>
          <w:kern w:val="0"/>
          <w:sz w:val="24"/>
          <w:highlight w:val="none"/>
        </w:rPr>
        <w:t>企业的浓度范围在</w:t>
      </w:r>
      <w:r>
        <w:rPr>
          <w:rFonts w:hint="default" w:ascii="Times New Roman" w:hAnsi="Times New Roman" w:cs="Times New Roman"/>
          <w:color w:val="000000"/>
          <w:kern w:val="0"/>
          <w:sz w:val="24"/>
          <w:highlight w:val="none"/>
          <w:lang w:val="en-US" w:eastAsia="zh-CN"/>
        </w:rPr>
        <w:t>0.7</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val="en-US" w:eastAsia="zh-CN"/>
        </w:rPr>
        <w:t>2.1</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color w:val="000000"/>
          <w:kern w:val="0"/>
          <w:sz w:val="24"/>
          <w:highlight w:val="none"/>
          <w:lang w:val="en-US" w:eastAsia="zh-CN"/>
        </w:rPr>
        <w:t>平均浓度为1.6±0.5</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rPr>
        <w:t>三类</w:t>
      </w:r>
      <w:r>
        <w:rPr>
          <w:rFonts w:hint="default" w:ascii="Times New Roman" w:hAnsi="Times New Roman" w:cs="Times New Roman"/>
          <w:color w:val="000000"/>
          <w:kern w:val="0"/>
          <w:sz w:val="24"/>
          <w:highlight w:val="none"/>
          <w:lang w:eastAsia="zh-CN"/>
        </w:rPr>
        <w:t>汽车维修</w:t>
      </w:r>
      <w:r>
        <w:rPr>
          <w:rFonts w:hint="default" w:ascii="Times New Roman" w:hAnsi="Times New Roman" w:cs="Times New Roman"/>
          <w:color w:val="000000"/>
          <w:kern w:val="0"/>
          <w:sz w:val="24"/>
          <w:highlight w:val="none"/>
        </w:rPr>
        <w:t>企业的浓度范围在</w:t>
      </w:r>
      <w:r>
        <w:rPr>
          <w:rFonts w:hint="default" w:ascii="Times New Roman" w:hAnsi="Times New Roman" w:cs="Times New Roman"/>
          <w:color w:val="000000"/>
          <w:kern w:val="0"/>
          <w:sz w:val="24"/>
          <w:highlight w:val="none"/>
          <w:lang w:val="en-US" w:eastAsia="zh-CN"/>
        </w:rPr>
        <w:t>0.7</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val="en-US" w:eastAsia="zh-CN"/>
        </w:rPr>
        <w:t>3.7</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color w:val="000000"/>
          <w:kern w:val="0"/>
          <w:sz w:val="24"/>
          <w:highlight w:val="none"/>
          <w:lang w:val="en-US" w:eastAsia="zh-CN"/>
        </w:rPr>
        <w:t>平均浓度为1.5±0.9</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rPr>
        <w:t>整体来看</w:t>
      </w:r>
      <w:r>
        <w:rPr>
          <w:rFonts w:hint="default" w:ascii="Times New Roman" w:hAnsi="Times New Roman" w:cs="Times New Roman"/>
          <w:color w:val="000000"/>
          <w:kern w:val="0"/>
          <w:sz w:val="24"/>
          <w:highlight w:val="none"/>
          <w:lang w:val="en-US" w:eastAsia="zh-CN"/>
        </w:rPr>
        <w:t>一类、二类</w:t>
      </w:r>
      <w:r>
        <w:rPr>
          <w:rFonts w:hint="default" w:ascii="Times New Roman" w:hAnsi="Times New Roman" w:cs="Times New Roman"/>
          <w:color w:val="000000"/>
          <w:kern w:val="0"/>
          <w:sz w:val="24"/>
          <w:highlight w:val="none"/>
          <w:lang w:eastAsia="zh-CN"/>
        </w:rPr>
        <w:t>汽车维修</w:t>
      </w:r>
      <w:r>
        <w:rPr>
          <w:rFonts w:hint="default" w:ascii="Times New Roman" w:hAnsi="Times New Roman" w:cs="Times New Roman"/>
          <w:color w:val="000000"/>
          <w:kern w:val="0"/>
          <w:sz w:val="24"/>
          <w:highlight w:val="none"/>
        </w:rPr>
        <w:t>企业</w:t>
      </w:r>
      <w:r>
        <w:rPr>
          <w:rFonts w:hint="default" w:ascii="Times New Roman" w:hAnsi="Times New Roman" w:cs="Times New Roman"/>
          <w:color w:val="000000"/>
          <w:kern w:val="0"/>
          <w:sz w:val="24"/>
          <w:highlight w:val="none"/>
          <w:lang w:val="en-US" w:eastAsia="zh-CN"/>
        </w:rPr>
        <w:t>无组织非甲烷总烃</w:t>
      </w:r>
      <w:r>
        <w:rPr>
          <w:rFonts w:hint="default" w:ascii="Times New Roman" w:hAnsi="Times New Roman" w:cs="Times New Roman"/>
          <w:color w:val="000000"/>
          <w:kern w:val="0"/>
          <w:sz w:val="24"/>
          <w:highlight w:val="none"/>
        </w:rPr>
        <w:t>的排放浓度相对较高。</w:t>
      </w:r>
    </w:p>
    <w:p w14:paraId="3FC6A05D">
      <w:pPr>
        <w:keepNext/>
        <w:keepLines w:val="0"/>
        <w:pageBreakBefore w:val="0"/>
        <w:widowControl w:val="0"/>
        <w:kinsoku/>
        <w:wordWrap/>
        <w:autoSpaceDE/>
        <w:autoSpaceDN/>
        <w:bidi w:val="0"/>
        <w:rPr>
          <w:rFonts w:hint="default" w:ascii="Times New Roman" w:hAnsi="Times New Roman" w:eastAsia="宋体" w:cs="Times New Roman"/>
          <w:b/>
          <w:bCs/>
          <w:color w:val="000000"/>
          <w:kern w:val="0"/>
          <w:sz w:val="24"/>
          <w:highlight w:val="none"/>
          <w:vertAlign w:val="baseline"/>
          <w:lang w:eastAsia="zh-CN"/>
        </w:rPr>
      </w:pPr>
      <w:r>
        <w:rPr>
          <w:rFonts w:hint="default" w:ascii="Times New Roman" w:hAnsi="Times New Roman" w:cs="Times New Roman"/>
          <w:sz w:val="24"/>
          <w:highlight w:val="none"/>
        </w:rPr>
        <w:t>经统计，</w:t>
      </w:r>
      <w:r>
        <w:rPr>
          <w:rFonts w:hint="default" w:ascii="Times New Roman" w:hAnsi="Times New Roman" w:cs="Times New Roman"/>
          <w:color w:val="000000"/>
          <w:kern w:val="0"/>
          <w:sz w:val="24"/>
          <w:highlight w:val="none"/>
          <w:lang w:val="en-US" w:eastAsia="zh-CN"/>
        </w:rPr>
        <w:t>平均浓度为2.6±2.5</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vertAlign w:val="baseline"/>
          <w:lang w:eastAsia="zh-CN"/>
        </w:rPr>
        <w:t>，</w:t>
      </w:r>
      <w:r>
        <w:rPr>
          <w:rFonts w:hint="default" w:ascii="Times New Roman" w:hAnsi="Times New Roman" w:cs="Times New Roman"/>
          <w:color w:val="000000"/>
          <w:kern w:val="0"/>
          <w:sz w:val="24"/>
          <w:highlight w:val="none"/>
        </w:rPr>
        <w:t>浓度</w:t>
      </w:r>
      <w:r>
        <w:rPr>
          <w:rFonts w:hint="default" w:ascii="Times New Roman" w:hAnsi="Times New Roman" w:cs="Times New Roman"/>
          <w:color w:val="000000"/>
          <w:kern w:val="0"/>
          <w:sz w:val="24"/>
          <w:highlight w:val="none"/>
          <w:lang w:val="en-US" w:eastAsia="zh-CN"/>
        </w:rPr>
        <w:t>0~2</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lang w:val="en-US" w:eastAsia="zh-CN"/>
        </w:rPr>
        <w:t>占比56%，2~3</w:t>
      </w:r>
      <w:r>
        <w:rPr>
          <w:rFonts w:hint="default" w:ascii="Times New Roman" w:hAnsi="Times New Roman" w:cs="Times New Roman"/>
          <w:color w:val="000000"/>
          <w:kern w:val="0"/>
          <w:sz w:val="24"/>
          <w:highlight w:val="none"/>
        </w:rPr>
        <w:t xml:space="preserve"> 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占比</w:t>
      </w:r>
      <w:r>
        <w:rPr>
          <w:rFonts w:hint="default" w:ascii="Times New Roman" w:hAnsi="Times New Roman" w:cs="Times New Roman"/>
          <w:color w:val="000000"/>
          <w:kern w:val="0"/>
          <w:sz w:val="24"/>
          <w:highlight w:val="none"/>
          <w:lang w:val="en-US" w:eastAsia="zh-CN"/>
        </w:rPr>
        <w:t>24</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val="en-US" w:eastAsia="zh-CN"/>
        </w:rPr>
        <w:t>3~4</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占比</w:t>
      </w:r>
      <w:r>
        <w:rPr>
          <w:rFonts w:hint="default" w:ascii="Times New Roman" w:hAnsi="Times New Roman" w:cs="Times New Roman"/>
          <w:color w:val="000000"/>
          <w:kern w:val="0"/>
          <w:sz w:val="24"/>
          <w:highlight w:val="none"/>
          <w:lang w:val="en-US" w:eastAsia="zh-CN"/>
        </w:rPr>
        <w:t>6</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val="en-US" w:eastAsia="zh-CN"/>
        </w:rPr>
        <w:t>4~6</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占比</w:t>
      </w:r>
      <w:r>
        <w:rPr>
          <w:rFonts w:hint="default" w:ascii="Times New Roman" w:hAnsi="Times New Roman" w:cs="Times New Roman"/>
          <w:color w:val="000000"/>
          <w:kern w:val="0"/>
          <w:sz w:val="24"/>
          <w:highlight w:val="none"/>
          <w:lang w:val="en-US" w:eastAsia="zh-CN"/>
        </w:rPr>
        <w:t>6</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val="en-US" w:eastAsia="zh-CN"/>
        </w:rPr>
        <w:t>6</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vertAlign w:val="baseline"/>
          <w:lang w:val="en-US" w:eastAsia="zh-CN"/>
        </w:rPr>
        <w:t>以上</w:t>
      </w:r>
      <w:r>
        <w:rPr>
          <w:rFonts w:hint="default" w:ascii="Times New Roman" w:hAnsi="Times New Roman" w:cs="Times New Roman"/>
          <w:color w:val="000000"/>
          <w:kern w:val="0"/>
          <w:sz w:val="24"/>
          <w:highlight w:val="none"/>
        </w:rPr>
        <w:t>占比</w:t>
      </w:r>
      <w:r>
        <w:rPr>
          <w:rFonts w:hint="default" w:ascii="Times New Roman" w:hAnsi="Times New Roman" w:cs="Times New Roman"/>
          <w:color w:val="000000"/>
          <w:kern w:val="0"/>
          <w:sz w:val="24"/>
          <w:highlight w:val="none"/>
          <w:lang w:val="en-US" w:eastAsia="zh-CN"/>
        </w:rPr>
        <w:t>9</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eastAsia="zh-CN"/>
        </w:rPr>
        <w:t>。</w:t>
      </w:r>
      <w:r>
        <w:rPr>
          <w:rFonts w:hint="eastAsia" w:cs="Times New Roman"/>
          <w:color w:val="000000"/>
          <w:kern w:val="0"/>
          <w:sz w:val="24"/>
          <w:highlight w:val="none"/>
          <w:lang w:val="en-US" w:eastAsia="zh-CN"/>
        </w:rPr>
        <w:t>其中，序号1~39为企业2024年自行监测数据，40~54为2022年编制组实测数据，在企业2024年自行监测数据中，</w:t>
      </w:r>
      <w:r>
        <w:rPr>
          <w:rFonts w:hint="default" w:ascii="Times New Roman" w:hAnsi="Times New Roman" w:cs="Times New Roman"/>
          <w:b/>
          <w:bCs/>
          <w:color w:val="000000"/>
          <w:kern w:val="0"/>
          <w:sz w:val="24"/>
          <w:highlight w:val="none"/>
        </w:rPr>
        <w:t>约</w:t>
      </w:r>
      <w:r>
        <w:rPr>
          <w:rFonts w:hint="eastAsia" w:cs="Times New Roman"/>
          <w:b/>
          <w:bCs/>
          <w:color w:val="000000"/>
          <w:kern w:val="0"/>
          <w:sz w:val="24"/>
          <w:highlight w:val="none"/>
          <w:lang w:val="en-US" w:eastAsia="zh-CN"/>
        </w:rPr>
        <w:t>69</w:t>
      </w:r>
      <w:r>
        <w:rPr>
          <w:rFonts w:hint="default" w:ascii="Times New Roman" w:hAnsi="Times New Roman" w:cs="Times New Roman"/>
          <w:b/>
          <w:bCs/>
          <w:color w:val="000000"/>
          <w:kern w:val="0"/>
          <w:sz w:val="24"/>
          <w:highlight w:val="none"/>
        </w:rPr>
        <w:t>%的</w:t>
      </w:r>
      <w:r>
        <w:rPr>
          <w:rFonts w:hint="default" w:ascii="Times New Roman" w:hAnsi="Times New Roman" w:cs="Times New Roman"/>
          <w:b/>
          <w:bCs/>
          <w:color w:val="000000"/>
          <w:kern w:val="0"/>
          <w:sz w:val="24"/>
          <w:highlight w:val="none"/>
          <w:lang w:val="en-US" w:eastAsia="zh-CN"/>
        </w:rPr>
        <w:t>无组织非甲烷总烃小时均值</w:t>
      </w:r>
      <w:r>
        <w:rPr>
          <w:rFonts w:hint="default" w:ascii="Times New Roman" w:hAnsi="Times New Roman" w:cs="Times New Roman"/>
          <w:b/>
          <w:bCs/>
          <w:color w:val="000000"/>
          <w:kern w:val="0"/>
          <w:sz w:val="24"/>
          <w:highlight w:val="none"/>
        </w:rPr>
        <w:t>浓度低于</w:t>
      </w:r>
      <w:r>
        <w:rPr>
          <w:rFonts w:hint="eastAsia" w:cs="Times New Roman"/>
          <w:b/>
          <w:bCs/>
          <w:color w:val="000000"/>
          <w:kern w:val="0"/>
          <w:sz w:val="24"/>
          <w:highlight w:val="none"/>
          <w:lang w:val="en-US" w:eastAsia="zh-CN"/>
        </w:rPr>
        <w:t xml:space="preserve">2 </w:t>
      </w:r>
      <w:r>
        <w:rPr>
          <w:rFonts w:hint="default" w:ascii="Times New Roman" w:hAnsi="Times New Roman" w:cs="Times New Roman"/>
          <w:b/>
          <w:bCs/>
          <w:color w:val="000000"/>
          <w:kern w:val="0"/>
          <w:sz w:val="24"/>
          <w:highlight w:val="none"/>
        </w:rPr>
        <w:t>mg/m</w:t>
      </w:r>
      <w:r>
        <w:rPr>
          <w:rFonts w:hint="default" w:ascii="Times New Roman" w:hAnsi="Times New Roman" w:cs="Times New Roman"/>
          <w:b/>
          <w:bCs/>
          <w:color w:val="000000"/>
          <w:kern w:val="0"/>
          <w:sz w:val="24"/>
          <w:highlight w:val="none"/>
          <w:vertAlign w:val="superscript"/>
        </w:rPr>
        <w:t>3</w:t>
      </w:r>
      <w:r>
        <w:rPr>
          <w:rFonts w:hint="default" w:ascii="Times New Roman" w:hAnsi="Times New Roman" w:cs="Times New Roman"/>
          <w:b/>
          <w:bCs/>
          <w:color w:val="000000"/>
          <w:kern w:val="0"/>
          <w:sz w:val="24"/>
          <w:highlight w:val="none"/>
          <w:vertAlign w:val="baseline"/>
          <w:lang w:eastAsia="zh-CN"/>
        </w:rPr>
        <w:t>。</w:t>
      </w:r>
    </w:p>
    <w:p w14:paraId="74F20830">
      <w:pPr>
        <w:keepNext/>
        <w:keepLines w:val="0"/>
        <w:pageBreakBefore w:val="0"/>
        <w:widowControl w:val="0"/>
        <w:kinsoku/>
        <w:wordWrap/>
        <w:autoSpaceDE/>
        <w:autoSpaceDN/>
        <w:bidi w:val="0"/>
        <w:spacing w:line="360" w:lineRule="auto"/>
        <w:ind w:firstLine="482" w:firstLineChars="200"/>
        <w:rPr>
          <w:rFonts w:hint="default" w:ascii="Times New Roman" w:hAnsi="Times New Roman" w:eastAsia="宋体" w:cs="Times New Roman"/>
          <w:sz w:val="24"/>
          <w:highlight w:val="none"/>
          <w:lang w:eastAsia="zh-CN"/>
        </w:rPr>
      </w:pPr>
      <w:r>
        <w:rPr>
          <w:rFonts w:hint="default" w:ascii="Times New Roman" w:hAnsi="Times New Roman" w:cs="Times New Roman"/>
          <w:b/>
          <w:bCs/>
          <w:color w:val="000000"/>
          <w:kern w:val="0"/>
          <w:sz w:val="24"/>
          <w:highlight w:val="none"/>
          <w:lang w:val="en-US" w:eastAsia="zh-CN"/>
        </w:rPr>
        <w:t>综合以上，结合我省实际情况</w:t>
      </w:r>
      <w:r>
        <w:rPr>
          <w:rFonts w:hint="default" w:ascii="Times New Roman" w:hAnsi="Times New Roman" w:cs="Times New Roman"/>
          <w:b/>
          <w:bCs/>
          <w:color w:val="000000"/>
          <w:kern w:val="0"/>
          <w:sz w:val="24"/>
          <w:highlight w:val="none"/>
          <w:lang w:eastAsia="zh-CN"/>
        </w:rPr>
        <w:t>，</w:t>
      </w:r>
      <w:r>
        <w:rPr>
          <w:rFonts w:hint="default" w:ascii="Times New Roman" w:hAnsi="Times New Roman" w:cs="Times New Roman"/>
          <w:b/>
          <w:bCs/>
          <w:color w:val="000000"/>
          <w:sz w:val="24"/>
          <w:szCs w:val="24"/>
          <w:highlight w:val="none"/>
          <w:lang w:val="en-US" w:eastAsia="zh-CN"/>
        </w:rPr>
        <w:t>将无组织非甲烷总烃小时均值浓度</w:t>
      </w:r>
      <w:r>
        <w:rPr>
          <w:rFonts w:hint="default" w:ascii="Times New Roman" w:hAnsi="Times New Roman" w:cs="Times New Roman"/>
          <w:b/>
          <w:bCs/>
          <w:color w:val="000000"/>
          <w:kern w:val="0"/>
          <w:sz w:val="24"/>
          <w:highlight w:val="none"/>
        </w:rPr>
        <w:t>的限值定为</w:t>
      </w:r>
      <w:r>
        <w:rPr>
          <w:rFonts w:hint="eastAsia" w:cs="Times New Roman"/>
          <w:b/>
          <w:bCs/>
          <w:color w:val="000000"/>
          <w:kern w:val="0"/>
          <w:sz w:val="24"/>
          <w:highlight w:val="none"/>
          <w:lang w:val="en-US" w:eastAsia="zh-CN"/>
        </w:rPr>
        <w:t>2</w:t>
      </w:r>
      <w:r>
        <w:rPr>
          <w:rFonts w:hint="default" w:ascii="Times New Roman" w:hAnsi="Times New Roman" w:cs="Times New Roman"/>
          <w:b/>
          <w:bCs/>
          <w:color w:val="000000"/>
          <w:kern w:val="0"/>
          <w:sz w:val="24"/>
          <w:highlight w:val="none"/>
          <w:lang w:val="en-US" w:eastAsia="zh-CN"/>
        </w:rPr>
        <w:t xml:space="preserve"> </w:t>
      </w:r>
      <w:r>
        <w:rPr>
          <w:rFonts w:hint="default" w:ascii="Times New Roman" w:hAnsi="Times New Roman" w:cs="Times New Roman"/>
          <w:b/>
          <w:bCs/>
          <w:color w:val="000000"/>
          <w:kern w:val="0"/>
          <w:sz w:val="24"/>
          <w:highlight w:val="none"/>
        </w:rPr>
        <w:t>mg/m</w:t>
      </w:r>
      <w:r>
        <w:rPr>
          <w:rFonts w:hint="default" w:ascii="Times New Roman" w:hAnsi="Times New Roman" w:cs="Times New Roman"/>
          <w:b/>
          <w:bCs/>
          <w:color w:val="000000"/>
          <w:kern w:val="0"/>
          <w:sz w:val="24"/>
          <w:highlight w:val="none"/>
          <w:vertAlign w:val="superscript"/>
        </w:rPr>
        <w:t>3</w:t>
      </w:r>
      <w:r>
        <w:rPr>
          <w:rFonts w:hint="default" w:ascii="Times New Roman" w:hAnsi="Times New Roman" w:cs="Times New Roman"/>
          <w:b/>
          <w:bCs/>
          <w:color w:val="000000"/>
          <w:kern w:val="0"/>
          <w:sz w:val="24"/>
          <w:highlight w:val="none"/>
          <w:lang w:eastAsia="zh-CN"/>
        </w:rPr>
        <w:t>。</w:t>
      </w:r>
    </w:p>
    <w:p w14:paraId="449E5E3D">
      <w:pPr>
        <w:keepNext/>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kern w:val="0"/>
          <w:szCs w:val="21"/>
          <w:highlight w:val="none"/>
          <w:lang w:eastAsia="zh-CN"/>
        </w:rPr>
      </w:pPr>
      <w:r>
        <w:rPr>
          <w:rFonts w:hint="eastAsia" w:cs="Times New Roman"/>
          <w:kern w:val="0"/>
          <w:szCs w:val="21"/>
          <w:highlight w:val="none"/>
          <w:lang w:val="en-US" w:eastAsia="zh-CN"/>
        </w:rPr>
        <w:t>表7.6</w:t>
      </w:r>
      <w:r>
        <w:rPr>
          <w:rFonts w:hint="default" w:ascii="Times New Roman" w:hAnsi="Times New Roman" w:cs="Times New Roman"/>
          <w:kern w:val="0"/>
          <w:szCs w:val="21"/>
          <w:highlight w:val="none"/>
        </w:rPr>
        <w:t>-</w:t>
      </w:r>
      <w:r>
        <w:rPr>
          <w:rFonts w:hint="eastAsia" w:cs="Times New Roman"/>
          <w:kern w:val="0"/>
          <w:szCs w:val="21"/>
          <w:highlight w:val="none"/>
          <w:lang w:val="en-US" w:eastAsia="zh-CN"/>
        </w:rPr>
        <w:t xml:space="preserve">3 </w:t>
      </w:r>
      <w:r>
        <w:rPr>
          <w:rFonts w:hint="default" w:ascii="Times New Roman" w:hAnsi="Times New Roman" w:cs="Times New Roman"/>
          <w:kern w:val="0"/>
          <w:szCs w:val="21"/>
          <w:highlight w:val="none"/>
        </w:rPr>
        <w:t>非甲烷总烃无组织排放浓度测试结果</w:t>
      </w:r>
      <w:r>
        <w:rPr>
          <w:rFonts w:hint="default" w:ascii="Times New Roman" w:hAnsi="Times New Roman" w:cs="Times New Roman"/>
          <w:kern w:val="0"/>
          <w:szCs w:val="21"/>
          <w:highlight w:val="none"/>
          <w:lang w:eastAsia="zh-CN"/>
        </w:rPr>
        <w:t>（</w:t>
      </w:r>
      <w:r>
        <w:rPr>
          <w:rFonts w:hint="default" w:ascii="Times New Roman" w:hAnsi="Times New Roman" w:cs="Times New Roman"/>
          <w:kern w:val="0"/>
          <w:szCs w:val="21"/>
          <w:highlight w:val="none"/>
          <w:lang w:val="en-US" w:eastAsia="zh-CN"/>
        </w:rPr>
        <w:t>小时均值</w:t>
      </w:r>
      <w:r>
        <w:rPr>
          <w:rFonts w:hint="default" w:ascii="Times New Roman" w:hAnsi="Times New Roman" w:cs="Times New Roman"/>
          <w:kern w:val="0"/>
          <w:szCs w:val="21"/>
          <w:highlight w:val="none"/>
          <w:lang w:eastAsia="zh-CN"/>
        </w:rPr>
        <w:t>）</w:t>
      </w:r>
    </w:p>
    <w:tbl>
      <w:tblPr>
        <w:tblStyle w:val="21"/>
        <w:tblW w:w="4998"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016"/>
        <w:gridCol w:w="1825"/>
        <w:gridCol w:w="1017"/>
        <w:gridCol w:w="1825"/>
        <w:gridCol w:w="1017"/>
        <w:gridCol w:w="1825"/>
      </w:tblGrid>
      <w:tr w14:paraId="048722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36" w:hRule="atLeast"/>
          <w:tblHeader/>
        </w:trPr>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CDEA8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lang w:val="en-US" w:eastAsia="zh-CN"/>
              </w:rPr>
            </w:pPr>
            <w:r>
              <w:rPr>
                <w:rFonts w:hint="default" w:ascii="Times New Roman" w:hAnsi="Times New Roman" w:cs="Times New Roman"/>
                <w:b/>
                <w:bCs/>
                <w:color w:val="000000"/>
                <w:kern w:val="0"/>
                <w:sz w:val="21"/>
                <w:szCs w:val="21"/>
                <w:highlight w:val="none"/>
                <w:lang w:val="en-US" w:eastAsia="zh-CN"/>
              </w:rPr>
              <w:t>序号</w:t>
            </w:r>
          </w:p>
        </w:tc>
        <w:tc>
          <w:tcPr>
            <w:tcW w:w="10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89AC5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lang w:val="en-US" w:eastAsia="zh-CN"/>
              </w:rPr>
            </w:pPr>
            <w:r>
              <w:rPr>
                <w:rFonts w:hint="default" w:ascii="Times New Roman" w:hAnsi="Times New Roman" w:cs="Times New Roman"/>
                <w:b/>
                <w:bCs/>
                <w:color w:val="000000"/>
                <w:kern w:val="0"/>
                <w:sz w:val="21"/>
                <w:szCs w:val="21"/>
                <w:highlight w:val="none"/>
                <w:lang w:val="en-US" w:eastAsia="zh-CN"/>
              </w:rPr>
              <w:t>非甲烷总烃浓度（无组织）（mg/m</w:t>
            </w:r>
            <w:r>
              <w:rPr>
                <w:rFonts w:hint="default" w:ascii="Times New Roman" w:hAnsi="Times New Roman" w:cs="Times New Roman"/>
                <w:b/>
                <w:bCs/>
                <w:color w:val="000000"/>
                <w:kern w:val="0"/>
                <w:sz w:val="21"/>
                <w:szCs w:val="21"/>
                <w:highlight w:val="none"/>
                <w:vertAlign w:val="superscript"/>
                <w:lang w:val="en-US" w:eastAsia="zh-CN"/>
              </w:rPr>
              <w:t>3</w:t>
            </w:r>
            <w:r>
              <w:rPr>
                <w:rFonts w:hint="default" w:ascii="Times New Roman" w:hAnsi="Times New Roman" w:cs="Times New Roman"/>
                <w:b/>
                <w:bCs/>
                <w:color w:val="000000"/>
                <w:kern w:val="0"/>
                <w:sz w:val="21"/>
                <w:szCs w:val="21"/>
                <w:highlight w:val="none"/>
                <w:lang w:val="en-US" w:eastAsia="zh-CN"/>
              </w:rPr>
              <w:t>）</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C73A7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lang w:val="en-US" w:eastAsia="zh-CN"/>
              </w:rPr>
            </w:pPr>
            <w:r>
              <w:rPr>
                <w:rFonts w:hint="default" w:ascii="Times New Roman" w:hAnsi="Times New Roman" w:cs="Times New Roman"/>
                <w:b/>
                <w:bCs/>
                <w:color w:val="000000"/>
                <w:kern w:val="0"/>
                <w:sz w:val="21"/>
                <w:szCs w:val="21"/>
                <w:highlight w:val="none"/>
                <w:lang w:val="en-US" w:eastAsia="zh-CN"/>
              </w:rPr>
              <w:t>序号</w:t>
            </w:r>
          </w:p>
        </w:tc>
        <w:tc>
          <w:tcPr>
            <w:tcW w:w="18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EF364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lang w:val="en-US" w:eastAsia="zh-CN"/>
              </w:rPr>
            </w:pPr>
            <w:r>
              <w:rPr>
                <w:rFonts w:hint="default" w:ascii="Times New Roman" w:hAnsi="Times New Roman" w:cs="Times New Roman"/>
                <w:b/>
                <w:bCs/>
                <w:color w:val="000000"/>
                <w:kern w:val="0"/>
                <w:sz w:val="21"/>
                <w:szCs w:val="21"/>
                <w:highlight w:val="none"/>
                <w:lang w:val="en-US" w:eastAsia="zh-CN"/>
              </w:rPr>
              <w:t>非甲烷总烃浓度（无组织）（mg/m</w:t>
            </w:r>
            <w:r>
              <w:rPr>
                <w:rFonts w:hint="default" w:ascii="Times New Roman" w:hAnsi="Times New Roman" w:cs="Times New Roman"/>
                <w:b/>
                <w:bCs/>
                <w:color w:val="000000"/>
                <w:kern w:val="0"/>
                <w:sz w:val="21"/>
                <w:szCs w:val="21"/>
                <w:highlight w:val="none"/>
                <w:vertAlign w:val="superscript"/>
                <w:lang w:val="en-US" w:eastAsia="zh-CN"/>
              </w:rPr>
              <w:t>3</w:t>
            </w:r>
            <w:r>
              <w:rPr>
                <w:rFonts w:hint="default" w:ascii="Times New Roman" w:hAnsi="Times New Roman" w:cs="Times New Roman"/>
                <w:b/>
                <w:bCs/>
                <w:color w:val="000000"/>
                <w:kern w:val="0"/>
                <w:sz w:val="21"/>
                <w:szCs w:val="21"/>
                <w:highlight w:val="none"/>
                <w:lang w:val="en-US" w:eastAsia="zh-CN"/>
              </w:rPr>
              <w:t>）</w:t>
            </w:r>
          </w:p>
        </w:tc>
        <w:tc>
          <w:tcPr>
            <w:tcW w:w="59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BD016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lang w:val="en-US" w:eastAsia="zh-CN"/>
              </w:rPr>
            </w:pPr>
            <w:r>
              <w:rPr>
                <w:rFonts w:hint="default" w:ascii="Times New Roman" w:hAnsi="Times New Roman" w:cs="Times New Roman"/>
                <w:b/>
                <w:bCs/>
                <w:color w:val="000000"/>
                <w:kern w:val="0"/>
                <w:sz w:val="21"/>
                <w:szCs w:val="21"/>
                <w:highlight w:val="none"/>
                <w:lang w:val="en-US" w:eastAsia="zh-CN"/>
              </w:rPr>
              <w:t>序号</w:t>
            </w:r>
          </w:p>
        </w:tc>
        <w:tc>
          <w:tcPr>
            <w:tcW w:w="18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B247D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lang w:val="en-US" w:eastAsia="zh-CN"/>
              </w:rPr>
            </w:pPr>
            <w:r>
              <w:rPr>
                <w:rFonts w:hint="default" w:ascii="Times New Roman" w:hAnsi="Times New Roman" w:cs="Times New Roman"/>
                <w:b/>
                <w:bCs/>
                <w:color w:val="000000"/>
                <w:kern w:val="0"/>
                <w:sz w:val="21"/>
                <w:szCs w:val="21"/>
                <w:highlight w:val="none"/>
                <w:lang w:val="en-US" w:eastAsia="zh-CN"/>
              </w:rPr>
              <w:t>非甲烷总烃浓度（无组织）（mg/m</w:t>
            </w:r>
            <w:r>
              <w:rPr>
                <w:rFonts w:hint="default" w:ascii="Times New Roman" w:hAnsi="Times New Roman" w:cs="Times New Roman"/>
                <w:b/>
                <w:bCs/>
                <w:color w:val="000000"/>
                <w:kern w:val="0"/>
                <w:sz w:val="21"/>
                <w:szCs w:val="21"/>
                <w:highlight w:val="none"/>
                <w:vertAlign w:val="superscript"/>
                <w:lang w:val="en-US" w:eastAsia="zh-CN"/>
              </w:rPr>
              <w:t>3</w:t>
            </w:r>
            <w:r>
              <w:rPr>
                <w:rFonts w:hint="default" w:ascii="Times New Roman" w:hAnsi="Times New Roman" w:cs="Times New Roman"/>
                <w:b/>
                <w:bCs/>
                <w:color w:val="000000"/>
                <w:kern w:val="0"/>
                <w:sz w:val="21"/>
                <w:szCs w:val="21"/>
                <w:highlight w:val="none"/>
                <w:lang w:val="en-US" w:eastAsia="zh-CN"/>
              </w:rPr>
              <w:t>）</w:t>
            </w:r>
          </w:p>
        </w:tc>
      </w:tr>
      <w:tr w14:paraId="6D01A8C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1021B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4D990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1.3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3D71F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19</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C40C8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1.3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79E2F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37</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BDD3E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3.4 </w:t>
            </w:r>
          </w:p>
        </w:tc>
      </w:tr>
      <w:tr w14:paraId="13E7EDD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71624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2</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800ED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3.7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7C7A3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20</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26A3B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1.6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8DD6B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38</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5583B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1.3 </w:t>
            </w:r>
          </w:p>
        </w:tc>
      </w:tr>
      <w:tr w14:paraId="4E24105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18A7A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3</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64DCE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2.1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DDA14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21</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AFE37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1.3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46F3F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39</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780D1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1.2 </w:t>
            </w:r>
          </w:p>
        </w:tc>
      </w:tr>
      <w:tr w14:paraId="70DA1E9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16A05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4</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C0286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2.1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D6F3A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22</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F9D30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0.7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04C08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40</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C469B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10.1 </w:t>
            </w:r>
          </w:p>
        </w:tc>
      </w:tr>
      <w:tr w14:paraId="2917CB0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62663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5</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F8AB2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1.9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77C3C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23</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2DFCE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0.8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0E8E0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41</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74543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14.3 </w:t>
            </w:r>
          </w:p>
        </w:tc>
      </w:tr>
      <w:tr w14:paraId="100595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8C41A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6</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9620F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2.1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A6524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24</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B843A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1.5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DC663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42</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8FE20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6.3 </w:t>
            </w:r>
          </w:p>
        </w:tc>
      </w:tr>
      <w:tr w14:paraId="1243FCF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F93FC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7</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66561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2.0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D2787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25</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99395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1.0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93472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43</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FA0B7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4.3 </w:t>
            </w:r>
          </w:p>
        </w:tc>
      </w:tr>
      <w:tr w14:paraId="0F0187B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FC279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8</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43C5D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2.1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2E611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26</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8BBC1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1.0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75E7D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44</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5CEB8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6.4 </w:t>
            </w:r>
          </w:p>
        </w:tc>
      </w:tr>
      <w:tr w14:paraId="5669945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07300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9</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A1D7D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2.0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4C4C1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27</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C285E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2.8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A0892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45</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5F33B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5.1 </w:t>
            </w:r>
          </w:p>
        </w:tc>
      </w:tr>
      <w:tr w14:paraId="6CB8B09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78BE2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10</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A1E26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1.9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595BF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28</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254D4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1.3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55436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46</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07C37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2.5 </w:t>
            </w:r>
          </w:p>
        </w:tc>
      </w:tr>
      <w:tr w14:paraId="6DA687B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2EBD2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11</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5BAB7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2.0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2D3A0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29</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17A5E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1.6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5636A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47</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B4CEF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8.6 </w:t>
            </w:r>
          </w:p>
        </w:tc>
      </w:tr>
      <w:tr w14:paraId="175623C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09FB3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12</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67CE0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2.1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0A2B9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30</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B97FC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1.1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95316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48</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6EDC1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1.9 </w:t>
            </w:r>
          </w:p>
        </w:tc>
      </w:tr>
      <w:tr w14:paraId="268EB2F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E5838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13</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47BAE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2.1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95C6F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31</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10856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1.1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6C8E5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49</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B3160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4.5 </w:t>
            </w:r>
          </w:p>
        </w:tc>
      </w:tr>
      <w:tr w14:paraId="03959B6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35573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14</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76C9B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2.1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540BA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32</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267A5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0.9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A9D28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50</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27992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1.7 </w:t>
            </w:r>
          </w:p>
        </w:tc>
      </w:tr>
      <w:tr w14:paraId="7AD35BB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436A3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15</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06773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1.1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8F5C9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33</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ADE31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0.6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A51DD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51</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476DC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1.8 </w:t>
            </w:r>
          </w:p>
        </w:tc>
      </w:tr>
      <w:tr w14:paraId="702D6DF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2D82E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16</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89850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1.2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DC566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34</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21C35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0.9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83F2C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52</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07DD7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3.9 </w:t>
            </w:r>
          </w:p>
        </w:tc>
      </w:tr>
      <w:tr w14:paraId="7C8FD39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D95E1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17</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62C2F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1.1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7C6D4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35</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206AD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0.7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80863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53</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371ED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2.8 </w:t>
            </w:r>
          </w:p>
        </w:tc>
      </w:tr>
      <w:tr w14:paraId="02F1243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E614E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18</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16D01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1.0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5A252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36</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AD2E8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1.3 </w:t>
            </w:r>
          </w:p>
        </w:tc>
        <w:tc>
          <w:tcPr>
            <w:tcW w:w="5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53446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54</w:t>
            </w:r>
          </w:p>
        </w:tc>
        <w:tc>
          <w:tcPr>
            <w:tcW w:w="10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9CE2D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 xml:space="preserve">2.6 </w:t>
            </w:r>
          </w:p>
        </w:tc>
      </w:tr>
      <w:bookmarkEnd w:id="135"/>
    </w:tbl>
    <w:p w14:paraId="1E3E0419">
      <w:pPr>
        <w:pStyle w:val="5"/>
        <w:keepNext/>
        <w:keepLines w:val="0"/>
        <w:pageBreakBefore w:val="0"/>
        <w:widowControl w:val="0"/>
        <w:kinsoku/>
        <w:wordWrap/>
        <w:autoSpaceDE/>
        <w:autoSpaceDN/>
        <w:bidi w:val="0"/>
        <w:rPr>
          <w:rFonts w:hint="default"/>
          <w:highlight w:val="none"/>
        </w:rPr>
      </w:pPr>
      <w:bookmarkStart w:id="137" w:name="_Toc21082"/>
      <w:r>
        <w:rPr>
          <w:rFonts w:hint="default"/>
          <w:highlight w:val="none"/>
        </w:rPr>
        <w:t>颗粒物</w:t>
      </w:r>
      <w:bookmarkEnd w:id="137"/>
    </w:p>
    <w:p w14:paraId="44764AC2">
      <w:pPr>
        <w:keepNext/>
        <w:keepLines w:val="0"/>
        <w:pageBreakBefore w:val="0"/>
        <w:widowControl w:val="0"/>
        <w:kinsoku/>
        <w:wordWrap/>
        <w:autoSpaceDE/>
        <w:autoSpaceDN/>
        <w:bidi w:val="0"/>
        <w:rPr>
          <w:rFonts w:hint="default" w:ascii="Times New Roman" w:hAnsi="Times New Roman" w:eastAsia="宋体" w:cs="Times New Roman"/>
          <w:b/>
          <w:bCs/>
          <w:highlight w:val="none"/>
          <w:lang w:val="en-US" w:eastAsia="zh-CN"/>
        </w:rPr>
      </w:pPr>
      <w:r>
        <w:rPr>
          <w:rFonts w:hint="default" w:ascii="Times New Roman" w:hAnsi="Times New Roman" w:cs="Times New Roman"/>
          <w:b/>
          <w:bCs/>
          <w:highlight w:val="none"/>
          <w:lang w:eastAsia="zh-CN"/>
        </w:rPr>
        <w:t>（</w:t>
      </w:r>
      <w:r>
        <w:rPr>
          <w:rFonts w:hint="default" w:ascii="Times New Roman" w:hAnsi="Times New Roman" w:cs="Times New Roman"/>
          <w:b/>
          <w:bCs/>
          <w:highlight w:val="none"/>
          <w:lang w:val="en-US" w:eastAsia="zh-CN"/>
        </w:rPr>
        <w:t>1</w:t>
      </w:r>
      <w:r>
        <w:rPr>
          <w:rFonts w:hint="default" w:ascii="Times New Roman" w:hAnsi="Times New Roman" w:cs="Times New Roman"/>
          <w:b/>
          <w:bCs/>
          <w:highlight w:val="none"/>
          <w:lang w:eastAsia="zh-CN"/>
        </w:rPr>
        <w:t>）</w:t>
      </w:r>
      <w:r>
        <w:rPr>
          <w:rFonts w:hint="default" w:ascii="Times New Roman" w:hAnsi="Times New Roman" w:cs="Times New Roman"/>
          <w:b/>
          <w:bCs/>
          <w:highlight w:val="none"/>
          <w:lang w:val="en-US" w:eastAsia="zh-CN"/>
        </w:rPr>
        <w:t>厂区（打磨车间外）</w:t>
      </w:r>
    </w:p>
    <w:p w14:paraId="16D31293">
      <w:pPr>
        <w:pStyle w:val="19"/>
        <w:keepNext/>
        <w:keepLines w:val="0"/>
        <w:pageBreakBefore w:val="0"/>
        <w:widowControl w:val="0"/>
        <w:suppressLineNumbers w:val="0"/>
        <w:kinsoku/>
        <w:wordWrap/>
        <w:autoSpaceDE/>
        <w:autoSpaceDN/>
        <w:bidi w:val="0"/>
        <w:spacing w:before="0" w:beforeAutospacing="0" w:after="0" w:afterAutospacing="0"/>
        <w:ind w:left="0" w:right="0" w:firstLine="0"/>
        <w:rPr>
          <w:rFonts w:hint="default" w:ascii="Times New Roman" w:hAnsi="Times New Roman" w:cs="Times New Roman"/>
          <w:highlight w:val="none"/>
        </w:rPr>
      </w:pPr>
      <w:r>
        <w:rPr>
          <w:rFonts w:hint="default" w:ascii="Times New Roman" w:hAnsi="Times New Roman" w:cs="Times New Roman"/>
          <w:highlight w:val="none"/>
        </w:rPr>
        <w:t>汽车修理过程中的表面处理包括打磨、刮腻子、抛光等流程存在颗粒物的排放，目前四川省</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企业打磨等工序均在固定工位，多数在半密闭空间内进行，配备简易的移动式颗粒物治理设施，</w:t>
      </w:r>
      <w:r>
        <w:rPr>
          <w:rFonts w:hint="default" w:ascii="Times New Roman" w:hAnsi="Times New Roman" w:cs="Times New Roman"/>
          <w:highlight w:val="none"/>
          <w:lang w:val="en-US" w:eastAsia="zh-CN"/>
        </w:rPr>
        <w:t>可能</w:t>
      </w:r>
      <w:r>
        <w:rPr>
          <w:rFonts w:hint="default" w:ascii="Times New Roman" w:hAnsi="Times New Roman" w:cs="Times New Roman"/>
          <w:highlight w:val="none"/>
        </w:rPr>
        <w:t>存在颗粒物的无组织排放情况</w:t>
      </w:r>
      <w:r>
        <w:rPr>
          <w:rFonts w:hint="default" w:ascii="Times New Roman" w:hAnsi="Times New Roman" w:cs="Times New Roman"/>
          <w:highlight w:val="none"/>
          <w:lang w:eastAsia="zh-CN"/>
        </w:rPr>
        <w:t>。</w:t>
      </w:r>
      <w:r>
        <w:rPr>
          <w:rFonts w:hint="default" w:ascii="Times New Roman" w:hAnsi="Times New Roman" w:cs="Times New Roman"/>
          <w:highlight w:val="none"/>
        </w:rPr>
        <w:t>本研究对打磨车间外1m处设置颗粒物监测点位测试</w:t>
      </w:r>
      <w:r>
        <w:rPr>
          <w:rFonts w:hint="default" w:ascii="Times New Roman" w:hAnsi="Times New Roman" w:cs="Times New Roman"/>
          <w:highlight w:val="none"/>
          <w:lang w:val="en-US" w:eastAsia="zh-CN"/>
        </w:rPr>
        <w:t>分析。</w:t>
      </w:r>
    </w:p>
    <w:p w14:paraId="15E5101C">
      <w:pPr>
        <w:keepNext/>
        <w:keepLines w:val="0"/>
        <w:pageBreakBefore w:val="0"/>
        <w:widowControl w:val="0"/>
        <w:kinsoku/>
        <w:wordWrap/>
        <w:autoSpaceDE/>
        <w:autoSpaceDN/>
        <w:bidi w:val="0"/>
        <w:rPr>
          <w:rFonts w:hint="default" w:ascii="Times New Roman" w:hAnsi="Times New Roman" w:cs="Times New Roman"/>
          <w:highlight w:val="none"/>
        </w:rPr>
      </w:pPr>
      <w:r>
        <w:rPr>
          <w:rFonts w:hint="default" w:ascii="Times New Roman" w:hAnsi="Times New Roman" w:cs="Times New Roman"/>
          <w:highlight w:val="none"/>
          <w:lang w:val="en-US" w:eastAsia="zh-CN"/>
        </w:rPr>
        <w:t>下表</w:t>
      </w:r>
      <w:r>
        <w:rPr>
          <w:rFonts w:hint="default" w:ascii="Times New Roman" w:hAnsi="Times New Roman" w:cs="Times New Roman"/>
          <w:highlight w:val="none"/>
        </w:rPr>
        <w:t>为打磨车间外颗粒物的无组织排放浓度情况，</w:t>
      </w:r>
      <w:r>
        <w:rPr>
          <w:rFonts w:hint="default" w:ascii="Times New Roman" w:hAnsi="Times New Roman" w:cs="Times New Roman"/>
          <w:highlight w:val="none"/>
          <w:lang w:val="en-US" w:eastAsia="zh-CN"/>
        </w:rPr>
        <w:t>15组</w:t>
      </w:r>
      <w:r>
        <w:rPr>
          <w:rFonts w:hint="default" w:ascii="Times New Roman" w:hAnsi="Times New Roman" w:cs="Times New Roman"/>
          <w:highlight w:val="none"/>
        </w:rPr>
        <w:t>数据均来自于</w:t>
      </w:r>
      <w:r>
        <w:rPr>
          <w:rFonts w:hint="default" w:ascii="Times New Roman" w:hAnsi="Times New Roman" w:cs="Times New Roman"/>
          <w:highlight w:val="none"/>
          <w:lang w:val="en-US" w:eastAsia="zh-CN"/>
        </w:rPr>
        <w:t>编制组</w:t>
      </w:r>
      <w:r>
        <w:rPr>
          <w:rFonts w:hint="default" w:ascii="Times New Roman" w:hAnsi="Times New Roman" w:cs="Times New Roman"/>
          <w:highlight w:val="none"/>
        </w:rPr>
        <w:t>实测数据。可以看出，浓度范围在0.021~0.362</w:t>
      </w:r>
      <w:r>
        <w:rPr>
          <w:rFonts w:hint="eastAsia" w:cs="Times New Roman"/>
          <w:highlight w:val="none"/>
          <w:lang w:val="en-US" w:eastAsia="zh-CN"/>
        </w:rPr>
        <w:t xml:space="preserve"> </w:t>
      </w:r>
      <w:r>
        <w:rPr>
          <w:rFonts w:hint="default" w:ascii="Times New Roman" w:hAnsi="Times New Roman" w:cs="Times New Roman"/>
          <w:highlight w:val="none"/>
        </w:rPr>
        <w:t>mg/m</w:t>
      </w:r>
      <w:r>
        <w:rPr>
          <w:rFonts w:hint="default" w:ascii="Times New Roman" w:hAnsi="Times New Roman" w:cs="Times New Roman"/>
          <w:highlight w:val="none"/>
          <w:vertAlign w:val="superscript"/>
        </w:rPr>
        <w:t>3</w:t>
      </w:r>
      <w:r>
        <w:rPr>
          <w:rFonts w:hint="default" w:ascii="Times New Roman" w:hAnsi="Times New Roman" w:cs="Times New Roman"/>
          <w:highlight w:val="none"/>
        </w:rPr>
        <w:t>之间，</w:t>
      </w:r>
      <w:r>
        <w:rPr>
          <w:rFonts w:hint="default" w:ascii="Times New Roman" w:hAnsi="Times New Roman" w:cs="Times New Roman"/>
          <w:highlight w:val="none"/>
          <w:lang w:val="en-US" w:eastAsia="zh-CN"/>
        </w:rPr>
        <w:t>浓度较低，且明显低于浙江、北京、广东（送审稿）的厂内</w:t>
      </w:r>
      <w:r>
        <w:rPr>
          <w:rFonts w:hint="default" w:ascii="Times New Roman" w:hAnsi="Times New Roman" w:cs="Times New Roman"/>
          <w:highlight w:val="none"/>
        </w:rPr>
        <w:t>无组织</w:t>
      </w:r>
      <w:r>
        <w:rPr>
          <w:rFonts w:hint="default" w:ascii="Times New Roman" w:hAnsi="Times New Roman" w:cs="Times New Roman"/>
          <w:highlight w:val="none"/>
          <w:lang w:val="en-US" w:eastAsia="zh-CN"/>
        </w:rPr>
        <w:t>颗粒物</w:t>
      </w:r>
      <w:r>
        <w:rPr>
          <w:rFonts w:hint="default" w:ascii="Times New Roman" w:hAnsi="Times New Roman" w:cs="Times New Roman"/>
          <w:highlight w:val="none"/>
        </w:rPr>
        <w:t>排放</w:t>
      </w:r>
      <w:r>
        <w:rPr>
          <w:rFonts w:hint="default" w:ascii="Times New Roman" w:hAnsi="Times New Roman" w:cs="Times New Roman"/>
          <w:highlight w:val="none"/>
          <w:lang w:val="en-US" w:eastAsia="zh-CN"/>
        </w:rPr>
        <w:t>限值</w:t>
      </w:r>
      <w:r>
        <w:rPr>
          <w:rFonts w:hint="default" w:ascii="Times New Roman" w:hAnsi="Times New Roman" w:cs="Times New Roman"/>
          <w:highlight w:val="none"/>
          <w:lang w:eastAsia="zh-CN"/>
        </w:rPr>
        <w:t>，</w:t>
      </w:r>
      <w:r>
        <w:rPr>
          <w:rFonts w:hint="default" w:ascii="Times New Roman" w:hAnsi="Times New Roman" w:cs="Times New Roman"/>
          <w:highlight w:val="none"/>
          <w:lang w:val="en-US" w:eastAsia="zh-CN"/>
        </w:rPr>
        <w:t>说明汽修行业无组织排放的颗粒物量少，通过废气收集已能够将颗粒物浓度控制在较低水平，因此本标准参照安徽、上海、江苏等地标准，未设置厂内颗粒物浓度限值。</w:t>
      </w:r>
    </w:p>
    <w:p w14:paraId="47078B94">
      <w:pPr>
        <w:keepNext/>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kern w:val="0"/>
          <w:szCs w:val="21"/>
          <w:highlight w:val="none"/>
        </w:rPr>
      </w:pPr>
      <w:r>
        <w:rPr>
          <w:rFonts w:hint="eastAsia" w:cs="Times New Roman"/>
          <w:kern w:val="0"/>
          <w:szCs w:val="21"/>
          <w:highlight w:val="none"/>
          <w:lang w:val="en-US" w:eastAsia="zh-CN"/>
        </w:rPr>
        <w:t>表7.6</w:t>
      </w:r>
      <w:r>
        <w:rPr>
          <w:rFonts w:hint="default" w:ascii="Times New Roman" w:hAnsi="Times New Roman" w:cs="Times New Roman"/>
          <w:kern w:val="0"/>
          <w:szCs w:val="21"/>
          <w:highlight w:val="none"/>
        </w:rPr>
        <w:t>-</w:t>
      </w:r>
      <w:r>
        <w:rPr>
          <w:rFonts w:hint="eastAsia" w:cs="Times New Roman"/>
          <w:kern w:val="0"/>
          <w:szCs w:val="21"/>
          <w:highlight w:val="none"/>
          <w:lang w:val="en-US" w:eastAsia="zh-CN"/>
        </w:rPr>
        <w:t>4</w:t>
      </w:r>
      <w:r>
        <w:rPr>
          <w:rFonts w:hint="default" w:ascii="Times New Roman" w:hAnsi="Times New Roman" w:cs="Times New Roman"/>
          <w:kern w:val="0"/>
          <w:szCs w:val="21"/>
          <w:highlight w:val="none"/>
        </w:rPr>
        <w:t xml:space="preserve"> 颗粒物的无组织排放浓度测试结果</w:t>
      </w:r>
    </w:p>
    <w:tbl>
      <w:tblPr>
        <w:tblStyle w:val="21"/>
        <w:tblW w:w="8528" w:type="dxa"/>
        <w:jc w:val="center"/>
        <w:tblLayout w:type="autofit"/>
        <w:tblCellMar>
          <w:top w:w="0" w:type="dxa"/>
          <w:left w:w="108" w:type="dxa"/>
          <w:bottom w:w="0" w:type="dxa"/>
          <w:right w:w="108" w:type="dxa"/>
        </w:tblCellMar>
      </w:tblPr>
      <w:tblGrid>
        <w:gridCol w:w="2132"/>
        <w:gridCol w:w="2132"/>
        <w:gridCol w:w="2132"/>
        <w:gridCol w:w="2132"/>
      </w:tblGrid>
      <w:tr w14:paraId="4D3E3CF4">
        <w:tblPrEx>
          <w:tblCellMar>
            <w:top w:w="0" w:type="dxa"/>
            <w:left w:w="108" w:type="dxa"/>
            <w:bottom w:w="0" w:type="dxa"/>
            <w:right w:w="108" w:type="dxa"/>
          </w:tblCellMar>
        </w:tblPrEx>
        <w:trPr>
          <w:trHeight w:val="336" w:hRule="atLeast"/>
          <w:tblHeader/>
          <w:jc w:val="center"/>
        </w:trPr>
        <w:tc>
          <w:tcPr>
            <w:tcW w:w="2132"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2A8920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rPr>
            </w:pPr>
            <w:r>
              <w:rPr>
                <w:rFonts w:hint="default" w:ascii="Times New Roman" w:hAnsi="Times New Roman" w:cs="Times New Roman"/>
                <w:b/>
                <w:bCs/>
                <w:color w:val="000000"/>
                <w:kern w:val="0"/>
                <w:sz w:val="21"/>
                <w:szCs w:val="21"/>
                <w:highlight w:val="none"/>
              </w:rPr>
              <w:t>企业编号</w:t>
            </w:r>
          </w:p>
        </w:tc>
        <w:tc>
          <w:tcPr>
            <w:tcW w:w="2132" w:type="dxa"/>
            <w:tcBorders>
              <w:top w:val="single" w:color="auto" w:sz="4" w:space="0"/>
              <w:left w:val="nil"/>
              <w:bottom w:val="single" w:color="auto" w:sz="4" w:space="0"/>
              <w:right w:val="single" w:color="auto" w:sz="4" w:space="0"/>
            </w:tcBorders>
            <w:shd w:val="clear" w:color="auto" w:fill="auto"/>
            <w:noWrap/>
            <w:vAlign w:val="center"/>
          </w:tcPr>
          <w:p w14:paraId="48DD7AD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rPr>
            </w:pPr>
            <w:r>
              <w:rPr>
                <w:rFonts w:hint="default" w:ascii="Times New Roman" w:hAnsi="Times New Roman" w:cs="Times New Roman"/>
                <w:b/>
                <w:bCs/>
                <w:color w:val="000000"/>
                <w:kern w:val="0"/>
                <w:sz w:val="21"/>
                <w:szCs w:val="21"/>
                <w:highlight w:val="none"/>
              </w:rPr>
              <w:t>浓度（mg/m</w:t>
            </w:r>
            <w:r>
              <w:rPr>
                <w:rFonts w:hint="default" w:ascii="Times New Roman" w:hAnsi="Times New Roman" w:cs="Times New Roman"/>
                <w:b/>
                <w:bCs/>
                <w:color w:val="000000"/>
                <w:kern w:val="0"/>
                <w:sz w:val="21"/>
                <w:szCs w:val="21"/>
                <w:highlight w:val="none"/>
                <w:vertAlign w:val="superscript"/>
              </w:rPr>
              <w:t>3</w:t>
            </w:r>
            <w:r>
              <w:rPr>
                <w:rFonts w:hint="default" w:ascii="Times New Roman" w:hAnsi="Times New Roman" w:cs="Times New Roman"/>
                <w:b/>
                <w:bCs/>
                <w:color w:val="000000"/>
                <w:kern w:val="0"/>
                <w:sz w:val="21"/>
                <w:szCs w:val="21"/>
                <w:highlight w:val="none"/>
              </w:rPr>
              <w:t>）</w:t>
            </w:r>
          </w:p>
        </w:tc>
        <w:tc>
          <w:tcPr>
            <w:tcW w:w="2132" w:type="dxa"/>
            <w:tcBorders>
              <w:top w:val="single" w:color="auto" w:sz="4" w:space="0"/>
              <w:left w:val="nil"/>
              <w:bottom w:val="single" w:color="auto" w:sz="4" w:space="0"/>
              <w:right w:val="single" w:color="auto" w:sz="4" w:space="0"/>
            </w:tcBorders>
            <w:shd w:val="clear" w:color="auto" w:fill="auto"/>
            <w:noWrap/>
            <w:vAlign w:val="center"/>
          </w:tcPr>
          <w:p w14:paraId="57349FD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rPr>
            </w:pPr>
            <w:r>
              <w:rPr>
                <w:rFonts w:hint="default" w:ascii="Times New Roman" w:hAnsi="Times New Roman" w:cs="Times New Roman"/>
                <w:b/>
                <w:bCs/>
                <w:color w:val="000000"/>
                <w:kern w:val="0"/>
                <w:sz w:val="21"/>
                <w:szCs w:val="21"/>
                <w:highlight w:val="none"/>
              </w:rPr>
              <w:t>企业编号</w:t>
            </w:r>
          </w:p>
        </w:tc>
        <w:tc>
          <w:tcPr>
            <w:tcW w:w="2132" w:type="dxa"/>
            <w:tcBorders>
              <w:top w:val="single" w:color="auto" w:sz="4" w:space="0"/>
              <w:left w:val="nil"/>
              <w:bottom w:val="single" w:color="auto" w:sz="4" w:space="0"/>
              <w:right w:val="single" w:color="auto" w:sz="4" w:space="0"/>
            </w:tcBorders>
            <w:shd w:val="clear" w:color="auto" w:fill="auto"/>
            <w:noWrap/>
            <w:vAlign w:val="center"/>
          </w:tcPr>
          <w:p w14:paraId="361CEAB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rPr>
            </w:pPr>
            <w:r>
              <w:rPr>
                <w:rFonts w:hint="default" w:ascii="Times New Roman" w:hAnsi="Times New Roman" w:cs="Times New Roman"/>
                <w:b/>
                <w:bCs/>
                <w:color w:val="000000"/>
                <w:kern w:val="0"/>
                <w:sz w:val="21"/>
                <w:szCs w:val="21"/>
                <w:highlight w:val="none"/>
              </w:rPr>
              <w:t>浓度（mg/m</w:t>
            </w:r>
            <w:r>
              <w:rPr>
                <w:rFonts w:hint="default" w:ascii="Times New Roman" w:hAnsi="Times New Roman" w:cs="Times New Roman"/>
                <w:b/>
                <w:bCs/>
                <w:color w:val="000000"/>
                <w:kern w:val="0"/>
                <w:sz w:val="21"/>
                <w:szCs w:val="21"/>
                <w:highlight w:val="none"/>
                <w:vertAlign w:val="superscript"/>
              </w:rPr>
              <w:t>3</w:t>
            </w:r>
            <w:r>
              <w:rPr>
                <w:rFonts w:hint="default" w:ascii="Times New Roman" w:hAnsi="Times New Roman" w:cs="Times New Roman"/>
                <w:b/>
                <w:bCs/>
                <w:color w:val="000000"/>
                <w:kern w:val="0"/>
                <w:sz w:val="21"/>
                <w:szCs w:val="21"/>
                <w:highlight w:val="none"/>
              </w:rPr>
              <w:t>）</w:t>
            </w:r>
          </w:p>
        </w:tc>
      </w:tr>
      <w:tr w14:paraId="3FA6DFAC">
        <w:tblPrEx>
          <w:tblCellMar>
            <w:top w:w="0" w:type="dxa"/>
            <w:left w:w="108" w:type="dxa"/>
            <w:bottom w:w="0" w:type="dxa"/>
            <w:right w:w="108" w:type="dxa"/>
          </w:tblCellMar>
        </w:tblPrEx>
        <w:trPr>
          <w:trHeight w:val="288" w:hRule="atLeast"/>
          <w:jc w:val="center"/>
        </w:trPr>
        <w:tc>
          <w:tcPr>
            <w:tcW w:w="2132" w:type="dxa"/>
            <w:tcBorders>
              <w:top w:val="nil"/>
              <w:left w:val="single" w:color="auto" w:sz="4" w:space="0"/>
              <w:bottom w:val="single" w:color="auto" w:sz="4" w:space="0"/>
              <w:right w:val="single" w:color="auto" w:sz="4" w:space="0"/>
            </w:tcBorders>
            <w:shd w:val="clear" w:color="auto" w:fill="auto"/>
            <w:noWrap/>
            <w:vAlign w:val="center"/>
          </w:tcPr>
          <w:p w14:paraId="05A5614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企业1</w:t>
            </w:r>
          </w:p>
        </w:tc>
        <w:tc>
          <w:tcPr>
            <w:tcW w:w="2132" w:type="dxa"/>
            <w:tcBorders>
              <w:top w:val="nil"/>
              <w:left w:val="nil"/>
              <w:bottom w:val="single" w:color="auto" w:sz="4" w:space="0"/>
              <w:right w:val="single" w:color="auto" w:sz="4" w:space="0"/>
            </w:tcBorders>
            <w:shd w:val="clear" w:color="auto" w:fill="auto"/>
            <w:noWrap/>
            <w:vAlign w:val="center"/>
          </w:tcPr>
          <w:p w14:paraId="5D7F4FF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color w:val="000000"/>
                <w:kern w:val="0"/>
                <w:sz w:val="21"/>
                <w:szCs w:val="21"/>
                <w:highlight w:val="none"/>
              </w:rPr>
            </w:pPr>
            <w:r>
              <w:rPr>
                <w:rFonts w:hint="default" w:ascii="Times New Roman" w:hAnsi="Times New Roman" w:eastAsia="等线" w:cs="Times New Roman"/>
                <w:color w:val="000000"/>
                <w:kern w:val="0"/>
                <w:sz w:val="21"/>
                <w:szCs w:val="21"/>
                <w:highlight w:val="none"/>
              </w:rPr>
              <w:t>0.362</w:t>
            </w:r>
          </w:p>
        </w:tc>
        <w:tc>
          <w:tcPr>
            <w:tcW w:w="2132" w:type="dxa"/>
            <w:tcBorders>
              <w:top w:val="nil"/>
              <w:left w:val="nil"/>
              <w:bottom w:val="single" w:color="auto" w:sz="4" w:space="0"/>
              <w:right w:val="single" w:color="auto" w:sz="4" w:space="0"/>
            </w:tcBorders>
            <w:shd w:val="clear" w:color="auto" w:fill="auto"/>
            <w:noWrap/>
            <w:vAlign w:val="center"/>
          </w:tcPr>
          <w:p w14:paraId="6C90866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color w:val="000000"/>
                <w:kern w:val="0"/>
                <w:sz w:val="21"/>
                <w:szCs w:val="21"/>
                <w:highlight w:val="none"/>
              </w:rPr>
            </w:pPr>
            <w:r>
              <w:rPr>
                <w:rFonts w:hint="default" w:ascii="Times New Roman" w:hAnsi="Times New Roman" w:cs="Times New Roman"/>
                <w:color w:val="000000"/>
                <w:kern w:val="0"/>
                <w:sz w:val="21"/>
                <w:szCs w:val="21"/>
                <w:highlight w:val="none"/>
              </w:rPr>
              <w:t>企业9</w:t>
            </w:r>
          </w:p>
        </w:tc>
        <w:tc>
          <w:tcPr>
            <w:tcW w:w="2132" w:type="dxa"/>
            <w:tcBorders>
              <w:top w:val="nil"/>
              <w:left w:val="nil"/>
              <w:bottom w:val="single" w:color="auto" w:sz="4" w:space="0"/>
              <w:right w:val="single" w:color="auto" w:sz="4" w:space="0"/>
            </w:tcBorders>
            <w:shd w:val="clear" w:color="auto" w:fill="auto"/>
            <w:noWrap/>
            <w:vAlign w:val="center"/>
          </w:tcPr>
          <w:p w14:paraId="6424A76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color w:val="000000"/>
                <w:kern w:val="0"/>
                <w:sz w:val="21"/>
                <w:szCs w:val="21"/>
                <w:highlight w:val="none"/>
              </w:rPr>
            </w:pPr>
            <w:r>
              <w:rPr>
                <w:rFonts w:hint="default" w:ascii="Times New Roman" w:hAnsi="Times New Roman" w:eastAsia="等线" w:cs="Times New Roman"/>
                <w:color w:val="000000"/>
                <w:kern w:val="0"/>
                <w:sz w:val="21"/>
                <w:szCs w:val="21"/>
                <w:highlight w:val="none"/>
              </w:rPr>
              <w:t>0.06</w:t>
            </w:r>
          </w:p>
        </w:tc>
      </w:tr>
      <w:tr w14:paraId="198164C9">
        <w:tblPrEx>
          <w:tblCellMar>
            <w:top w:w="0" w:type="dxa"/>
            <w:left w:w="108" w:type="dxa"/>
            <w:bottom w:w="0" w:type="dxa"/>
            <w:right w:w="108" w:type="dxa"/>
          </w:tblCellMar>
        </w:tblPrEx>
        <w:trPr>
          <w:trHeight w:val="288" w:hRule="atLeast"/>
          <w:jc w:val="center"/>
        </w:trPr>
        <w:tc>
          <w:tcPr>
            <w:tcW w:w="2132" w:type="dxa"/>
            <w:tcBorders>
              <w:top w:val="nil"/>
              <w:left w:val="single" w:color="auto" w:sz="4" w:space="0"/>
              <w:bottom w:val="single" w:color="auto" w:sz="4" w:space="0"/>
              <w:right w:val="single" w:color="auto" w:sz="4" w:space="0"/>
            </w:tcBorders>
            <w:shd w:val="clear" w:color="auto" w:fill="auto"/>
            <w:noWrap/>
            <w:vAlign w:val="center"/>
          </w:tcPr>
          <w:p w14:paraId="756102F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企业2</w:t>
            </w:r>
          </w:p>
        </w:tc>
        <w:tc>
          <w:tcPr>
            <w:tcW w:w="2132" w:type="dxa"/>
            <w:tcBorders>
              <w:top w:val="nil"/>
              <w:left w:val="nil"/>
              <w:bottom w:val="single" w:color="auto" w:sz="4" w:space="0"/>
              <w:right w:val="single" w:color="auto" w:sz="4" w:space="0"/>
            </w:tcBorders>
            <w:shd w:val="clear" w:color="auto" w:fill="auto"/>
            <w:noWrap/>
            <w:vAlign w:val="center"/>
          </w:tcPr>
          <w:p w14:paraId="5ADE433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color w:val="000000"/>
                <w:kern w:val="0"/>
                <w:sz w:val="21"/>
                <w:szCs w:val="21"/>
                <w:highlight w:val="none"/>
              </w:rPr>
            </w:pPr>
            <w:r>
              <w:rPr>
                <w:rFonts w:hint="default" w:ascii="Times New Roman" w:hAnsi="Times New Roman" w:eastAsia="等线" w:cs="Times New Roman"/>
                <w:color w:val="000000"/>
                <w:kern w:val="0"/>
                <w:sz w:val="21"/>
                <w:szCs w:val="21"/>
                <w:highlight w:val="none"/>
              </w:rPr>
              <w:t>0.145</w:t>
            </w:r>
          </w:p>
        </w:tc>
        <w:tc>
          <w:tcPr>
            <w:tcW w:w="2132" w:type="dxa"/>
            <w:tcBorders>
              <w:top w:val="nil"/>
              <w:left w:val="nil"/>
              <w:bottom w:val="single" w:color="auto" w:sz="4" w:space="0"/>
              <w:right w:val="single" w:color="auto" w:sz="4" w:space="0"/>
            </w:tcBorders>
            <w:shd w:val="clear" w:color="auto" w:fill="auto"/>
            <w:noWrap/>
            <w:vAlign w:val="center"/>
          </w:tcPr>
          <w:p w14:paraId="305AA3A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color w:val="000000"/>
                <w:kern w:val="0"/>
                <w:sz w:val="21"/>
                <w:szCs w:val="21"/>
                <w:highlight w:val="none"/>
              </w:rPr>
            </w:pPr>
            <w:r>
              <w:rPr>
                <w:rFonts w:hint="default" w:ascii="Times New Roman" w:hAnsi="Times New Roman" w:cs="Times New Roman"/>
                <w:color w:val="000000"/>
                <w:kern w:val="0"/>
                <w:sz w:val="21"/>
                <w:szCs w:val="21"/>
                <w:highlight w:val="none"/>
              </w:rPr>
              <w:t>企业10</w:t>
            </w:r>
          </w:p>
        </w:tc>
        <w:tc>
          <w:tcPr>
            <w:tcW w:w="2132" w:type="dxa"/>
            <w:tcBorders>
              <w:top w:val="nil"/>
              <w:left w:val="nil"/>
              <w:bottom w:val="single" w:color="auto" w:sz="4" w:space="0"/>
              <w:right w:val="single" w:color="auto" w:sz="4" w:space="0"/>
            </w:tcBorders>
            <w:shd w:val="clear" w:color="auto" w:fill="auto"/>
            <w:noWrap/>
            <w:vAlign w:val="center"/>
          </w:tcPr>
          <w:p w14:paraId="3F8F977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color w:val="000000"/>
                <w:kern w:val="0"/>
                <w:sz w:val="21"/>
                <w:szCs w:val="21"/>
                <w:highlight w:val="none"/>
              </w:rPr>
            </w:pPr>
            <w:r>
              <w:rPr>
                <w:rFonts w:hint="default" w:ascii="Times New Roman" w:hAnsi="Times New Roman" w:eastAsia="等线" w:cs="Times New Roman"/>
                <w:color w:val="000000"/>
                <w:kern w:val="0"/>
                <w:sz w:val="21"/>
                <w:szCs w:val="21"/>
                <w:highlight w:val="none"/>
              </w:rPr>
              <w:t>0.108</w:t>
            </w:r>
          </w:p>
        </w:tc>
      </w:tr>
      <w:tr w14:paraId="5A6AEC5C">
        <w:tblPrEx>
          <w:tblCellMar>
            <w:top w:w="0" w:type="dxa"/>
            <w:left w:w="108" w:type="dxa"/>
            <w:bottom w:w="0" w:type="dxa"/>
            <w:right w:w="108" w:type="dxa"/>
          </w:tblCellMar>
        </w:tblPrEx>
        <w:trPr>
          <w:trHeight w:val="288" w:hRule="atLeast"/>
          <w:jc w:val="center"/>
        </w:trPr>
        <w:tc>
          <w:tcPr>
            <w:tcW w:w="2132" w:type="dxa"/>
            <w:tcBorders>
              <w:top w:val="nil"/>
              <w:left w:val="single" w:color="auto" w:sz="4" w:space="0"/>
              <w:bottom w:val="single" w:color="auto" w:sz="4" w:space="0"/>
              <w:right w:val="single" w:color="auto" w:sz="4" w:space="0"/>
            </w:tcBorders>
            <w:shd w:val="clear" w:color="auto" w:fill="auto"/>
            <w:noWrap/>
            <w:vAlign w:val="center"/>
          </w:tcPr>
          <w:p w14:paraId="65E26DA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企业3</w:t>
            </w:r>
          </w:p>
        </w:tc>
        <w:tc>
          <w:tcPr>
            <w:tcW w:w="2132" w:type="dxa"/>
            <w:tcBorders>
              <w:top w:val="nil"/>
              <w:left w:val="nil"/>
              <w:bottom w:val="single" w:color="auto" w:sz="4" w:space="0"/>
              <w:right w:val="single" w:color="auto" w:sz="4" w:space="0"/>
            </w:tcBorders>
            <w:shd w:val="clear" w:color="auto" w:fill="auto"/>
            <w:noWrap/>
            <w:vAlign w:val="center"/>
          </w:tcPr>
          <w:p w14:paraId="3C704F2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color w:val="000000"/>
                <w:kern w:val="0"/>
                <w:sz w:val="21"/>
                <w:szCs w:val="21"/>
                <w:highlight w:val="none"/>
              </w:rPr>
            </w:pPr>
            <w:r>
              <w:rPr>
                <w:rFonts w:hint="default" w:ascii="Times New Roman" w:hAnsi="Times New Roman" w:eastAsia="等线" w:cs="Times New Roman"/>
                <w:color w:val="000000"/>
                <w:kern w:val="0"/>
                <w:sz w:val="21"/>
                <w:szCs w:val="21"/>
                <w:highlight w:val="none"/>
              </w:rPr>
              <w:t>0.151</w:t>
            </w:r>
          </w:p>
        </w:tc>
        <w:tc>
          <w:tcPr>
            <w:tcW w:w="2132" w:type="dxa"/>
            <w:tcBorders>
              <w:top w:val="nil"/>
              <w:left w:val="nil"/>
              <w:bottom w:val="single" w:color="auto" w:sz="4" w:space="0"/>
              <w:right w:val="single" w:color="auto" w:sz="4" w:space="0"/>
            </w:tcBorders>
            <w:shd w:val="clear" w:color="auto" w:fill="auto"/>
            <w:noWrap/>
            <w:vAlign w:val="center"/>
          </w:tcPr>
          <w:p w14:paraId="39F720C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color w:val="000000"/>
                <w:kern w:val="0"/>
                <w:sz w:val="21"/>
                <w:szCs w:val="21"/>
                <w:highlight w:val="none"/>
              </w:rPr>
            </w:pPr>
            <w:r>
              <w:rPr>
                <w:rFonts w:hint="default" w:ascii="Times New Roman" w:hAnsi="Times New Roman" w:cs="Times New Roman"/>
                <w:color w:val="000000"/>
                <w:kern w:val="0"/>
                <w:sz w:val="21"/>
                <w:szCs w:val="21"/>
                <w:highlight w:val="none"/>
              </w:rPr>
              <w:t>企业11</w:t>
            </w:r>
          </w:p>
        </w:tc>
        <w:tc>
          <w:tcPr>
            <w:tcW w:w="2132" w:type="dxa"/>
            <w:tcBorders>
              <w:top w:val="nil"/>
              <w:left w:val="nil"/>
              <w:bottom w:val="single" w:color="auto" w:sz="4" w:space="0"/>
              <w:right w:val="single" w:color="auto" w:sz="4" w:space="0"/>
            </w:tcBorders>
            <w:shd w:val="clear" w:color="auto" w:fill="auto"/>
            <w:noWrap/>
            <w:vAlign w:val="center"/>
          </w:tcPr>
          <w:p w14:paraId="03532B8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color w:val="000000"/>
                <w:kern w:val="0"/>
                <w:sz w:val="21"/>
                <w:szCs w:val="21"/>
                <w:highlight w:val="none"/>
              </w:rPr>
            </w:pPr>
            <w:r>
              <w:rPr>
                <w:rFonts w:hint="default" w:ascii="Times New Roman" w:hAnsi="Times New Roman" w:eastAsia="等线" w:cs="Times New Roman"/>
                <w:color w:val="000000"/>
                <w:kern w:val="0"/>
                <w:sz w:val="21"/>
                <w:szCs w:val="21"/>
                <w:highlight w:val="none"/>
              </w:rPr>
              <w:t>0.05</w:t>
            </w:r>
          </w:p>
        </w:tc>
      </w:tr>
      <w:tr w14:paraId="1374710E">
        <w:tblPrEx>
          <w:tblCellMar>
            <w:top w:w="0" w:type="dxa"/>
            <w:left w:w="108" w:type="dxa"/>
            <w:bottom w:w="0" w:type="dxa"/>
            <w:right w:w="108" w:type="dxa"/>
          </w:tblCellMar>
        </w:tblPrEx>
        <w:trPr>
          <w:trHeight w:val="288" w:hRule="atLeast"/>
          <w:jc w:val="center"/>
        </w:trPr>
        <w:tc>
          <w:tcPr>
            <w:tcW w:w="2132" w:type="dxa"/>
            <w:tcBorders>
              <w:top w:val="nil"/>
              <w:left w:val="single" w:color="auto" w:sz="4" w:space="0"/>
              <w:bottom w:val="single" w:color="auto" w:sz="4" w:space="0"/>
              <w:right w:val="single" w:color="auto" w:sz="4" w:space="0"/>
            </w:tcBorders>
            <w:shd w:val="clear" w:color="auto" w:fill="auto"/>
            <w:noWrap/>
            <w:vAlign w:val="center"/>
          </w:tcPr>
          <w:p w14:paraId="3EF02EE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企业4</w:t>
            </w:r>
          </w:p>
        </w:tc>
        <w:tc>
          <w:tcPr>
            <w:tcW w:w="2132" w:type="dxa"/>
            <w:tcBorders>
              <w:top w:val="nil"/>
              <w:left w:val="nil"/>
              <w:bottom w:val="single" w:color="auto" w:sz="4" w:space="0"/>
              <w:right w:val="single" w:color="auto" w:sz="4" w:space="0"/>
            </w:tcBorders>
            <w:shd w:val="clear" w:color="auto" w:fill="auto"/>
            <w:noWrap/>
            <w:vAlign w:val="center"/>
          </w:tcPr>
          <w:p w14:paraId="3488842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color w:val="000000"/>
                <w:kern w:val="0"/>
                <w:sz w:val="21"/>
                <w:szCs w:val="21"/>
                <w:highlight w:val="none"/>
              </w:rPr>
            </w:pPr>
            <w:r>
              <w:rPr>
                <w:rFonts w:hint="default" w:ascii="Times New Roman" w:hAnsi="Times New Roman" w:eastAsia="等线" w:cs="Times New Roman"/>
                <w:color w:val="000000"/>
                <w:kern w:val="0"/>
                <w:sz w:val="21"/>
                <w:szCs w:val="21"/>
                <w:highlight w:val="none"/>
              </w:rPr>
              <w:t>0.208</w:t>
            </w:r>
          </w:p>
        </w:tc>
        <w:tc>
          <w:tcPr>
            <w:tcW w:w="2132" w:type="dxa"/>
            <w:tcBorders>
              <w:top w:val="nil"/>
              <w:left w:val="nil"/>
              <w:bottom w:val="single" w:color="auto" w:sz="4" w:space="0"/>
              <w:right w:val="single" w:color="auto" w:sz="4" w:space="0"/>
            </w:tcBorders>
            <w:shd w:val="clear" w:color="auto" w:fill="auto"/>
            <w:noWrap/>
            <w:vAlign w:val="center"/>
          </w:tcPr>
          <w:p w14:paraId="24D14EC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color w:val="000000"/>
                <w:kern w:val="0"/>
                <w:sz w:val="21"/>
                <w:szCs w:val="21"/>
                <w:highlight w:val="none"/>
              </w:rPr>
            </w:pPr>
            <w:r>
              <w:rPr>
                <w:rFonts w:hint="default" w:ascii="Times New Roman" w:hAnsi="Times New Roman" w:cs="Times New Roman"/>
                <w:color w:val="000000"/>
                <w:kern w:val="0"/>
                <w:sz w:val="21"/>
                <w:szCs w:val="21"/>
                <w:highlight w:val="none"/>
              </w:rPr>
              <w:t>企业12</w:t>
            </w:r>
          </w:p>
        </w:tc>
        <w:tc>
          <w:tcPr>
            <w:tcW w:w="2132" w:type="dxa"/>
            <w:tcBorders>
              <w:top w:val="nil"/>
              <w:left w:val="nil"/>
              <w:bottom w:val="single" w:color="auto" w:sz="4" w:space="0"/>
              <w:right w:val="single" w:color="auto" w:sz="4" w:space="0"/>
            </w:tcBorders>
            <w:shd w:val="clear" w:color="auto" w:fill="auto"/>
            <w:noWrap/>
            <w:vAlign w:val="center"/>
          </w:tcPr>
          <w:p w14:paraId="3FA262D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color w:val="000000"/>
                <w:kern w:val="0"/>
                <w:sz w:val="21"/>
                <w:szCs w:val="21"/>
                <w:highlight w:val="none"/>
              </w:rPr>
            </w:pPr>
            <w:r>
              <w:rPr>
                <w:rFonts w:hint="default" w:ascii="Times New Roman" w:hAnsi="Times New Roman" w:eastAsia="等线" w:cs="Times New Roman"/>
                <w:color w:val="000000"/>
                <w:kern w:val="0"/>
                <w:sz w:val="21"/>
                <w:szCs w:val="21"/>
                <w:highlight w:val="none"/>
              </w:rPr>
              <w:t>0.024</w:t>
            </w:r>
          </w:p>
        </w:tc>
      </w:tr>
      <w:tr w14:paraId="1E7BB88E">
        <w:tblPrEx>
          <w:tblCellMar>
            <w:top w:w="0" w:type="dxa"/>
            <w:left w:w="108" w:type="dxa"/>
            <w:bottom w:w="0" w:type="dxa"/>
            <w:right w:w="108" w:type="dxa"/>
          </w:tblCellMar>
        </w:tblPrEx>
        <w:trPr>
          <w:trHeight w:val="288" w:hRule="atLeast"/>
          <w:jc w:val="center"/>
        </w:trPr>
        <w:tc>
          <w:tcPr>
            <w:tcW w:w="2132" w:type="dxa"/>
            <w:tcBorders>
              <w:top w:val="nil"/>
              <w:left w:val="single" w:color="auto" w:sz="4" w:space="0"/>
              <w:bottom w:val="single" w:color="auto" w:sz="4" w:space="0"/>
              <w:right w:val="single" w:color="auto" w:sz="4" w:space="0"/>
            </w:tcBorders>
            <w:shd w:val="clear" w:color="auto" w:fill="auto"/>
            <w:noWrap/>
            <w:vAlign w:val="center"/>
          </w:tcPr>
          <w:p w14:paraId="60B9C00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企业5</w:t>
            </w:r>
          </w:p>
        </w:tc>
        <w:tc>
          <w:tcPr>
            <w:tcW w:w="2132" w:type="dxa"/>
            <w:tcBorders>
              <w:top w:val="nil"/>
              <w:left w:val="nil"/>
              <w:bottom w:val="single" w:color="auto" w:sz="4" w:space="0"/>
              <w:right w:val="single" w:color="auto" w:sz="4" w:space="0"/>
            </w:tcBorders>
            <w:shd w:val="clear" w:color="auto" w:fill="auto"/>
            <w:noWrap/>
            <w:vAlign w:val="center"/>
          </w:tcPr>
          <w:p w14:paraId="5D46FC5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color w:val="000000"/>
                <w:kern w:val="0"/>
                <w:sz w:val="21"/>
                <w:szCs w:val="21"/>
                <w:highlight w:val="none"/>
              </w:rPr>
            </w:pPr>
            <w:r>
              <w:rPr>
                <w:rFonts w:hint="default" w:ascii="Times New Roman" w:hAnsi="Times New Roman" w:eastAsia="等线" w:cs="Times New Roman"/>
                <w:color w:val="000000"/>
                <w:kern w:val="0"/>
                <w:sz w:val="21"/>
                <w:szCs w:val="21"/>
                <w:highlight w:val="none"/>
              </w:rPr>
              <w:t>0.283</w:t>
            </w:r>
          </w:p>
        </w:tc>
        <w:tc>
          <w:tcPr>
            <w:tcW w:w="2132" w:type="dxa"/>
            <w:tcBorders>
              <w:top w:val="nil"/>
              <w:left w:val="nil"/>
              <w:bottom w:val="single" w:color="auto" w:sz="4" w:space="0"/>
              <w:right w:val="single" w:color="auto" w:sz="4" w:space="0"/>
            </w:tcBorders>
            <w:shd w:val="clear" w:color="auto" w:fill="auto"/>
            <w:noWrap/>
            <w:vAlign w:val="center"/>
          </w:tcPr>
          <w:p w14:paraId="16590E9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color w:val="000000"/>
                <w:kern w:val="0"/>
                <w:sz w:val="21"/>
                <w:szCs w:val="21"/>
                <w:highlight w:val="none"/>
              </w:rPr>
            </w:pPr>
            <w:r>
              <w:rPr>
                <w:rFonts w:hint="default" w:ascii="Times New Roman" w:hAnsi="Times New Roman" w:cs="Times New Roman"/>
                <w:color w:val="000000"/>
                <w:kern w:val="0"/>
                <w:sz w:val="21"/>
                <w:szCs w:val="21"/>
                <w:highlight w:val="none"/>
              </w:rPr>
              <w:t>企业13</w:t>
            </w:r>
          </w:p>
        </w:tc>
        <w:tc>
          <w:tcPr>
            <w:tcW w:w="2132" w:type="dxa"/>
            <w:tcBorders>
              <w:top w:val="nil"/>
              <w:left w:val="nil"/>
              <w:bottom w:val="single" w:color="auto" w:sz="4" w:space="0"/>
              <w:right w:val="single" w:color="auto" w:sz="4" w:space="0"/>
            </w:tcBorders>
            <w:shd w:val="clear" w:color="auto" w:fill="auto"/>
            <w:noWrap/>
            <w:vAlign w:val="center"/>
          </w:tcPr>
          <w:p w14:paraId="5D3F2CA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color w:val="000000"/>
                <w:kern w:val="0"/>
                <w:sz w:val="21"/>
                <w:szCs w:val="21"/>
                <w:highlight w:val="none"/>
              </w:rPr>
            </w:pPr>
            <w:r>
              <w:rPr>
                <w:rFonts w:hint="default" w:ascii="Times New Roman" w:hAnsi="Times New Roman" w:eastAsia="等线" w:cs="Times New Roman"/>
                <w:color w:val="000000"/>
                <w:kern w:val="0"/>
                <w:sz w:val="21"/>
                <w:szCs w:val="21"/>
                <w:highlight w:val="none"/>
              </w:rPr>
              <w:t>/</w:t>
            </w:r>
          </w:p>
        </w:tc>
      </w:tr>
      <w:tr w14:paraId="72345708">
        <w:tblPrEx>
          <w:tblCellMar>
            <w:top w:w="0" w:type="dxa"/>
            <w:left w:w="108" w:type="dxa"/>
            <w:bottom w:w="0" w:type="dxa"/>
            <w:right w:w="108" w:type="dxa"/>
          </w:tblCellMar>
        </w:tblPrEx>
        <w:trPr>
          <w:trHeight w:val="288" w:hRule="atLeast"/>
          <w:jc w:val="center"/>
        </w:trPr>
        <w:tc>
          <w:tcPr>
            <w:tcW w:w="2132" w:type="dxa"/>
            <w:tcBorders>
              <w:top w:val="nil"/>
              <w:left w:val="single" w:color="auto" w:sz="4" w:space="0"/>
              <w:bottom w:val="single" w:color="auto" w:sz="4" w:space="0"/>
              <w:right w:val="single" w:color="auto" w:sz="4" w:space="0"/>
            </w:tcBorders>
            <w:shd w:val="clear" w:color="auto" w:fill="auto"/>
            <w:noWrap/>
            <w:vAlign w:val="center"/>
          </w:tcPr>
          <w:p w14:paraId="6678550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企业6</w:t>
            </w:r>
          </w:p>
        </w:tc>
        <w:tc>
          <w:tcPr>
            <w:tcW w:w="2132" w:type="dxa"/>
            <w:tcBorders>
              <w:top w:val="nil"/>
              <w:left w:val="nil"/>
              <w:bottom w:val="single" w:color="auto" w:sz="4" w:space="0"/>
              <w:right w:val="single" w:color="auto" w:sz="4" w:space="0"/>
            </w:tcBorders>
            <w:shd w:val="clear" w:color="auto" w:fill="auto"/>
            <w:noWrap/>
            <w:vAlign w:val="center"/>
          </w:tcPr>
          <w:p w14:paraId="581587C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color w:val="000000"/>
                <w:kern w:val="0"/>
                <w:sz w:val="21"/>
                <w:szCs w:val="21"/>
                <w:highlight w:val="none"/>
              </w:rPr>
            </w:pPr>
            <w:r>
              <w:rPr>
                <w:rFonts w:hint="default" w:ascii="Times New Roman" w:hAnsi="Times New Roman" w:eastAsia="等线" w:cs="Times New Roman"/>
                <w:color w:val="000000"/>
                <w:kern w:val="0"/>
                <w:sz w:val="21"/>
                <w:szCs w:val="21"/>
                <w:highlight w:val="none"/>
              </w:rPr>
              <w:t>0.12</w:t>
            </w:r>
          </w:p>
        </w:tc>
        <w:tc>
          <w:tcPr>
            <w:tcW w:w="2132" w:type="dxa"/>
            <w:tcBorders>
              <w:top w:val="nil"/>
              <w:left w:val="nil"/>
              <w:bottom w:val="single" w:color="auto" w:sz="4" w:space="0"/>
              <w:right w:val="single" w:color="auto" w:sz="4" w:space="0"/>
            </w:tcBorders>
            <w:shd w:val="clear" w:color="auto" w:fill="auto"/>
            <w:noWrap/>
            <w:vAlign w:val="center"/>
          </w:tcPr>
          <w:p w14:paraId="7883D44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color w:val="000000"/>
                <w:kern w:val="0"/>
                <w:sz w:val="21"/>
                <w:szCs w:val="21"/>
                <w:highlight w:val="none"/>
              </w:rPr>
            </w:pPr>
            <w:r>
              <w:rPr>
                <w:rFonts w:hint="default" w:ascii="Times New Roman" w:hAnsi="Times New Roman" w:cs="Times New Roman"/>
                <w:color w:val="000000"/>
                <w:kern w:val="0"/>
                <w:sz w:val="21"/>
                <w:szCs w:val="21"/>
                <w:highlight w:val="none"/>
              </w:rPr>
              <w:t>企业14</w:t>
            </w:r>
          </w:p>
        </w:tc>
        <w:tc>
          <w:tcPr>
            <w:tcW w:w="2132" w:type="dxa"/>
            <w:tcBorders>
              <w:top w:val="nil"/>
              <w:left w:val="nil"/>
              <w:bottom w:val="single" w:color="auto" w:sz="4" w:space="0"/>
              <w:right w:val="single" w:color="auto" w:sz="4" w:space="0"/>
            </w:tcBorders>
            <w:shd w:val="clear" w:color="auto" w:fill="auto"/>
            <w:noWrap/>
            <w:vAlign w:val="center"/>
          </w:tcPr>
          <w:p w14:paraId="23FE8A1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color w:val="000000"/>
                <w:kern w:val="0"/>
                <w:sz w:val="21"/>
                <w:szCs w:val="21"/>
                <w:highlight w:val="none"/>
              </w:rPr>
            </w:pPr>
            <w:r>
              <w:rPr>
                <w:rFonts w:hint="default" w:ascii="Times New Roman" w:hAnsi="Times New Roman" w:eastAsia="等线" w:cs="Times New Roman"/>
                <w:color w:val="000000"/>
                <w:kern w:val="0"/>
                <w:sz w:val="21"/>
                <w:szCs w:val="21"/>
                <w:highlight w:val="none"/>
              </w:rPr>
              <w:t>0.031</w:t>
            </w:r>
          </w:p>
        </w:tc>
      </w:tr>
      <w:tr w14:paraId="491FB5FB">
        <w:tblPrEx>
          <w:tblCellMar>
            <w:top w:w="0" w:type="dxa"/>
            <w:left w:w="108" w:type="dxa"/>
            <w:bottom w:w="0" w:type="dxa"/>
            <w:right w:w="108" w:type="dxa"/>
          </w:tblCellMar>
        </w:tblPrEx>
        <w:trPr>
          <w:trHeight w:val="288" w:hRule="atLeast"/>
          <w:jc w:val="center"/>
        </w:trPr>
        <w:tc>
          <w:tcPr>
            <w:tcW w:w="2132" w:type="dxa"/>
            <w:tcBorders>
              <w:top w:val="nil"/>
              <w:left w:val="single" w:color="auto" w:sz="4" w:space="0"/>
              <w:bottom w:val="single" w:color="auto" w:sz="4" w:space="0"/>
              <w:right w:val="single" w:color="auto" w:sz="4" w:space="0"/>
            </w:tcBorders>
            <w:shd w:val="clear" w:color="auto" w:fill="auto"/>
            <w:noWrap/>
            <w:vAlign w:val="center"/>
          </w:tcPr>
          <w:p w14:paraId="0F7997F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企业7</w:t>
            </w:r>
          </w:p>
        </w:tc>
        <w:tc>
          <w:tcPr>
            <w:tcW w:w="2132" w:type="dxa"/>
            <w:tcBorders>
              <w:top w:val="nil"/>
              <w:left w:val="nil"/>
              <w:bottom w:val="single" w:color="auto" w:sz="4" w:space="0"/>
              <w:right w:val="single" w:color="auto" w:sz="4" w:space="0"/>
            </w:tcBorders>
            <w:shd w:val="clear" w:color="auto" w:fill="auto"/>
            <w:noWrap/>
            <w:vAlign w:val="center"/>
          </w:tcPr>
          <w:p w14:paraId="41C1822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color w:val="000000"/>
                <w:kern w:val="0"/>
                <w:sz w:val="21"/>
                <w:szCs w:val="21"/>
                <w:highlight w:val="none"/>
              </w:rPr>
            </w:pPr>
            <w:r>
              <w:rPr>
                <w:rFonts w:hint="default" w:ascii="Times New Roman" w:hAnsi="Times New Roman" w:eastAsia="等线" w:cs="Times New Roman"/>
                <w:color w:val="000000"/>
                <w:kern w:val="0"/>
                <w:sz w:val="21"/>
                <w:szCs w:val="21"/>
                <w:highlight w:val="none"/>
              </w:rPr>
              <w:t>0.125</w:t>
            </w:r>
          </w:p>
        </w:tc>
        <w:tc>
          <w:tcPr>
            <w:tcW w:w="2132" w:type="dxa"/>
            <w:tcBorders>
              <w:top w:val="nil"/>
              <w:left w:val="nil"/>
              <w:bottom w:val="single" w:color="auto" w:sz="4" w:space="0"/>
              <w:right w:val="single" w:color="auto" w:sz="4" w:space="0"/>
            </w:tcBorders>
            <w:shd w:val="clear" w:color="auto" w:fill="auto"/>
            <w:noWrap/>
            <w:vAlign w:val="center"/>
          </w:tcPr>
          <w:p w14:paraId="3CC25D2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color w:val="000000"/>
                <w:kern w:val="0"/>
                <w:sz w:val="21"/>
                <w:szCs w:val="21"/>
                <w:highlight w:val="none"/>
              </w:rPr>
            </w:pPr>
            <w:r>
              <w:rPr>
                <w:rFonts w:hint="default" w:ascii="Times New Roman" w:hAnsi="Times New Roman" w:cs="Times New Roman"/>
                <w:color w:val="000000"/>
                <w:kern w:val="0"/>
                <w:sz w:val="21"/>
                <w:szCs w:val="21"/>
                <w:highlight w:val="none"/>
              </w:rPr>
              <w:t>企业15</w:t>
            </w:r>
          </w:p>
        </w:tc>
        <w:tc>
          <w:tcPr>
            <w:tcW w:w="2132" w:type="dxa"/>
            <w:tcBorders>
              <w:top w:val="nil"/>
              <w:left w:val="nil"/>
              <w:bottom w:val="single" w:color="auto" w:sz="4" w:space="0"/>
              <w:right w:val="single" w:color="auto" w:sz="4" w:space="0"/>
            </w:tcBorders>
            <w:shd w:val="clear" w:color="auto" w:fill="auto"/>
            <w:noWrap/>
            <w:vAlign w:val="center"/>
          </w:tcPr>
          <w:p w14:paraId="7F59432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color w:val="000000"/>
                <w:kern w:val="0"/>
                <w:sz w:val="21"/>
                <w:szCs w:val="21"/>
                <w:highlight w:val="none"/>
              </w:rPr>
            </w:pPr>
            <w:r>
              <w:rPr>
                <w:rFonts w:hint="default" w:ascii="Times New Roman" w:hAnsi="Times New Roman" w:eastAsia="等线" w:cs="Times New Roman"/>
                <w:color w:val="000000"/>
                <w:kern w:val="0"/>
                <w:sz w:val="21"/>
                <w:szCs w:val="21"/>
                <w:highlight w:val="none"/>
              </w:rPr>
              <w:t>0.021</w:t>
            </w:r>
          </w:p>
        </w:tc>
      </w:tr>
      <w:tr w14:paraId="037BDE80">
        <w:tblPrEx>
          <w:tblCellMar>
            <w:top w:w="0" w:type="dxa"/>
            <w:left w:w="108" w:type="dxa"/>
            <w:bottom w:w="0" w:type="dxa"/>
            <w:right w:w="108" w:type="dxa"/>
          </w:tblCellMar>
        </w:tblPrEx>
        <w:trPr>
          <w:trHeight w:val="288" w:hRule="atLeast"/>
          <w:jc w:val="center"/>
        </w:trPr>
        <w:tc>
          <w:tcPr>
            <w:tcW w:w="2132" w:type="dxa"/>
            <w:tcBorders>
              <w:top w:val="nil"/>
              <w:left w:val="single" w:color="auto" w:sz="4" w:space="0"/>
              <w:bottom w:val="single" w:color="auto" w:sz="4" w:space="0"/>
              <w:right w:val="single" w:color="auto" w:sz="4" w:space="0"/>
            </w:tcBorders>
            <w:shd w:val="clear" w:color="auto" w:fill="auto"/>
            <w:noWrap/>
            <w:vAlign w:val="center"/>
          </w:tcPr>
          <w:p w14:paraId="51986AA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企业8</w:t>
            </w:r>
          </w:p>
        </w:tc>
        <w:tc>
          <w:tcPr>
            <w:tcW w:w="2132" w:type="dxa"/>
            <w:tcBorders>
              <w:top w:val="nil"/>
              <w:left w:val="nil"/>
              <w:bottom w:val="single" w:color="auto" w:sz="4" w:space="0"/>
              <w:right w:val="single" w:color="auto" w:sz="4" w:space="0"/>
            </w:tcBorders>
            <w:shd w:val="clear" w:color="auto" w:fill="auto"/>
            <w:noWrap/>
            <w:vAlign w:val="center"/>
          </w:tcPr>
          <w:p w14:paraId="2613905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color w:val="000000"/>
                <w:kern w:val="0"/>
                <w:sz w:val="21"/>
                <w:szCs w:val="21"/>
                <w:highlight w:val="none"/>
              </w:rPr>
            </w:pPr>
            <w:r>
              <w:rPr>
                <w:rFonts w:hint="default" w:ascii="Times New Roman" w:hAnsi="Times New Roman" w:eastAsia="等线" w:cs="Times New Roman"/>
                <w:color w:val="000000"/>
                <w:kern w:val="0"/>
                <w:sz w:val="21"/>
                <w:szCs w:val="21"/>
                <w:highlight w:val="none"/>
              </w:rPr>
              <w:t>0.076</w:t>
            </w:r>
          </w:p>
        </w:tc>
        <w:tc>
          <w:tcPr>
            <w:tcW w:w="2132" w:type="dxa"/>
            <w:tcBorders>
              <w:top w:val="nil"/>
              <w:left w:val="nil"/>
              <w:bottom w:val="single" w:color="auto" w:sz="4" w:space="0"/>
              <w:right w:val="single" w:color="auto" w:sz="4" w:space="0"/>
            </w:tcBorders>
            <w:shd w:val="clear" w:color="auto" w:fill="auto"/>
            <w:noWrap/>
            <w:vAlign w:val="center"/>
          </w:tcPr>
          <w:p w14:paraId="5F1C5E5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color w:val="000000"/>
                <w:kern w:val="0"/>
                <w:sz w:val="21"/>
                <w:szCs w:val="21"/>
                <w:highlight w:val="none"/>
              </w:rPr>
            </w:pPr>
          </w:p>
        </w:tc>
        <w:tc>
          <w:tcPr>
            <w:tcW w:w="2132" w:type="dxa"/>
            <w:tcBorders>
              <w:top w:val="nil"/>
              <w:left w:val="nil"/>
              <w:bottom w:val="single" w:color="auto" w:sz="4" w:space="0"/>
              <w:right w:val="single" w:color="auto" w:sz="4" w:space="0"/>
            </w:tcBorders>
            <w:shd w:val="clear" w:color="auto" w:fill="auto"/>
            <w:noWrap/>
            <w:vAlign w:val="center"/>
          </w:tcPr>
          <w:p w14:paraId="5C3D4DE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color w:val="000000"/>
                <w:kern w:val="0"/>
                <w:sz w:val="21"/>
                <w:szCs w:val="21"/>
                <w:highlight w:val="none"/>
              </w:rPr>
            </w:pPr>
          </w:p>
        </w:tc>
      </w:tr>
    </w:tbl>
    <w:p w14:paraId="30E8F5D8">
      <w:pPr>
        <w:keepNext/>
        <w:keepLines w:val="0"/>
        <w:pageBreakBefore w:val="0"/>
        <w:widowControl w:val="0"/>
        <w:numPr>
          <w:ilvl w:val="0"/>
          <w:numId w:val="4"/>
        </w:numPr>
        <w:kinsoku/>
        <w:wordWrap/>
        <w:autoSpaceDE/>
        <w:autoSpaceDN/>
        <w:bidi w:val="0"/>
        <w:ind w:left="0" w:leftChars="0" w:firstLine="482" w:firstLineChars="200"/>
        <w:rPr>
          <w:rFonts w:hint="default" w:ascii="Times New Roman" w:hAnsi="Times New Roman" w:cs="Times New Roman"/>
          <w:b/>
          <w:bCs/>
          <w:highlight w:val="none"/>
          <w:lang w:val="en-US" w:eastAsia="zh-CN"/>
        </w:rPr>
      </w:pPr>
      <w:r>
        <w:rPr>
          <w:rFonts w:hint="default" w:ascii="Times New Roman" w:hAnsi="Times New Roman" w:cs="Times New Roman"/>
          <w:b/>
          <w:bCs/>
          <w:highlight w:val="none"/>
          <w:lang w:val="en-US" w:eastAsia="zh-CN"/>
        </w:rPr>
        <w:t>厂界</w:t>
      </w:r>
    </w:p>
    <w:p w14:paraId="3118CC83">
      <w:pPr>
        <w:keepNext/>
        <w:keepLines w:val="0"/>
        <w:pageBreakBefore w:val="0"/>
        <w:widowControl w:val="0"/>
        <w:kinsoku/>
        <w:wordWrap/>
        <w:autoSpaceDE/>
        <w:autoSpaceDN/>
        <w:bidi w:val="0"/>
        <w:rPr>
          <w:rFonts w:hint="default" w:ascii="Times New Roman" w:hAnsi="Times New Roman" w:cs="Times New Roman"/>
          <w:highlight w:val="none"/>
        </w:rPr>
      </w:pPr>
      <w:r>
        <w:rPr>
          <w:rFonts w:hint="default" w:ascii="Times New Roman" w:hAnsi="Times New Roman" w:cs="Times New Roman"/>
          <w:sz w:val="24"/>
          <w:highlight w:val="none"/>
        </w:rPr>
        <w:t>我们对收集的企业自行监测的数据进行统计分析，其中有</w:t>
      </w:r>
      <w:r>
        <w:rPr>
          <w:rFonts w:hint="default" w:ascii="Times New Roman" w:hAnsi="Times New Roman" w:cs="Times New Roman"/>
          <w:sz w:val="24"/>
          <w:highlight w:val="none"/>
          <w:lang w:val="en-US" w:eastAsia="zh-CN"/>
        </w:rPr>
        <w:t>162个点位开展了厂界的颗粒物浓度</w:t>
      </w:r>
      <w:r>
        <w:rPr>
          <w:rFonts w:hint="default" w:ascii="Times New Roman" w:hAnsi="Times New Roman" w:cs="Times New Roman"/>
          <w:sz w:val="24"/>
          <w:highlight w:val="none"/>
        </w:rPr>
        <w:t>监测，浓度范围在</w:t>
      </w:r>
      <w:r>
        <w:rPr>
          <w:rFonts w:hint="default" w:ascii="Times New Roman" w:hAnsi="Times New Roman" w:cs="Times New Roman"/>
          <w:sz w:val="24"/>
          <w:highlight w:val="none"/>
          <w:lang w:val="en-US" w:eastAsia="zh-CN"/>
        </w:rPr>
        <w:t>未检出</w:t>
      </w:r>
      <w:r>
        <w:rPr>
          <w:rFonts w:hint="default" w:ascii="Times New Roman" w:hAnsi="Times New Roman" w:cs="Times New Roman"/>
          <w:sz w:val="24"/>
          <w:highlight w:val="none"/>
        </w:rPr>
        <w:t>~</w:t>
      </w:r>
      <w:r>
        <w:rPr>
          <w:rFonts w:hint="default" w:ascii="Times New Roman" w:hAnsi="Times New Roman" w:cs="Times New Roman"/>
          <w:sz w:val="24"/>
          <w:highlight w:val="none"/>
          <w:lang w:val="en-US" w:eastAsia="zh-CN"/>
        </w:rPr>
        <w:t>0.782</w:t>
      </w:r>
      <w:r>
        <w:rPr>
          <w:rFonts w:hint="eastAsia" w:cs="Times New Roman"/>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sz w:val="24"/>
          <w:highlight w:val="none"/>
        </w:rPr>
        <w:t>浓度分布见</w:t>
      </w:r>
      <w:r>
        <w:rPr>
          <w:rFonts w:hint="default" w:ascii="Times New Roman" w:hAnsi="Times New Roman" w:cs="Times New Roman"/>
          <w:kern w:val="0"/>
          <w:sz w:val="24"/>
          <w:highlight w:val="none"/>
          <w:lang w:val="en-US" w:eastAsia="zh-CN"/>
        </w:rPr>
        <w:t>下表</w:t>
      </w:r>
      <w:r>
        <w:rPr>
          <w:rFonts w:hint="default" w:ascii="Times New Roman" w:hAnsi="Times New Roman" w:cs="Times New Roman"/>
          <w:kern w:val="0"/>
          <w:sz w:val="24"/>
          <w:highlight w:val="none"/>
        </w:rPr>
        <w:t>，</w:t>
      </w:r>
      <w:r>
        <w:rPr>
          <w:rFonts w:hint="default" w:ascii="Times New Roman" w:hAnsi="Times New Roman" w:cs="Times New Roman"/>
          <w:kern w:val="0"/>
          <w:sz w:val="24"/>
          <w:highlight w:val="none"/>
          <w:lang w:val="en-US" w:eastAsia="zh-CN"/>
        </w:rPr>
        <w:t>浓度主要分布在</w:t>
      </w:r>
      <w:r>
        <w:rPr>
          <w:rFonts w:hint="default" w:ascii="Times New Roman" w:hAnsi="Times New Roman" w:cs="Times New Roman"/>
          <w:kern w:val="0"/>
          <w:sz w:val="24"/>
          <w:highlight w:val="none"/>
        </w:rPr>
        <w:t>0~0.</w:t>
      </w:r>
      <w:r>
        <w:rPr>
          <w:rFonts w:hint="default" w:ascii="Times New Roman" w:hAnsi="Times New Roman" w:cs="Times New Roman"/>
          <w:kern w:val="0"/>
          <w:sz w:val="24"/>
          <w:highlight w:val="none"/>
          <w:lang w:val="en-US" w:eastAsia="zh-CN"/>
        </w:rPr>
        <w:t>5</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lang w:val="en-US" w:eastAsia="zh-CN"/>
        </w:rPr>
        <w:t>占比90%，其次为未检出</w:t>
      </w:r>
      <w:r>
        <w:rPr>
          <w:rFonts w:hint="default" w:ascii="Times New Roman" w:hAnsi="Times New Roman" w:cs="Times New Roman"/>
          <w:kern w:val="0"/>
          <w:sz w:val="24"/>
          <w:highlight w:val="none"/>
        </w:rPr>
        <w:t>占比</w:t>
      </w:r>
      <w:r>
        <w:rPr>
          <w:rFonts w:hint="default" w:ascii="Times New Roman" w:hAnsi="Times New Roman" w:cs="Times New Roman"/>
          <w:kern w:val="0"/>
          <w:sz w:val="24"/>
          <w:highlight w:val="none"/>
          <w:lang w:val="en-US" w:eastAsia="zh-CN"/>
        </w:rPr>
        <w:t>6</w:t>
      </w:r>
      <w:r>
        <w:rPr>
          <w:rFonts w:hint="default" w:ascii="Times New Roman" w:hAnsi="Times New Roman" w:cs="Times New Roman"/>
          <w:kern w:val="0"/>
          <w:sz w:val="24"/>
          <w:highlight w:val="none"/>
        </w:rPr>
        <w:t>%</w:t>
      </w:r>
      <w:r>
        <w:rPr>
          <w:rFonts w:hint="default" w:ascii="Times New Roman" w:hAnsi="Times New Roman" w:cs="Times New Roman"/>
          <w:kern w:val="0"/>
          <w:sz w:val="24"/>
          <w:highlight w:val="none"/>
          <w:lang w:eastAsia="zh-CN"/>
        </w:rPr>
        <w:t>，</w:t>
      </w:r>
      <w:r>
        <w:rPr>
          <w:rFonts w:hint="default" w:ascii="Times New Roman" w:hAnsi="Times New Roman" w:cs="Times New Roman"/>
          <w:kern w:val="0"/>
          <w:sz w:val="24"/>
          <w:highlight w:val="none"/>
          <w:lang w:val="en-US" w:eastAsia="zh-CN"/>
        </w:rPr>
        <w:t>0.5</w:t>
      </w:r>
      <w:r>
        <w:rPr>
          <w:rFonts w:hint="default" w:ascii="Times New Roman" w:hAnsi="Times New Roman" w:cs="Times New Roman"/>
          <w:kern w:val="0"/>
          <w:sz w:val="24"/>
          <w:highlight w:val="none"/>
        </w:rPr>
        <w:t>~</w:t>
      </w:r>
      <w:r>
        <w:rPr>
          <w:rFonts w:hint="default" w:ascii="Times New Roman" w:hAnsi="Times New Roman" w:cs="Times New Roman"/>
          <w:kern w:val="0"/>
          <w:sz w:val="24"/>
          <w:highlight w:val="none"/>
          <w:lang w:val="en-US" w:eastAsia="zh-CN"/>
        </w:rPr>
        <w:t>1.0</w:t>
      </w:r>
      <w:r>
        <w:rPr>
          <w:rFonts w:hint="eastAsia" w:cs="Times New Roman"/>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之间占比</w:t>
      </w:r>
      <w:r>
        <w:rPr>
          <w:rFonts w:hint="default" w:ascii="Times New Roman" w:hAnsi="Times New Roman" w:cs="Times New Roman"/>
          <w:color w:val="000000"/>
          <w:kern w:val="0"/>
          <w:sz w:val="24"/>
          <w:highlight w:val="none"/>
          <w:lang w:val="en-US" w:eastAsia="zh-CN"/>
        </w:rPr>
        <w:t>4</w:t>
      </w:r>
      <w:r>
        <w:rPr>
          <w:rFonts w:hint="default" w:ascii="Times New Roman" w:hAnsi="Times New Roman" w:cs="Times New Roman"/>
          <w:color w:val="000000"/>
          <w:kern w:val="0"/>
          <w:sz w:val="24"/>
          <w:highlight w:val="none"/>
        </w:rPr>
        <w:t>%</w:t>
      </w:r>
      <w:r>
        <w:rPr>
          <w:rFonts w:hint="default" w:ascii="Times New Roman" w:hAnsi="Times New Roman" w:cs="Times New Roman"/>
          <w:color w:val="000000"/>
          <w:kern w:val="0"/>
          <w:sz w:val="24"/>
          <w:highlight w:val="none"/>
          <w:lang w:eastAsia="zh-CN"/>
        </w:rPr>
        <w:t>。</w:t>
      </w:r>
      <w:r>
        <w:rPr>
          <w:rFonts w:hint="default" w:ascii="Times New Roman" w:hAnsi="Times New Roman" w:cs="Times New Roman"/>
          <w:color w:val="000000"/>
          <w:kern w:val="0"/>
          <w:sz w:val="24"/>
          <w:highlight w:val="none"/>
          <w:lang w:val="en-US" w:eastAsia="zh-CN"/>
        </w:rPr>
        <w:t>与厂内颗粒物情况类似，</w:t>
      </w:r>
      <w:r>
        <w:rPr>
          <w:rFonts w:hint="default" w:ascii="Times New Roman" w:hAnsi="Times New Roman" w:cs="Times New Roman"/>
          <w:highlight w:val="none"/>
          <w:lang w:val="en-US" w:eastAsia="zh-CN"/>
        </w:rPr>
        <w:t>本标准参照安徽、上海、江苏等地标准，未设置厂界颗粒物浓度限值。</w:t>
      </w:r>
    </w:p>
    <w:p w14:paraId="0A3891CC">
      <w:pPr>
        <w:keepNext/>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kern w:val="0"/>
          <w:szCs w:val="21"/>
          <w:highlight w:val="none"/>
        </w:rPr>
      </w:pPr>
      <w:r>
        <w:rPr>
          <w:rFonts w:hint="eastAsia" w:cs="Times New Roman"/>
          <w:kern w:val="0"/>
          <w:szCs w:val="21"/>
          <w:highlight w:val="none"/>
          <w:lang w:val="en-US" w:eastAsia="zh-CN"/>
        </w:rPr>
        <w:t>表7.6</w:t>
      </w:r>
      <w:r>
        <w:rPr>
          <w:rFonts w:hint="default" w:ascii="Times New Roman" w:hAnsi="Times New Roman" w:cs="Times New Roman"/>
          <w:kern w:val="0"/>
          <w:szCs w:val="21"/>
          <w:highlight w:val="none"/>
        </w:rPr>
        <w:t>-</w:t>
      </w:r>
      <w:r>
        <w:rPr>
          <w:rFonts w:hint="eastAsia" w:cs="Times New Roman"/>
          <w:kern w:val="0"/>
          <w:szCs w:val="21"/>
          <w:highlight w:val="none"/>
          <w:lang w:val="en-US" w:eastAsia="zh-CN"/>
        </w:rPr>
        <w:t>5</w:t>
      </w:r>
      <w:r>
        <w:rPr>
          <w:rFonts w:hint="default" w:ascii="Times New Roman" w:hAnsi="Times New Roman" w:cs="Times New Roman"/>
          <w:kern w:val="0"/>
          <w:szCs w:val="21"/>
          <w:highlight w:val="none"/>
        </w:rPr>
        <w:t xml:space="preserve"> 有组织废气</w:t>
      </w:r>
      <w:r>
        <w:rPr>
          <w:rFonts w:hint="default" w:ascii="Times New Roman" w:hAnsi="Times New Roman" w:cs="Times New Roman"/>
          <w:kern w:val="0"/>
          <w:szCs w:val="21"/>
          <w:highlight w:val="none"/>
          <w:lang w:val="en-US" w:eastAsia="zh-CN"/>
        </w:rPr>
        <w:t>颗粒物</w:t>
      </w:r>
      <w:r>
        <w:rPr>
          <w:rFonts w:hint="default" w:ascii="Times New Roman" w:hAnsi="Times New Roman" w:cs="Times New Roman"/>
          <w:kern w:val="0"/>
          <w:szCs w:val="21"/>
          <w:highlight w:val="none"/>
        </w:rPr>
        <w:t>的排放浓度情况</w:t>
      </w:r>
    </w:p>
    <w:tbl>
      <w:tblPr>
        <w:tblStyle w:val="21"/>
        <w:tblW w:w="4998" w:type="pct"/>
        <w:jc w:val="center"/>
        <w:tblLayout w:type="autofit"/>
        <w:tblCellMar>
          <w:top w:w="0" w:type="dxa"/>
          <w:left w:w="108" w:type="dxa"/>
          <w:bottom w:w="0" w:type="dxa"/>
          <w:right w:w="108" w:type="dxa"/>
        </w:tblCellMar>
      </w:tblPr>
      <w:tblGrid>
        <w:gridCol w:w="4565"/>
        <w:gridCol w:w="1320"/>
        <w:gridCol w:w="1320"/>
        <w:gridCol w:w="1320"/>
      </w:tblGrid>
      <w:tr w14:paraId="14745597">
        <w:tblPrEx>
          <w:tblCellMar>
            <w:top w:w="0" w:type="dxa"/>
            <w:left w:w="108" w:type="dxa"/>
            <w:bottom w:w="0" w:type="dxa"/>
            <w:right w:w="108" w:type="dxa"/>
          </w:tblCellMar>
        </w:tblPrEx>
        <w:trPr>
          <w:trHeight w:val="300" w:hRule="atLeast"/>
          <w:jc w:val="center"/>
        </w:trPr>
        <w:tc>
          <w:tcPr>
            <w:tcW w:w="2677" w:type="pct"/>
            <w:tcBorders>
              <w:top w:val="single" w:color="auto" w:sz="4" w:space="0"/>
              <w:left w:val="single" w:color="auto" w:sz="4" w:space="0"/>
              <w:bottom w:val="single" w:color="auto" w:sz="4" w:space="0"/>
              <w:right w:val="single" w:color="auto" w:sz="4" w:space="0"/>
            </w:tcBorders>
            <w:shd w:val="clear" w:color="auto" w:fill="auto"/>
            <w:noWrap/>
            <w:vAlign w:val="center"/>
          </w:tcPr>
          <w:p w14:paraId="374C3FE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rPr>
            </w:pPr>
            <w:r>
              <w:rPr>
                <w:rFonts w:hint="default" w:ascii="Times New Roman" w:hAnsi="Times New Roman" w:cs="Times New Roman"/>
                <w:b/>
                <w:bCs/>
                <w:color w:val="000000"/>
                <w:kern w:val="0"/>
                <w:sz w:val="21"/>
                <w:szCs w:val="21"/>
                <w:highlight w:val="none"/>
                <w:lang w:val="en-US" w:eastAsia="zh-CN"/>
              </w:rPr>
              <w:t>颗粒物</w:t>
            </w:r>
            <w:r>
              <w:rPr>
                <w:rFonts w:hint="default" w:ascii="Times New Roman" w:hAnsi="Times New Roman" w:cs="Times New Roman"/>
                <w:b/>
                <w:bCs/>
                <w:color w:val="000000"/>
                <w:kern w:val="0"/>
                <w:sz w:val="21"/>
                <w:szCs w:val="21"/>
                <w:highlight w:val="none"/>
              </w:rPr>
              <w:t>浓度（mg/m</w:t>
            </w:r>
            <w:r>
              <w:rPr>
                <w:rFonts w:hint="default" w:ascii="Times New Roman" w:hAnsi="Times New Roman" w:cs="Times New Roman"/>
                <w:b/>
                <w:bCs/>
                <w:color w:val="000000"/>
                <w:kern w:val="0"/>
                <w:sz w:val="21"/>
                <w:szCs w:val="21"/>
                <w:highlight w:val="none"/>
                <w:vertAlign w:val="superscript"/>
              </w:rPr>
              <w:t>3</w:t>
            </w:r>
            <w:r>
              <w:rPr>
                <w:rFonts w:hint="default" w:ascii="Times New Roman" w:hAnsi="Times New Roman" w:cs="Times New Roman"/>
                <w:b/>
                <w:bCs/>
                <w:color w:val="000000"/>
                <w:kern w:val="0"/>
                <w:sz w:val="21"/>
                <w:szCs w:val="21"/>
                <w:highlight w:val="none"/>
              </w:rPr>
              <w:t>）</w:t>
            </w:r>
          </w:p>
        </w:tc>
        <w:tc>
          <w:tcPr>
            <w:tcW w:w="774" w:type="pct"/>
            <w:tcBorders>
              <w:top w:val="single" w:color="auto" w:sz="4" w:space="0"/>
              <w:left w:val="nil"/>
              <w:bottom w:val="single" w:color="auto" w:sz="4" w:space="0"/>
              <w:right w:val="single" w:color="auto" w:sz="4" w:space="0"/>
            </w:tcBorders>
            <w:shd w:val="clear" w:color="auto" w:fill="auto"/>
            <w:noWrap/>
            <w:vAlign w:val="center"/>
          </w:tcPr>
          <w:p w14:paraId="1BE15CA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lang w:val="en-US" w:eastAsia="zh-CN"/>
              </w:rPr>
            </w:pPr>
            <w:r>
              <w:rPr>
                <w:rFonts w:hint="default" w:ascii="Times New Roman" w:hAnsi="Times New Roman" w:cs="Times New Roman"/>
                <w:b/>
                <w:bCs/>
                <w:color w:val="000000"/>
                <w:kern w:val="0"/>
                <w:sz w:val="21"/>
                <w:szCs w:val="21"/>
                <w:highlight w:val="none"/>
                <w:lang w:val="en-US" w:eastAsia="zh-CN"/>
              </w:rPr>
              <w:t>未检出</w:t>
            </w:r>
          </w:p>
        </w:tc>
        <w:tc>
          <w:tcPr>
            <w:tcW w:w="774" w:type="pct"/>
            <w:tcBorders>
              <w:top w:val="single" w:color="auto" w:sz="4" w:space="0"/>
              <w:left w:val="nil"/>
              <w:bottom w:val="single" w:color="auto" w:sz="4" w:space="0"/>
              <w:right w:val="single" w:color="auto" w:sz="4" w:space="0"/>
            </w:tcBorders>
            <w:shd w:val="clear" w:color="auto" w:fill="auto"/>
            <w:noWrap/>
            <w:vAlign w:val="center"/>
          </w:tcPr>
          <w:p w14:paraId="31CBC3D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lang w:val="en-US" w:eastAsia="zh-CN"/>
              </w:rPr>
            </w:pPr>
            <w:r>
              <w:rPr>
                <w:rFonts w:hint="default" w:ascii="Times New Roman" w:hAnsi="Times New Roman" w:cs="Times New Roman"/>
                <w:b/>
                <w:bCs/>
                <w:color w:val="000000"/>
                <w:kern w:val="0"/>
                <w:sz w:val="21"/>
                <w:szCs w:val="21"/>
                <w:highlight w:val="none"/>
                <w:lang w:val="en-US" w:eastAsia="zh-CN"/>
              </w:rPr>
              <w:t>0~0.5</w:t>
            </w:r>
          </w:p>
        </w:tc>
        <w:tc>
          <w:tcPr>
            <w:tcW w:w="774" w:type="pct"/>
            <w:tcBorders>
              <w:top w:val="single" w:color="auto" w:sz="4" w:space="0"/>
              <w:left w:val="nil"/>
              <w:bottom w:val="single" w:color="auto" w:sz="4" w:space="0"/>
              <w:right w:val="single" w:color="auto" w:sz="4" w:space="0"/>
            </w:tcBorders>
            <w:shd w:val="clear" w:color="auto" w:fill="auto"/>
            <w:noWrap/>
            <w:vAlign w:val="center"/>
          </w:tcPr>
          <w:p w14:paraId="7EC383C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等线" w:cs="Times New Roman"/>
                <w:b/>
                <w:bCs/>
                <w:color w:val="000000"/>
                <w:kern w:val="0"/>
                <w:sz w:val="21"/>
                <w:szCs w:val="21"/>
                <w:highlight w:val="none"/>
                <w:lang w:val="en-US" w:eastAsia="zh-CN"/>
              </w:rPr>
            </w:pPr>
            <w:r>
              <w:rPr>
                <w:rFonts w:hint="default" w:ascii="Times New Roman" w:hAnsi="Times New Roman" w:eastAsia="等线" w:cs="Times New Roman"/>
                <w:b/>
                <w:bCs/>
                <w:color w:val="000000"/>
                <w:kern w:val="0"/>
                <w:sz w:val="21"/>
                <w:szCs w:val="21"/>
                <w:highlight w:val="none"/>
                <w:lang w:val="en-US" w:eastAsia="zh-CN"/>
              </w:rPr>
              <w:t>0.5~1.0</w:t>
            </w:r>
          </w:p>
        </w:tc>
      </w:tr>
      <w:tr w14:paraId="6BCE8101">
        <w:tblPrEx>
          <w:tblCellMar>
            <w:top w:w="0" w:type="dxa"/>
            <w:left w:w="108" w:type="dxa"/>
            <w:bottom w:w="0" w:type="dxa"/>
            <w:right w:w="108" w:type="dxa"/>
          </w:tblCellMar>
        </w:tblPrEx>
        <w:trPr>
          <w:trHeight w:val="300" w:hRule="atLeast"/>
          <w:jc w:val="center"/>
        </w:trPr>
        <w:tc>
          <w:tcPr>
            <w:tcW w:w="2677" w:type="pct"/>
            <w:tcBorders>
              <w:top w:val="nil"/>
              <w:left w:val="single" w:color="auto" w:sz="4" w:space="0"/>
              <w:bottom w:val="single" w:color="auto" w:sz="4" w:space="0"/>
              <w:right w:val="single" w:color="auto" w:sz="4" w:space="0"/>
            </w:tcBorders>
            <w:shd w:val="clear" w:color="auto" w:fill="auto"/>
            <w:noWrap/>
            <w:vAlign w:val="center"/>
          </w:tcPr>
          <w:p w14:paraId="13087C0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点位数量</w:t>
            </w:r>
            <w:r>
              <w:rPr>
                <w:rFonts w:hint="default" w:ascii="Times New Roman" w:hAnsi="Times New Roman" w:cs="Times New Roman"/>
                <w:color w:val="000000"/>
                <w:kern w:val="0"/>
                <w:sz w:val="21"/>
                <w:szCs w:val="21"/>
                <w:highlight w:val="none"/>
              </w:rPr>
              <w:t>（个）</w:t>
            </w:r>
          </w:p>
        </w:tc>
        <w:tc>
          <w:tcPr>
            <w:tcW w:w="1320" w:type="dxa"/>
            <w:tcBorders>
              <w:top w:val="nil"/>
              <w:left w:val="nil"/>
              <w:bottom w:val="single" w:color="auto" w:sz="4" w:space="0"/>
              <w:right w:val="single" w:color="auto" w:sz="4" w:space="0"/>
            </w:tcBorders>
            <w:shd w:val="clear" w:color="auto" w:fill="auto"/>
            <w:noWrap/>
            <w:vAlign w:val="center"/>
          </w:tcPr>
          <w:p w14:paraId="5D14D01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9</w:t>
            </w:r>
          </w:p>
        </w:tc>
        <w:tc>
          <w:tcPr>
            <w:tcW w:w="1320" w:type="dxa"/>
            <w:tcBorders>
              <w:top w:val="nil"/>
              <w:left w:val="nil"/>
              <w:bottom w:val="single" w:color="auto" w:sz="4" w:space="0"/>
              <w:right w:val="single" w:color="auto" w:sz="4" w:space="0"/>
            </w:tcBorders>
            <w:shd w:val="clear" w:color="auto" w:fill="auto"/>
            <w:noWrap/>
            <w:vAlign w:val="center"/>
          </w:tcPr>
          <w:p w14:paraId="26E6BFB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146</w:t>
            </w:r>
          </w:p>
        </w:tc>
        <w:tc>
          <w:tcPr>
            <w:tcW w:w="1320" w:type="dxa"/>
            <w:tcBorders>
              <w:top w:val="nil"/>
              <w:left w:val="nil"/>
              <w:bottom w:val="single" w:color="auto" w:sz="4" w:space="0"/>
              <w:right w:val="single" w:color="auto" w:sz="4" w:space="0"/>
            </w:tcBorders>
            <w:shd w:val="clear" w:color="auto" w:fill="auto"/>
            <w:noWrap/>
            <w:vAlign w:val="center"/>
          </w:tcPr>
          <w:p w14:paraId="489AC1B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7</w:t>
            </w:r>
          </w:p>
        </w:tc>
      </w:tr>
      <w:tr w14:paraId="754EF67E">
        <w:tblPrEx>
          <w:tblCellMar>
            <w:top w:w="0" w:type="dxa"/>
            <w:left w:w="108" w:type="dxa"/>
            <w:bottom w:w="0" w:type="dxa"/>
            <w:right w:w="108" w:type="dxa"/>
          </w:tblCellMar>
        </w:tblPrEx>
        <w:trPr>
          <w:trHeight w:val="322" w:hRule="atLeast"/>
          <w:jc w:val="center"/>
        </w:trPr>
        <w:tc>
          <w:tcPr>
            <w:tcW w:w="2677" w:type="pct"/>
            <w:tcBorders>
              <w:top w:val="nil"/>
              <w:left w:val="single" w:color="auto" w:sz="4" w:space="0"/>
              <w:bottom w:val="single" w:color="auto" w:sz="4" w:space="0"/>
              <w:right w:val="single" w:color="auto" w:sz="4" w:space="0"/>
            </w:tcBorders>
            <w:shd w:val="clear" w:color="auto" w:fill="auto"/>
            <w:noWrap/>
            <w:vAlign w:val="center"/>
          </w:tcPr>
          <w:p w14:paraId="01B4F76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占比（%）</w:t>
            </w:r>
          </w:p>
        </w:tc>
        <w:tc>
          <w:tcPr>
            <w:tcW w:w="1320" w:type="dxa"/>
            <w:tcBorders>
              <w:top w:val="nil"/>
              <w:left w:val="nil"/>
              <w:bottom w:val="single" w:color="auto" w:sz="4" w:space="0"/>
              <w:right w:val="single" w:color="auto" w:sz="4" w:space="0"/>
            </w:tcBorders>
            <w:shd w:val="clear" w:color="auto" w:fill="auto"/>
            <w:noWrap/>
            <w:vAlign w:val="center"/>
          </w:tcPr>
          <w:p w14:paraId="22F195C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6%</w:t>
            </w:r>
          </w:p>
        </w:tc>
        <w:tc>
          <w:tcPr>
            <w:tcW w:w="1320" w:type="dxa"/>
            <w:tcBorders>
              <w:top w:val="nil"/>
              <w:left w:val="nil"/>
              <w:bottom w:val="single" w:color="auto" w:sz="4" w:space="0"/>
              <w:right w:val="single" w:color="auto" w:sz="4" w:space="0"/>
            </w:tcBorders>
            <w:shd w:val="clear" w:color="auto" w:fill="auto"/>
            <w:noWrap/>
            <w:vAlign w:val="center"/>
          </w:tcPr>
          <w:p w14:paraId="53DA932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90%</w:t>
            </w:r>
          </w:p>
        </w:tc>
        <w:tc>
          <w:tcPr>
            <w:tcW w:w="1320" w:type="dxa"/>
            <w:tcBorders>
              <w:top w:val="nil"/>
              <w:left w:val="nil"/>
              <w:bottom w:val="single" w:color="auto" w:sz="4" w:space="0"/>
              <w:right w:val="single" w:color="auto" w:sz="4" w:space="0"/>
            </w:tcBorders>
            <w:shd w:val="clear" w:color="auto" w:fill="auto"/>
            <w:noWrap/>
            <w:vAlign w:val="center"/>
          </w:tcPr>
          <w:p w14:paraId="576571E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lang w:val="en-US" w:eastAsia="zh-CN"/>
              </w:rPr>
              <w:t>4%</w:t>
            </w:r>
          </w:p>
        </w:tc>
      </w:tr>
    </w:tbl>
    <w:p w14:paraId="16C9A754">
      <w:pPr>
        <w:pStyle w:val="4"/>
        <w:keepNext/>
        <w:keepLines w:val="0"/>
        <w:pageBreakBefore w:val="0"/>
        <w:widowControl w:val="0"/>
        <w:kinsoku/>
        <w:wordWrap/>
        <w:autoSpaceDE/>
        <w:autoSpaceDN/>
        <w:bidi w:val="0"/>
        <w:rPr>
          <w:rFonts w:hint="default"/>
          <w:highlight w:val="none"/>
        </w:rPr>
      </w:pPr>
      <w:bookmarkStart w:id="138" w:name="_Toc3007"/>
      <w:bookmarkStart w:id="139" w:name="_Toc12044"/>
      <w:r>
        <w:rPr>
          <w:highlight w:val="none"/>
        </w:rPr>
        <w:t>无组织排放管控要求</w:t>
      </w:r>
      <w:bookmarkEnd w:id="138"/>
      <w:bookmarkEnd w:id="139"/>
    </w:p>
    <w:p w14:paraId="43A88880">
      <w:pPr>
        <w:keepNext/>
        <w:keepLines w:val="0"/>
        <w:pageBreakBefore w:val="0"/>
        <w:widowControl w:val="0"/>
        <w:kinsoku/>
        <w:wordWrap/>
        <w:autoSpaceDE/>
        <w:autoSpaceDN/>
        <w:bidi w:val="0"/>
        <w:rPr>
          <w:highlight w:val="none"/>
        </w:rPr>
      </w:pPr>
      <w:r>
        <w:rPr>
          <w:highlight w:val="none"/>
        </w:rPr>
        <w:t>无组织排放管控要求参考《挥发性有机物无组织排放控制标准》（GB 37822</w:t>
      </w:r>
      <w:r>
        <w:rPr>
          <w:rFonts w:hint="eastAsia"/>
          <w:highlight w:val="none"/>
          <w:lang w:val="en-US" w:eastAsia="zh-CN"/>
        </w:rPr>
        <w:t>-2019</w:t>
      </w:r>
      <w:r>
        <w:rPr>
          <w:highlight w:val="none"/>
        </w:rPr>
        <w:t>）</w:t>
      </w:r>
      <w:r>
        <w:rPr>
          <w:rFonts w:hint="eastAsia"/>
          <w:highlight w:val="none"/>
          <w:lang w:eastAsia="zh-CN"/>
        </w:rPr>
        <w:t>和北京（送审稿）、安徽等地方汽车维修行业标准，同时结合省内外先进汽车维修城市整改指南，规定无组织排放控制要求如下：</w:t>
      </w:r>
    </w:p>
    <w:p w14:paraId="132BD5F4">
      <w:pPr>
        <w:keepNext/>
        <w:keepLines w:val="0"/>
        <w:pageBreakBefore w:val="0"/>
        <w:widowControl w:val="0"/>
        <w:numPr>
          <w:ilvl w:val="0"/>
          <w:numId w:val="8"/>
        </w:numPr>
        <w:kinsoku/>
        <w:wordWrap/>
        <w:overflowPunct/>
        <w:topLinePunct w:val="0"/>
        <w:autoSpaceDE/>
        <w:autoSpaceDN/>
        <w:bidi w:val="0"/>
        <w:adjustRightInd/>
        <w:snapToGrid/>
        <w:spacing w:line="360" w:lineRule="auto"/>
        <w:ind w:firstLine="480" w:firstLineChars="200"/>
        <w:textAlignment w:val="auto"/>
        <w:rPr>
          <w:rFonts w:hint="eastAsia" w:cs="Times New Roman"/>
          <w:color w:val="000000"/>
          <w:sz w:val="24"/>
          <w:szCs w:val="22"/>
          <w:highlight w:val="none"/>
          <w:lang w:val="en-US" w:eastAsia="zh-CN"/>
        </w:rPr>
      </w:pPr>
      <w:r>
        <w:rPr>
          <w:rFonts w:hint="eastAsia" w:cs="Times New Roman"/>
          <w:color w:val="000000"/>
          <w:sz w:val="24"/>
          <w:szCs w:val="22"/>
          <w:highlight w:val="none"/>
          <w:lang w:val="en-US" w:eastAsia="zh-CN"/>
        </w:rPr>
        <w:t>钣金应在专门的钣金工位进行，钣金工位需配置除尘设备，钣金过程产生的粉尘需通过除尘设备收集处理后排放。调试车间或调试工位应设置汽车尾气收集净化装置。</w:t>
      </w:r>
    </w:p>
    <w:p w14:paraId="62C063B6">
      <w:pPr>
        <w:keepNext/>
        <w:keepLines w:val="0"/>
        <w:pageBreakBefore w:val="0"/>
        <w:widowControl w:val="0"/>
        <w:numPr>
          <w:ilvl w:val="0"/>
          <w:numId w:val="8"/>
        </w:numPr>
        <w:kinsoku/>
        <w:wordWrap/>
        <w:overflowPunct/>
        <w:topLinePunct w:val="0"/>
        <w:autoSpaceDE/>
        <w:autoSpaceDN/>
        <w:bidi w:val="0"/>
        <w:adjustRightInd/>
        <w:snapToGrid/>
        <w:spacing w:line="360" w:lineRule="auto"/>
        <w:ind w:firstLine="480" w:firstLineChars="200"/>
        <w:textAlignment w:val="auto"/>
        <w:rPr>
          <w:rFonts w:hint="eastAsia" w:cs="Times New Roman"/>
          <w:color w:val="000000"/>
          <w:sz w:val="24"/>
          <w:szCs w:val="22"/>
          <w:highlight w:val="none"/>
          <w:lang w:val="en-US" w:eastAsia="zh-CN"/>
        </w:rPr>
      </w:pPr>
      <w:r>
        <w:rPr>
          <w:rFonts w:hint="eastAsia" w:cs="Times New Roman"/>
          <w:color w:val="000000"/>
          <w:sz w:val="24"/>
          <w:szCs w:val="22"/>
          <w:highlight w:val="none"/>
          <w:lang w:val="en-US" w:eastAsia="zh-CN"/>
        </w:rPr>
        <w:t>涂料、稀释剂、固化剂、清洗剂等VOCs物料应储存于密闭的容器、包装袋或储罐中。盛装VOCs物料的容器或包装袋应采取封闭措施，在物料非取用状态时应加盖、封口，保持密闭。VOCs物料的转移和输送过程应保持密闭。</w:t>
      </w:r>
    </w:p>
    <w:p w14:paraId="355B5C03">
      <w:pPr>
        <w:keepNext/>
        <w:keepLines w:val="0"/>
        <w:pageBreakBefore w:val="0"/>
        <w:widowControl w:val="0"/>
        <w:numPr>
          <w:ilvl w:val="0"/>
          <w:numId w:val="8"/>
        </w:numPr>
        <w:kinsoku/>
        <w:wordWrap/>
        <w:overflowPunct/>
        <w:topLinePunct w:val="0"/>
        <w:autoSpaceDE/>
        <w:autoSpaceDN/>
        <w:bidi w:val="0"/>
        <w:adjustRightInd/>
        <w:snapToGrid/>
        <w:spacing w:line="360" w:lineRule="auto"/>
        <w:ind w:firstLine="480" w:firstLineChars="200"/>
        <w:textAlignment w:val="auto"/>
        <w:rPr>
          <w:rFonts w:hint="eastAsia" w:cs="Times New Roman"/>
          <w:color w:val="000000"/>
          <w:sz w:val="24"/>
          <w:szCs w:val="22"/>
          <w:highlight w:val="none"/>
          <w:lang w:val="en-US" w:eastAsia="zh-CN"/>
        </w:rPr>
      </w:pPr>
      <w:r>
        <w:rPr>
          <w:rFonts w:hint="eastAsia" w:cs="Times New Roman"/>
          <w:color w:val="000000"/>
          <w:sz w:val="24"/>
          <w:szCs w:val="22"/>
          <w:highlight w:val="none"/>
          <w:lang w:val="en-US" w:eastAsia="zh-CN"/>
        </w:rPr>
        <w:t>调漆工序应在专门的调漆室内操作，安装集气系统将产生的废气导入VOCs处理设施。</w:t>
      </w:r>
    </w:p>
    <w:p w14:paraId="33933585">
      <w:pPr>
        <w:keepNext/>
        <w:keepLines w:val="0"/>
        <w:pageBreakBefore w:val="0"/>
        <w:widowControl w:val="0"/>
        <w:numPr>
          <w:ilvl w:val="0"/>
          <w:numId w:val="8"/>
        </w:numPr>
        <w:kinsoku/>
        <w:wordWrap/>
        <w:overflowPunct/>
        <w:topLinePunct w:val="0"/>
        <w:autoSpaceDE/>
        <w:autoSpaceDN/>
        <w:bidi w:val="0"/>
        <w:adjustRightInd/>
        <w:snapToGrid/>
        <w:spacing w:line="360" w:lineRule="auto"/>
        <w:ind w:firstLine="480" w:firstLineChars="200"/>
        <w:textAlignment w:val="auto"/>
        <w:rPr>
          <w:rFonts w:hint="eastAsia" w:cs="Times New Roman"/>
          <w:color w:val="000000"/>
          <w:sz w:val="24"/>
          <w:szCs w:val="22"/>
          <w:highlight w:val="none"/>
          <w:lang w:val="en-US" w:eastAsia="zh-CN"/>
        </w:rPr>
      </w:pPr>
      <w:r>
        <w:rPr>
          <w:rFonts w:hint="eastAsia" w:cs="Times New Roman"/>
          <w:color w:val="000000"/>
          <w:sz w:val="24"/>
          <w:szCs w:val="22"/>
          <w:highlight w:val="none"/>
          <w:lang w:val="en-US" w:eastAsia="zh-CN"/>
        </w:rPr>
        <w:t>打腻子、喷漆、烘干、流平作业应采用密闭设备或采取封闭措施，产生的废气应收集并导入VOCs处理设施。打磨作业需配置除尘装置。</w:t>
      </w:r>
    </w:p>
    <w:p w14:paraId="2E2457CE">
      <w:pPr>
        <w:keepNext/>
        <w:keepLines w:val="0"/>
        <w:pageBreakBefore w:val="0"/>
        <w:widowControl w:val="0"/>
        <w:numPr>
          <w:ilvl w:val="0"/>
          <w:numId w:val="8"/>
        </w:numPr>
        <w:kinsoku/>
        <w:wordWrap/>
        <w:overflowPunct/>
        <w:topLinePunct w:val="0"/>
        <w:autoSpaceDE/>
        <w:autoSpaceDN/>
        <w:bidi w:val="0"/>
        <w:adjustRightInd/>
        <w:snapToGrid/>
        <w:spacing w:line="360" w:lineRule="auto"/>
        <w:ind w:firstLine="480" w:firstLineChars="200"/>
        <w:textAlignment w:val="auto"/>
        <w:rPr>
          <w:rFonts w:hint="eastAsia" w:cs="Times New Roman"/>
          <w:color w:val="000000"/>
          <w:sz w:val="24"/>
          <w:szCs w:val="22"/>
          <w:highlight w:val="none"/>
          <w:lang w:val="en-US" w:eastAsia="zh-CN"/>
        </w:rPr>
      </w:pPr>
      <w:r>
        <w:rPr>
          <w:rFonts w:hint="eastAsia" w:cs="Times New Roman"/>
          <w:color w:val="000000"/>
          <w:sz w:val="24"/>
          <w:szCs w:val="22"/>
          <w:highlight w:val="none"/>
          <w:lang w:val="en-US" w:eastAsia="zh-CN"/>
        </w:rPr>
        <w:t>喷枪清洗应在密闭空间内进行或采用专用的密闭喷枪清洗设备，产生的废气应收集并导入VOCs处理设施，清洗后的废液应密闭收集处理。</w:t>
      </w:r>
    </w:p>
    <w:p w14:paraId="2FAF566F">
      <w:pPr>
        <w:keepNext/>
        <w:keepLines w:val="0"/>
        <w:pageBreakBefore w:val="0"/>
        <w:widowControl w:val="0"/>
        <w:numPr>
          <w:ilvl w:val="0"/>
          <w:numId w:val="8"/>
        </w:numPr>
        <w:kinsoku/>
        <w:wordWrap/>
        <w:overflowPunct/>
        <w:topLinePunct w:val="0"/>
        <w:autoSpaceDE/>
        <w:autoSpaceDN/>
        <w:bidi w:val="0"/>
        <w:adjustRightInd/>
        <w:snapToGrid/>
        <w:spacing w:line="360" w:lineRule="auto"/>
        <w:ind w:firstLine="480" w:firstLineChars="200"/>
        <w:textAlignment w:val="auto"/>
        <w:rPr>
          <w:rFonts w:hint="eastAsia" w:cs="Times New Roman"/>
          <w:color w:val="000000"/>
          <w:sz w:val="24"/>
          <w:szCs w:val="22"/>
          <w:highlight w:val="none"/>
          <w:lang w:val="en-US" w:eastAsia="zh-CN"/>
        </w:rPr>
      </w:pPr>
      <w:r>
        <w:rPr>
          <w:rFonts w:hint="eastAsia" w:cs="Times New Roman"/>
          <w:color w:val="000000"/>
          <w:sz w:val="24"/>
          <w:szCs w:val="22"/>
          <w:highlight w:val="none"/>
          <w:lang w:val="en-US" w:eastAsia="zh-CN"/>
        </w:rPr>
        <w:t>存放过含VOCs物料的容器或包装袋应加盖、密封，保持密闭。废溶剂、废吸附剂、沾有涂料或溶剂的废弃物应放入具有危险废物识别标志的密闭容器或包装袋中。贮存应按照GB 18597的相关要求执行。</w:t>
      </w:r>
    </w:p>
    <w:p w14:paraId="143F0FFD">
      <w:pPr>
        <w:keepNext/>
        <w:keepLines w:val="0"/>
        <w:pageBreakBefore w:val="0"/>
        <w:widowControl w:val="0"/>
        <w:numPr>
          <w:ilvl w:val="0"/>
          <w:numId w:val="8"/>
        </w:numPr>
        <w:kinsoku/>
        <w:wordWrap/>
        <w:overflowPunct/>
        <w:topLinePunct w:val="0"/>
        <w:autoSpaceDE/>
        <w:autoSpaceDN/>
        <w:bidi w:val="0"/>
        <w:adjustRightInd/>
        <w:snapToGrid/>
        <w:spacing w:line="360" w:lineRule="auto"/>
        <w:ind w:firstLine="480" w:firstLineChars="200"/>
        <w:textAlignment w:val="auto"/>
        <w:rPr>
          <w:rFonts w:hint="eastAsia" w:cs="Times New Roman"/>
          <w:color w:val="000000"/>
          <w:sz w:val="24"/>
          <w:szCs w:val="22"/>
          <w:highlight w:val="none"/>
          <w:lang w:val="en-US" w:eastAsia="zh-CN"/>
        </w:rPr>
      </w:pPr>
      <w:r>
        <w:rPr>
          <w:rFonts w:hint="eastAsia" w:cs="Times New Roman"/>
          <w:color w:val="000000"/>
          <w:sz w:val="24"/>
          <w:szCs w:val="22"/>
          <w:highlight w:val="none"/>
          <w:lang w:val="en-US" w:eastAsia="zh-CN"/>
        </w:rPr>
        <w:t>封闭区域或封闭式建筑物，除人员、车辆、设备、物料进出时，以及依法设立的排气筒、通风口外，门窗及其他开口（孔）部位应随时保持关闭状态。禁止露天或在开放式空间内进行喷漆、干燥作业。</w:t>
      </w:r>
    </w:p>
    <w:p w14:paraId="1476BC06">
      <w:pPr>
        <w:keepNext/>
        <w:keepLines w:val="0"/>
        <w:pageBreakBefore w:val="0"/>
        <w:widowControl w:val="0"/>
        <w:numPr>
          <w:ilvl w:val="0"/>
          <w:numId w:val="8"/>
        </w:numPr>
        <w:kinsoku/>
        <w:wordWrap/>
        <w:overflowPunct/>
        <w:topLinePunct w:val="0"/>
        <w:autoSpaceDE/>
        <w:autoSpaceDN/>
        <w:bidi w:val="0"/>
        <w:adjustRightInd/>
        <w:snapToGrid/>
        <w:spacing w:line="360" w:lineRule="auto"/>
        <w:ind w:firstLine="480" w:firstLineChars="200"/>
        <w:textAlignment w:val="auto"/>
        <w:rPr>
          <w:rFonts w:hint="eastAsia" w:cs="Times New Roman"/>
          <w:color w:val="000000"/>
          <w:sz w:val="24"/>
          <w:szCs w:val="22"/>
          <w:highlight w:val="none"/>
          <w:lang w:val="en-US" w:eastAsia="zh-CN"/>
        </w:rPr>
      </w:pPr>
      <w:r>
        <w:rPr>
          <w:rFonts w:hint="eastAsia" w:cs="Times New Roman"/>
          <w:color w:val="000000"/>
          <w:sz w:val="24"/>
          <w:szCs w:val="22"/>
          <w:highlight w:val="none"/>
          <w:lang w:val="en-US" w:eastAsia="zh-CN"/>
        </w:rPr>
        <w:t>VOCs废气收集系统排风罩（集气罩）的设置应符合GB/T 16758的规定。采用外部排风罩时，应按GB/T 16758、WS/T 757规定的方法测量控制风速，测量点应选取在距排风罩开口面最远的VOCs无组织排放位置，控制风速不应低于0.3 m/s。控制风速测定的具体要求按DB 51/2377—202X附录 B执行。</w:t>
      </w:r>
    </w:p>
    <w:p w14:paraId="5ADF25CC">
      <w:pPr>
        <w:keepNext/>
        <w:keepLines w:val="0"/>
        <w:pageBreakBefore w:val="0"/>
        <w:widowControl w:val="0"/>
        <w:numPr>
          <w:ilvl w:val="0"/>
          <w:numId w:val="8"/>
        </w:numPr>
        <w:kinsoku/>
        <w:wordWrap/>
        <w:overflowPunct/>
        <w:topLinePunct w:val="0"/>
        <w:autoSpaceDE/>
        <w:autoSpaceDN/>
        <w:bidi w:val="0"/>
        <w:adjustRightInd/>
        <w:snapToGrid/>
        <w:spacing w:line="360" w:lineRule="auto"/>
        <w:ind w:firstLine="480" w:firstLineChars="200"/>
        <w:textAlignment w:val="auto"/>
        <w:rPr>
          <w:rFonts w:hint="eastAsia" w:cs="Times New Roman"/>
          <w:color w:val="000000"/>
          <w:sz w:val="24"/>
          <w:szCs w:val="22"/>
          <w:highlight w:val="none"/>
          <w:lang w:val="en-US" w:eastAsia="zh-CN"/>
        </w:rPr>
      </w:pPr>
      <w:r>
        <w:rPr>
          <w:rFonts w:hint="eastAsia" w:cs="Times New Roman"/>
          <w:color w:val="000000"/>
          <w:sz w:val="24"/>
          <w:szCs w:val="22"/>
          <w:highlight w:val="none"/>
          <w:lang w:val="en-US" w:eastAsia="zh-CN"/>
        </w:rPr>
        <w:t>废气收集系统的输送管道应密闭，且在负压下运行。</w:t>
      </w:r>
    </w:p>
    <w:p w14:paraId="01B11F22">
      <w:pPr>
        <w:keepNext/>
        <w:keepLines w:val="0"/>
        <w:pageBreakBefore w:val="0"/>
        <w:widowControl w:val="0"/>
        <w:numPr>
          <w:ilvl w:val="0"/>
          <w:numId w:val="8"/>
        </w:numPr>
        <w:kinsoku/>
        <w:wordWrap/>
        <w:overflowPunct/>
        <w:topLinePunct w:val="0"/>
        <w:autoSpaceDE/>
        <w:autoSpaceDN/>
        <w:bidi w:val="0"/>
        <w:adjustRightInd/>
        <w:snapToGrid/>
        <w:spacing w:line="360" w:lineRule="auto"/>
        <w:ind w:firstLine="480" w:firstLineChars="200"/>
        <w:textAlignment w:val="auto"/>
        <w:rPr>
          <w:rFonts w:hint="eastAsia" w:cs="Times New Roman"/>
          <w:color w:val="000000"/>
          <w:sz w:val="24"/>
          <w:szCs w:val="22"/>
          <w:highlight w:val="none"/>
          <w:lang w:val="en-US" w:eastAsia="zh-CN"/>
        </w:rPr>
      </w:pPr>
      <w:r>
        <w:rPr>
          <w:rFonts w:hint="eastAsia" w:cs="Times New Roman"/>
          <w:color w:val="000000"/>
          <w:sz w:val="24"/>
          <w:szCs w:val="22"/>
          <w:highlight w:val="none"/>
          <w:lang w:val="en-US" w:eastAsia="zh-CN"/>
        </w:rPr>
        <w:t>针对采用湿法除漆雾的汽车维修企业，废水液面VOCs排放控制应符合GB 37822的规定。</w:t>
      </w:r>
    </w:p>
    <w:p w14:paraId="04C41606">
      <w:pPr>
        <w:keepNext/>
        <w:keepLines w:val="0"/>
        <w:pageBreakBefore w:val="0"/>
        <w:widowControl w:val="0"/>
        <w:numPr>
          <w:ilvl w:val="0"/>
          <w:numId w:val="8"/>
        </w:numPr>
        <w:kinsoku/>
        <w:wordWrap/>
        <w:overflowPunct/>
        <w:topLinePunct w:val="0"/>
        <w:autoSpaceDE/>
        <w:autoSpaceDN/>
        <w:bidi w:val="0"/>
        <w:adjustRightInd/>
        <w:snapToGrid/>
        <w:spacing w:line="360" w:lineRule="auto"/>
        <w:ind w:firstLine="480" w:firstLineChars="200"/>
        <w:textAlignment w:val="auto"/>
        <w:rPr>
          <w:rFonts w:hint="default" w:cs="Times New Roman"/>
          <w:color w:val="000000"/>
          <w:sz w:val="24"/>
          <w:szCs w:val="22"/>
          <w:highlight w:val="none"/>
          <w:lang w:val="en-US" w:eastAsia="zh-CN"/>
        </w:rPr>
      </w:pPr>
      <w:r>
        <w:rPr>
          <w:rFonts w:hint="eastAsia" w:cs="Times New Roman"/>
          <w:color w:val="000000"/>
          <w:sz w:val="24"/>
          <w:szCs w:val="22"/>
          <w:highlight w:val="none"/>
          <w:lang w:val="en-US" w:eastAsia="zh-CN"/>
        </w:rPr>
        <w:t>其他无组织排放控制要求按GB 37822等规定执行。</w:t>
      </w:r>
    </w:p>
    <w:p w14:paraId="336AF27B">
      <w:pPr>
        <w:pStyle w:val="3"/>
        <w:keepNext/>
        <w:keepLines w:val="0"/>
        <w:pageBreakBefore w:val="0"/>
        <w:widowControl w:val="0"/>
        <w:kinsoku/>
        <w:wordWrap/>
        <w:autoSpaceDE/>
        <w:autoSpaceDN/>
        <w:bidi w:val="0"/>
        <w:rPr>
          <w:rFonts w:hint="default"/>
          <w:highlight w:val="none"/>
          <w:lang w:val="en-US" w:eastAsia="zh-CN"/>
        </w:rPr>
      </w:pPr>
      <w:bookmarkStart w:id="140" w:name="_Toc363"/>
      <w:bookmarkStart w:id="141" w:name="_Toc15827"/>
      <w:r>
        <w:rPr>
          <w:rFonts w:hint="eastAsia"/>
          <w:highlight w:val="none"/>
          <w:lang w:val="en-US" w:eastAsia="zh-CN"/>
        </w:rPr>
        <w:t>污染物厂界排放控制要求</w:t>
      </w:r>
      <w:bookmarkEnd w:id="140"/>
      <w:bookmarkEnd w:id="141"/>
    </w:p>
    <w:p w14:paraId="03C39365">
      <w:pPr>
        <w:keepNext/>
        <w:keepLines w:val="0"/>
        <w:pageBreakBefore w:val="0"/>
        <w:widowControl w:val="0"/>
        <w:kinsoku/>
        <w:wordWrap/>
        <w:autoSpaceDE/>
        <w:autoSpaceDN/>
        <w:bidi w:val="0"/>
        <w:spacing w:line="360" w:lineRule="auto"/>
        <w:ind w:firstLine="480" w:firstLineChars="200"/>
        <w:rPr>
          <w:rFonts w:hint="default" w:ascii="Times New Roman" w:hAnsi="Times New Roman" w:cs="Times New Roman"/>
          <w:color w:val="000000"/>
          <w:kern w:val="0"/>
          <w:sz w:val="24"/>
          <w:highlight w:val="none"/>
        </w:rPr>
      </w:pPr>
      <w:r>
        <w:rPr>
          <w:rFonts w:hint="default" w:ascii="Times New Roman" w:hAnsi="Times New Roman" w:cs="Times New Roman"/>
          <w:color w:val="000000"/>
          <w:kern w:val="0"/>
          <w:sz w:val="24"/>
          <w:highlight w:val="none"/>
          <w:lang w:val="en-US" w:eastAsia="zh-CN"/>
        </w:rPr>
        <w:t>在2019年及之后发布的无组织排放、矿物棉工业、农药制造、制药、涂料油墨及胶黏剂、印刷等全部国家标准，均在厂界位置设置有毒有害污染物监测点位，有毒有害污染物包括苯、甲醛及各行业特征污染物。与2019年之后发布的国家标准保持一致，</w:t>
      </w:r>
      <w:r>
        <w:rPr>
          <w:rFonts w:hint="default" w:ascii="Times New Roman" w:hAnsi="Times New Roman" w:cs="Times New Roman"/>
          <w:highlight w:val="none"/>
          <w:lang w:val="en-US" w:eastAsia="zh-CN"/>
        </w:rPr>
        <w:t>将无组织厂界苯的</w:t>
      </w:r>
      <w:r>
        <w:rPr>
          <w:rFonts w:hint="default" w:ascii="Times New Roman" w:hAnsi="Times New Roman" w:cs="Times New Roman"/>
          <w:color w:val="000000"/>
          <w:kern w:val="0"/>
          <w:sz w:val="24"/>
          <w:highlight w:val="none"/>
          <w:lang w:val="en-US" w:eastAsia="zh-CN"/>
        </w:rPr>
        <w:t>小时均值</w:t>
      </w:r>
      <w:r>
        <w:rPr>
          <w:rFonts w:hint="default" w:ascii="Times New Roman" w:hAnsi="Times New Roman" w:cs="Times New Roman"/>
          <w:color w:val="000000"/>
          <w:kern w:val="0"/>
          <w:sz w:val="24"/>
          <w:highlight w:val="none"/>
        </w:rPr>
        <w:t>浓度限值设置为</w:t>
      </w:r>
      <w:r>
        <w:rPr>
          <w:rFonts w:hint="default" w:ascii="Times New Roman" w:hAnsi="Times New Roman" w:cs="Times New Roman"/>
          <w:color w:val="000000"/>
          <w:kern w:val="0"/>
          <w:sz w:val="24"/>
          <w:highlight w:val="none"/>
          <w:lang w:val="en-US" w:eastAsia="zh-CN"/>
        </w:rPr>
        <w:t>0.1</w:t>
      </w:r>
      <w:r>
        <w:rPr>
          <w:rFonts w:hint="eastAsia" w:cs="Times New Roman"/>
          <w:color w:val="000000"/>
          <w:kern w:val="0"/>
          <w:sz w:val="24"/>
          <w:highlight w:val="none"/>
          <w:lang w:val="en-US" w:eastAsia="zh-CN"/>
        </w:rPr>
        <w:t xml:space="preserve"> </w:t>
      </w:r>
      <w:r>
        <w:rPr>
          <w:rFonts w:hint="default" w:ascii="Times New Roman" w:hAnsi="Times New Roman" w:cs="Times New Roman"/>
          <w:color w:val="000000"/>
          <w:kern w:val="0"/>
          <w:sz w:val="24"/>
          <w:highlight w:val="none"/>
        </w:rPr>
        <w:t>mg/m</w:t>
      </w:r>
      <w:r>
        <w:rPr>
          <w:rFonts w:hint="default" w:ascii="Times New Roman" w:hAnsi="Times New Roman" w:cs="Times New Roman"/>
          <w:color w:val="000000"/>
          <w:kern w:val="0"/>
          <w:sz w:val="24"/>
          <w:highlight w:val="none"/>
          <w:vertAlign w:val="superscript"/>
        </w:rPr>
        <w:t>3</w:t>
      </w:r>
      <w:r>
        <w:rPr>
          <w:rFonts w:hint="default" w:ascii="Times New Roman" w:hAnsi="Times New Roman" w:cs="Times New Roman"/>
          <w:color w:val="000000"/>
          <w:kern w:val="0"/>
          <w:sz w:val="24"/>
          <w:highlight w:val="none"/>
        </w:rPr>
        <w:t>。</w:t>
      </w:r>
    </w:p>
    <w:p w14:paraId="536139A8">
      <w:pPr>
        <w:pStyle w:val="3"/>
        <w:keepNext/>
        <w:keepLines w:val="0"/>
        <w:pageBreakBefore w:val="0"/>
        <w:widowControl w:val="0"/>
        <w:kinsoku/>
        <w:wordWrap/>
        <w:autoSpaceDE/>
        <w:autoSpaceDN/>
        <w:bidi w:val="0"/>
        <w:rPr>
          <w:rFonts w:hint="default"/>
          <w:highlight w:val="none"/>
          <w:lang w:val="en-US" w:eastAsia="zh-CN"/>
        </w:rPr>
      </w:pPr>
      <w:bookmarkStart w:id="142" w:name="_Toc537"/>
      <w:bookmarkStart w:id="143" w:name="_Toc30639"/>
      <w:r>
        <w:rPr>
          <w:rFonts w:hint="eastAsia"/>
          <w:highlight w:val="none"/>
          <w:lang w:val="en-US" w:eastAsia="zh-CN"/>
        </w:rPr>
        <w:t>台账要求</w:t>
      </w:r>
      <w:bookmarkEnd w:id="142"/>
      <w:bookmarkEnd w:id="143"/>
    </w:p>
    <w:p w14:paraId="55907B6D">
      <w:pPr>
        <w:keepNext/>
        <w:keepLines w:val="0"/>
        <w:pageBreakBefore w:val="0"/>
        <w:widowControl w:val="0"/>
        <w:kinsoku/>
        <w:wordWrap/>
        <w:autoSpaceDE/>
        <w:autoSpaceDN/>
        <w:bidi w:val="0"/>
        <w:rPr>
          <w:highlight w:val="none"/>
        </w:rPr>
      </w:pPr>
      <w:r>
        <w:rPr>
          <w:rFonts w:hint="eastAsia"/>
          <w:highlight w:val="none"/>
          <w:lang w:eastAsia="zh-CN"/>
        </w:rPr>
        <w:t>台账</w:t>
      </w:r>
      <w:r>
        <w:rPr>
          <w:highlight w:val="none"/>
        </w:rPr>
        <w:t>要求参考</w:t>
      </w:r>
      <w:r>
        <w:rPr>
          <w:rFonts w:hint="default" w:ascii="Times New Roman" w:hAnsi="Times New Roman" w:cs="Times New Roman"/>
          <w:color w:val="000000"/>
          <w:sz w:val="24"/>
          <w:szCs w:val="22"/>
          <w:highlight w:val="none"/>
          <w:lang w:val="en-US" w:eastAsia="zh-CN"/>
        </w:rPr>
        <w:t>正在修订的</w:t>
      </w:r>
      <w:r>
        <w:rPr>
          <w:rFonts w:hint="default" w:ascii="Times New Roman" w:hAnsi="Times New Roman" w:cs="Times New Roman"/>
          <w:color w:val="000000"/>
          <w:sz w:val="24"/>
          <w:szCs w:val="22"/>
          <w:highlight w:val="none"/>
        </w:rPr>
        <w:t>《四川省固定污染源大气挥发性有机物排放标准》（DB 51/2377-20</w:t>
      </w:r>
      <w:r>
        <w:rPr>
          <w:rFonts w:hint="default" w:ascii="Times New Roman" w:hAnsi="Times New Roman" w:cs="Times New Roman"/>
          <w:color w:val="000000"/>
          <w:sz w:val="24"/>
          <w:szCs w:val="22"/>
          <w:highlight w:val="none"/>
          <w:lang w:val="en-US" w:eastAsia="zh-CN"/>
        </w:rPr>
        <w:t>2X</w:t>
      </w:r>
      <w:r>
        <w:rPr>
          <w:rFonts w:hint="default" w:ascii="Times New Roman" w:hAnsi="Times New Roman" w:cs="Times New Roman"/>
          <w:color w:val="000000"/>
          <w:sz w:val="24"/>
          <w:szCs w:val="22"/>
          <w:highlight w:val="none"/>
        </w:rPr>
        <w:t>）</w:t>
      </w:r>
      <w:r>
        <w:rPr>
          <w:rFonts w:hint="default" w:ascii="Times New Roman" w:hAnsi="Times New Roman" w:cs="Times New Roman"/>
          <w:color w:val="000000"/>
          <w:sz w:val="24"/>
          <w:szCs w:val="22"/>
          <w:highlight w:val="none"/>
          <w:lang w:val="en-US" w:eastAsia="zh-CN"/>
        </w:rPr>
        <w:t>修订稿</w:t>
      </w:r>
      <w:r>
        <w:rPr>
          <w:rFonts w:hint="eastAsia"/>
          <w:highlight w:val="none"/>
          <w:lang w:eastAsia="zh-CN"/>
        </w:rPr>
        <w:t>和广东（送审稿）、安徽等地方汽车维修行业标准，同时结合汽车维修行业特色，规定台账要求如下：</w:t>
      </w:r>
    </w:p>
    <w:p w14:paraId="06673797">
      <w:pPr>
        <w:keepNext/>
        <w:keepLines w:val="0"/>
        <w:pageBreakBefore w:val="0"/>
        <w:widowControl w:val="0"/>
        <w:numPr>
          <w:ilvl w:val="0"/>
          <w:numId w:val="9"/>
        </w:numPr>
        <w:kinsoku/>
        <w:wordWrap/>
        <w:overflowPunct/>
        <w:topLinePunct w:val="0"/>
        <w:autoSpaceDE/>
        <w:autoSpaceDN/>
        <w:bidi w:val="0"/>
        <w:adjustRightInd/>
        <w:snapToGrid/>
        <w:spacing w:line="360" w:lineRule="auto"/>
        <w:ind w:firstLine="480" w:firstLineChars="200"/>
        <w:textAlignment w:val="auto"/>
        <w:rPr>
          <w:rFonts w:hint="default" w:cs="Times New Roman"/>
          <w:color w:val="000000"/>
          <w:sz w:val="24"/>
          <w:szCs w:val="22"/>
          <w:highlight w:val="none"/>
          <w:lang w:val="en-US" w:eastAsia="zh-CN"/>
        </w:rPr>
      </w:pPr>
      <w:r>
        <w:rPr>
          <w:rFonts w:hint="default" w:cs="Times New Roman"/>
          <w:color w:val="000000"/>
          <w:sz w:val="24"/>
          <w:szCs w:val="22"/>
          <w:highlight w:val="none"/>
          <w:lang w:val="en-US" w:eastAsia="zh-CN"/>
        </w:rPr>
        <w:t>企业应按照《排污许可管理办法》、GB 37822和HJ 944要求建立台账，保存期限不少于5年。</w:t>
      </w:r>
    </w:p>
    <w:p w14:paraId="29AD3BA6">
      <w:pPr>
        <w:keepNext/>
        <w:keepLines w:val="0"/>
        <w:pageBreakBefore w:val="0"/>
        <w:widowControl w:val="0"/>
        <w:numPr>
          <w:ilvl w:val="0"/>
          <w:numId w:val="9"/>
        </w:numPr>
        <w:kinsoku/>
        <w:wordWrap/>
        <w:overflowPunct/>
        <w:topLinePunct w:val="0"/>
        <w:autoSpaceDE/>
        <w:autoSpaceDN/>
        <w:bidi w:val="0"/>
        <w:adjustRightInd/>
        <w:snapToGrid/>
        <w:spacing w:line="360" w:lineRule="auto"/>
        <w:ind w:firstLine="480" w:firstLineChars="200"/>
        <w:textAlignment w:val="auto"/>
        <w:rPr>
          <w:rFonts w:hint="default" w:cs="Times New Roman"/>
          <w:color w:val="000000"/>
          <w:sz w:val="24"/>
          <w:szCs w:val="22"/>
          <w:highlight w:val="none"/>
          <w:lang w:val="en-US" w:eastAsia="zh-CN"/>
        </w:rPr>
      </w:pPr>
      <w:r>
        <w:rPr>
          <w:rFonts w:hint="default" w:cs="Times New Roman"/>
          <w:color w:val="000000"/>
          <w:sz w:val="24"/>
          <w:szCs w:val="22"/>
          <w:highlight w:val="none"/>
          <w:lang w:val="en-US" w:eastAsia="zh-CN"/>
        </w:rPr>
        <w:t>涂料、稀释剂、胶粘剂、固化剂、清洗剂等原辅材料台账应包括名称、类别、VOCs含量、物料密度、使用量、回收量、废弃量、每种处于施工状态下含VOCs原辅材料的VOCs含量报告和使用说明，其中VOCs含量报告以有相关国家单位认定资质的检验检测机构出具的为准。</w:t>
      </w:r>
    </w:p>
    <w:p w14:paraId="0901CE6F">
      <w:pPr>
        <w:keepNext/>
        <w:keepLines w:val="0"/>
        <w:pageBreakBefore w:val="0"/>
        <w:widowControl w:val="0"/>
        <w:numPr>
          <w:ilvl w:val="0"/>
          <w:numId w:val="9"/>
        </w:numPr>
        <w:kinsoku/>
        <w:wordWrap/>
        <w:overflowPunct/>
        <w:topLinePunct w:val="0"/>
        <w:autoSpaceDE/>
        <w:autoSpaceDN/>
        <w:bidi w:val="0"/>
        <w:adjustRightInd/>
        <w:snapToGrid/>
        <w:spacing w:line="360" w:lineRule="auto"/>
        <w:ind w:firstLine="480" w:firstLineChars="200"/>
        <w:textAlignment w:val="auto"/>
        <w:rPr>
          <w:rFonts w:hint="default" w:cs="Times New Roman"/>
          <w:color w:val="000000"/>
          <w:sz w:val="24"/>
          <w:szCs w:val="22"/>
          <w:highlight w:val="none"/>
          <w:lang w:val="en-US" w:eastAsia="zh-CN"/>
        </w:rPr>
      </w:pPr>
      <w:r>
        <w:rPr>
          <w:rFonts w:hint="default" w:cs="Times New Roman"/>
          <w:color w:val="000000"/>
          <w:sz w:val="24"/>
          <w:szCs w:val="22"/>
          <w:highlight w:val="none"/>
          <w:lang w:val="en-US" w:eastAsia="zh-CN"/>
        </w:rPr>
        <w:t>有组织管控台账应包括生产工艺设备和废气收集处理系统主要运行和维护信息，污染治理设施的记录台账应包括运行参数、进出口风量、排放浓度（汽车维修企业自行监测报告）、污染因子、停运时间等，吸附装置应记录吸附剂种类、碘值、更换/再生周期与更换量、操作温度等；热力燃烧装置应实时记录燃烧温度曲线、烟气停留时间和烟气含氧量等；催化氧化装置应记录催化剂种类、催化剂更换日期、操作温度等；其他污染治理设施，应记录维护事项，并每日记录主要操作参数；过滤材料应记录更换和处置记录。</w:t>
      </w:r>
    </w:p>
    <w:p w14:paraId="76EF6D64">
      <w:pPr>
        <w:keepNext/>
        <w:keepLines w:val="0"/>
        <w:pageBreakBefore w:val="0"/>
        <w:widowControl w:val="0"/>
        <w:numPr>
          <w:ilvl w:val="0"/>
          <w:numId w:val="9"/>
        </w:numPr>
        <w:kinsoku/>
        <w:wordWrap/>
        <w:overflowPunct/>
        <w:topLinePunct w:val="0"/>
        <w:autoSpaceDE/>
        <w:autoSpaceDN/>
        <w:bidi w:val="0"/>
        <w:adjustRightInd/>
        <w:snapToGrid/>
        <w:spacing w:line="360" w:lineRule="auto"/>
        <w:ind w:firstLine="480" w:firstLineChars="200"/>
        <w:textAlignment w:val="auto"/>
        <w:rPr>
          <w:rFonts w:hint="default" w:cs="Times New Roman"/>
          <w:color w:val="000000"/>
          <w:sz w:val="24"/>
          <w:szCs w:val="22"/>
          <w:highlight w:val="none"/>
          <w:lang w:val="en-US" w:eastAsia="zh-CN"/>
        </w:rPr>
      </w:pPr>
      <w:r>
        <w:rPr>
          <w:rFonts w:hint="default" w:cs="Times New Roman"/>
          <w:color w:val="000000"/>
          <w:sz w:val="24"/>
          <w:szCs w:val="22"/>
          <w:highlight w:val="none"/>
          <w:lang w:val="en-US" w:eastAsia="zh-CN"/>
        </w:rPr>
        <w:t>无组织管控台账应包括无组织排放废气收集系统、无组织排放控制措施的主要运行信息，如运行时间等；记录无组织排放监控点浓度；记录废溶剂、废吸附剂、沾有涂料或溶剂的棉纱/抹布等危险废弃物的处理量和去向。</w:t>
      </w:r>
    </w:p>
    <w:bookmarkEnd w:id="87"/>
    <w:p w14:paraId="74CC4FC7">
      <w:pPr>
        <w:pStyle w:val="3"/>
        <w:keepNext/>
        <w:keepLines w:val="0"/>
        <w:pageBreakBefore w:val="0"/>
        <w:widowControl w:val="0"/>
        <w:numPr>
          <w:ilvl w:val="1"/>
          <w:numId w:val="1"/>
        </w:numPr>
        <w:kinsoku/>
        <w:wordWrap/>
        <w:autoSpaceDE/>
        <w:autoSpaceDN/>
        <w:bidi w:val="0"/>
        <w:rPr>
          <w:rFonts w:hint="default" w:ascii="Times New Roman" w:hAnsi="Times New Roman" w:cs="Times New Roman"/>
          <w:highlight w:val="none"/>
        </w:rPr>
      </w:pPr>
      <w:bookmarkStart w:id="144" w:name="_Toc4340"/>
      <w:bookmarkStart w:id="145" w:name="_Toc21679"/>
      <w:bookmarkStart w:id="146" w:name="_Toc62645454"/>
      <w:bookmarkStart w:id="147" w:name="_Toc9348"/>
      <w:r>
        <w:rPr>
          <w:rFonts w:hint="default" w:ascii="Times New Roman" w:hAnsi="Times New Roman" w:cs="Times New Roman"/>
          <w:highlight w:val="none"/>
        </w:rPr>
        <w:t>监测要求</w:t>
      </w:r>
      <w:bookmarkEnd w:id="144"/>
      <w:bookmarkEnd w:id="145"/>
      <w:bookmarkEnd w:id="146"/>
      <w:bookmarkEnd w:id="147"/>
    </w:p>
    <w:p w14:paraId="34B266D6">
      <w:pPr>
        <w:pStyle w:val="4"/>
        <w:keepNext/>
        <w:keepLines w:val="0"/>
        <w:pageBreakBefore w:val="0"/>
        <w:widowControl w:val="0"/>
        <w:numPr>
          <w:ilvl w:val="2"/>
          <w:numId w:val="1"/>
        </w:numPr>
        <w:kinsoku/>
        <w:wordWrap/>
        <w:autoSpaceDE/>
        <w:autoSpaceDN/>
        <w:bidi w:val="0"/>
        <w:rPr>
          <w:rFonts w:hint="default" w:ascii="Times New Roman" w:hAnsi="Times New Roman" w:cs="Times New Roman"/>
          <w:highlight w:val="none"/>
        </w:rPr>
      </w:pPr>
      <w:bookmarkStart w:id="148" w:name="_Toc12475"/>
      <w:bookmarkStart w:id="149" w:name="_Toc9850"/>
      <w:bookmarkStart w:id="150" w:name="_Toc29810634"/>
      <w:bookmarkStart w:id="151" w:name="_Toc20428"/>
      <w:r>
        <w:rPr>
          <w:rFonts w:hint="default" w:ascii="Times New Roman" w:hAnsi="Times New Roman" w:cs="Times New Roman"/>
          <w:highlight w:val="none"/>
        </w:rPr>
        <w:t>一般要求</w:t>
      </w:r>
      <w:bookmarkEnd w:id="148"/>
      <w:bookmarkEnd w:id="149"/>
      <w:bookmarkEnd w:id="150"/>
      <w:bookmarkEnd w:id="151"/>
    </w:p>
    <w:p w14:paraId="23B4FAB7">
      <w:pPr>
        <w:keepNext/>
        <w:keepLines w:val="0"/>
        <w:pageBreakBefore w:val="0"/>
        <w:widowControl w:val="0"/>
        <w:numPr>
          <w:ilvl w:val="0"/>
          <w:numId w:val="1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color w:val="000000"/>
          <w:sz w:val="24"/>
          <w:szCs w:val="22"/>
          <w:highlight w:val="none"/>
          <w:lang w:val="en-US" w:eastAsia="zh-CN"/>
        </w:rPr>
      </w:pPr>
      <w:bookmarkStart w:id="152" w:name="_Hlk36197076"/>
      <w:r>
        <w:rPr>
          <w:rFonts w:hint="default" w:ascii="Times New Roman" w:hAnsi="Times New Roman" w:cs="Times New Roman"/>
          <w:color w:val="000000"/>
          <w:sz w:val="24"/>
          <w:szCs w:val="22"/>
          <w:highlight w:val="none"/>
          <w:lang w:val="en-US" w:eastAsia="zh-CN"/>
        </w:rPr>
        <w:t>企业应按照有关法律、《环境监测管理办法》和HJ 819、HJ 1086等规定，建立企业自行监测制度，制定自行监测方案，对污染物排放状况开展自行监测，保存原始监测记录，并如实公开自行监测结果。</w:t>
      </w:r>
    </w:p>
    <w:p w14:paraId="7481F901">
      <w:pPr>
        <w:keepNext/>
        <w:keepLines w:val="0"/>
        <w:pageBreakBefore w:val="0"/>
        <w:widowControl w:val="0"/>
        <w:numPr>
          <w:ilvl w:val="0"/>
          <w:numId w:val="1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color w:val="000000"/>
          <w:sz w:val="24"/>
          <w:szCs w:val="22"/>
          <w:highlight w:val="none"/>
          <w:lang w:val="en-US" w:eastAsia="zh-CN"/>
        </w:rPr>
      </w:pPr>
      <w:r>
        <w:rPr>
          <w:rFonts w:hint="default" w:ascii="Times New Roman" w:hAnsi="Times New Roman" w:cs="Times New Roman"/>
          <w:color w:val="000000"/>
          <w:sz w:val="24"/>
          <w:szCs w:val="22"/>
          <w:highlight w:val="none"/>
          <w:lang w:val="en-US" w:eastAsia="zh-CN"/>
        </w:rPr>
        <w:t>新建企业和现有企业安装、使用、维护污染物排放自动监测设备的，应按照排污许可证规定的要求执行。</w:t>
      </w:r>
    </w:p>
    <w:p w14:paraId="36CA37A7">
      <w:pPr>
        <w:pStyle w:val="4"/>
        <w:keepNext/>
        <w:keepLines w:val="0"/>
        <w:pageBreakBefore w:val="0"/>
        <w:widowControl w:val="0"/>
        <w:numPr>
          <w:ilvl w:val="2"/>
          <w:numId w:val="1"/>
        </w:numPr>
        <w:kinsoku/>
        <w:wordWrap/>
        <w:autoSpaceDE/>
        <w:autoSpaceDN/>
        <w:bidi w:val="0"/>
        <w:rPr>
          <w:rFonts w:hint="default" w:ascii="Times New Roman" w:hAnsi="Times New Roman" w:cs="Times New Roman"/>
          <w:highlight w:val="none"/>
        </w:rPr>
      </w:pPr>
      <w:bookmarkStart w:id="153" w:name="_Toc5560"/>
      <w:bookmarkStart w:id="154" w:name="_Toc15912"/>
      <w:bookmarkStart w:id="155" w:name="_Toc26211"/>
      <w:r>
        <w:rPr>
          <w:rFonts w:hint="default" w:ascii="Times New Roman" w:hAnsi="Times New Roman" w:cs="Times New Roman"/>
          <w:highlight w:val="none"/>
        </w:rPr>
        <w:t>有组织排放监测要求</w:t>
      </w:r>
      <w:bookmarkEnd w:id="153"/>
      <w:bookmarkEnd w:id="154"/>
      <w:bookmarkEnd w:id="155"/>
    </w:p>
    <w:p w14:paraId="24481B89">
      <w:pPr>
        <w:keepNext/>
        <w:keepLines w:val="0"/>
        <w:pageBreakBefore w:val="0"/>
        <w:widowControl w:val="0"/>
        <w:numPr>
          <w:ilvl w:val="0"/>
          <w:numId w:val="11"/>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color w:val="000000"/>
          <w:sz w:val="24"/>
          <w:szCs w:val="22"/>
          <w:highlight w:val="none"/>
          <w:lang w:val="en-US" w:eastAsia="zh-CN"/>
        </w:rPr>
      </w:pPr>
      <w:r>
        <w:rPr>
          <w:rFonts w:hint="default" w:ascii="Times New Roman" w:hAnsi="Times New Roman" w:cs="Times New Roman"/>
          <w:color w:val="000000"/>
          <w:sz w:val="24"/>
          <w:szCs w:val="22"/>
          <w:highlight w:val="none"/>
          <w:lang w:val="en-US" w:eastAsia="zh-CN"/>
        </w:rPr>
        <w:t>排气筒出口应按照GB/T 16157的规定设置永久采样监测孔、采样平台及其相关设施。若处理设施处理多个来源的废气时，应在废气合并后进入处理设施前的总管上设置采样孔。</w:t>
      </w:r>
    </w:p>
    <w:p w14:paraId="1E54250E">
      <w:pPr>
        <w:keepNext/>
        <w:keepLines w:val="0"/>
        <w:pageBreakBefore w:val="0"/>
        <w:widowControl w:val="0"/>
        <w:numPr>
          <w:ilvl w:val="0"/>
          <w:numId w:val="11"/>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color w:val="000000"/>
          <w:sz w:val="24"/>
          <w:szCs w:val="22"/>
          <w:highlight w:val="none"/>
          <w:lang w:val="en-US" w:eastAsia="zh-CN"/>
        </w:rPr>
      </w:pPr>
      <w:r>
        <w:rPr>
          <w:rFonts w:hint="default" w:ascii="Times New Roman" w:hAnsi="Times New Roman" w:cs="Times New Roman"/>
          <w:color w:val="000000"/>
          <w:sz w:val="24"/>
          <w:szCs w:val="22"/>
          <w:highlight w:val="none"/>
          <w:lang w:val="en-US" w:eastAsia="zh-CN"/>
        </w:rPr>
        <w:t>排气筒中大气污染物的监测采样应当按照 GB/T 16157、HJ/T 397、HJ 732、HJ/T 373、HJ 1286、HJ 836和有关国家规定执行。</w:t>
      </w:r>
    </w:p>
    <w:p w14:paraId="7213664D">
      <w:pPr>
        <w:keepNext/>
        <w:keepLines w:val="0"/>
        <w:pageBreakBefore w:val="0"/>
        <w:widowControl w:val="0"/>
        <w:numPr>
          <w:ilvl w:val="0"/>
          <w:numId w:val="11"/>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color w:val="000000"/>
          <w:sz w:val="24"/>
          <w:szCs w:val="22"/>
          <w:highlight w:val="none"/>
          <w:lang w:val="en-US" w:eastAsia="zh-CN"/>
        </w:rPr>
      </w:pPr>
      <w:r>
        <w:rPr>
          <w:rFonts w:hint="default" w:ascii="Times New Roman" w:hAnsi="Times New Roman" w:cs="Times New Roman"/>
          <w:color w:val="000000"/>
          <w:sz w:val="24"/>
          <w:szCs w:val="22"/>
          <w:highlight w:val="none"/>
          <w:lang w:val="en-US" w:eastAsia="zh-CN"/>
        </w:rPr>
        <w:t>本文件规定的排气筒中污染物浓度限值和处理效率是指喷烤漆作业时段内不得超过的值，在喷烤漆时段内，对于连续排放的，实行连续监测1小时获取平均值，或在1小时内以等时间间隔采集3~4个样品并计算平均值；对于间歇式排放且排放时间小于1小时的，则应在排放阶段实现连续采样，或在排放阶段以等时间间隔采集3~4个样品并计算平均值；对于间歇式排放且排放时间大于1小时的，按照连续排放的监测方式进行监测。采样期间的工况应与日常实际运行工况相同。</w:t>
      </w:r>
    </w:p>
    <w:p w14:paraId="65D189F2">
      <w:pPr>
        <w:pStyle w:val="4"/>
        <w:keepNext/>
        <w:keepLines w:val="0"/>
        <w:pageBreakBefore w:val="0"/>
        <w:widowControl w:val="0"/>
        <w:numPr>
          <w:ilvl w:val="2"/>
          <w:numId w:val="1"/>
        </w:numPr>
        <w:kinsoku/>
        <w:wordWrap/>
        <w:autoSpaceDE/>
        <w:autoSpaceDN/>
        <w:bidi w:val="0"/>
        <w:rPr>
          <w:rFonts w:hint="default" w:ascii="Times New Roman" w:hAnsi="Times New Roman" w:cs="Times New Roman"/>
          <w:highlight w:val="none"/>
        </w:rPr>
      </w:pPr>
      <w:bookmarkStart w:id="156" w:name="_Toc14753"/>
      <w:bookmarkStart w:id="157" w:name="_Toc11915"/>
      <w:bookmarkStart w:id="158" w:name="_Toc20272"/>
      <w:r>
        <w:rPr>
          <w:rFonts w:hint="default" w:ascii="Times New Roman" w:hAnsi="Times New Roman" w:cs="Times New Roman"/>
          <w:highlight w:val="none"/>
        </w:rPr>
        <w:t>无组织排放监测要求</w:t>
      </w:r>
      <w:bookmarkEnd w:id="156"/>
      <w:bookmarkEnd w:id="157"/>
      <w:bookmarkEnd w:id="158"/>
    </w:p>
    <w:p w14:paraId="31129BE7">
      <w:pPr>
        <w:keepNext/>
        <w:keepLines w:val="0"/>
        <w:pageBreakBefore w:val="0"/>
        <w:widowControl w:val="0"/>
        <w:numPr>
          <w:ilvl w:val="0"/>
          <w:numId w:val="12"/>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color w:val="000000"/>
          <w:sz w:val="24"/>
          <w:szCs w:val="22"/>
          <w:highlight w:val="none"/>
          <w:lang w:val="en-US" w:eastAsia="zh-CN"/>
        </w:rPr>
      </w:pPr>
      <w:r>
        <w:rPr>
          <w:rFonts w:hint="default" w:ascii="Times New Roman" w:hAnsi="Times New Roman" w:cs="Times New Roman"/>
          <w:color w:val="000000"/>
          <w:sz w:val="24"/>
          <w:szCs w:val="22"/>
          <w:highlight w:val="none"/>
          <w:lang w:val="en-US" w:eastAsia="zh-CN"/>
        </w:rPr>
        <w:t>对厂区内大气污染物无组织排放进行监控时，在调漆房、喷烤漆房等密闭场所的门窗或通风口、其他开口（孔）等排放口外1m，距离地面1.5m以上位置处进行监测。若调漆房、喷烤漆房等密闭场所不完整（如有顶无围墙），则在操作工位下风向1m，距离地面1.5m以上位置处进行监测。</w:t>
      </w:r>
    </w:p>
    <w:p w14:paraId="0BA9E065">
      <w:pPr>
        <w:keepNext/>
        <w:keepLines w:val="0"/>
        <w:pageBreakBefore w:val="0"/>
        <w:widowControl w:val="0"/>
        <w:numPr>
          <w:ilvl w:val="0"/>
          <w:numId w:val="12"/>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color w:val="000000"/>
          <w:sz w:val="24"/>
          <w:szCs w:val="22"/>
          <w:highlight w:val="none"/>
          <w:lang w:val="en-US" w:eastAsia="zh-CN"/>
        </w:rPr>
      </w:pPr>
      <w:r>
        <w:rPr>
          <w:rFonts w:hint="default" w:ascii="Times New Roman" w:hAnsi="Times New Roman" w:cs="Times New Roman"/>
          <w:color w:val="000000"/>
          <w:sz w:val="24"/>
          <w:szCs w:val="22"/>
          <w:highlight w:val="none"/>
          <w:lang w:val="en-US" w:eastAsia="zh-CN"/>
        </w:rPr>
        <w:t>厂区内无组织排放监控点位任意1小时平均浓度的监测应采用HJ 604、HJ/T 55规定的方法，以连续1小时采样或监测获取平均值，或在1小时内以等时间间隔采集3~4个样品或取得3~4次测定值计平均值。NMHC任意一次浓度值的监测应按照HJ 604规定的方法采用容积不少于1L的气袋采集1个样品的测定值，或</w:t>
      </w:r>
      <w:r>
        <w:rPr>
          <w:rFonts w:hint="eastAsia" w:cs="Times New Roman"/>
          <w:color w:val="000000"/>
          <w:sz w:val="24"/>
          <w:szCs w:val="22"/>
          <w:highlight w:val="none"/>
          <w:lang w:val="en-US" w:eastAsia="zh-CN"/>
        </w:rPr>
        <w:t>按</w:t>
      </w:r>
      <w:r>
        <w:rPr>
          <w:rFonts w:hint="default" w:ascii="Times New Roman" w:hAnsi="Times New Roman" w:cs="Times New Roman"/>
          <w:color w:val="000000"/>
          <w:sz w:val="24"/>
          <w:szCs w:val="22"/>
          <w:highlight w:val="none"/>
          <w:lang w:val="en-US" w:eastAsia="zh-CN"/>
        </w:rPr>
        <w:t>便携式仪器监测的相关规定执行。</w:t>
      </w:r>
    </w:p>
    <w:p w14:paraId="63324F1F">
      <w:pPr>
        <w:keepNext/>
        <w:keepLines w:val="0"/>
        <w:pageBreakBefore w:val="0"/>
        <w:widowControl w:val="0"/>
        <w:numPr>
          <w:ilvl w:val="0"/>
          <w:numId w:val="12"/>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color w:val="000000"/>
          <w:sz w:val="24"/>
          <w:szCs w:val="22"/>
          <w:highlight w:val="none"/>
          <w:lang w:val="en-US" w:eastAsia="zh-CN"/>
        </w:rPr>
      </w:pPr>
      <w:r>
        <w:rPr>
          <w:rFonts w:hint="default" w:ascii="Times New Roman" w:hAnsi="Times New Roman" w:cs="Times New Roman"/>
          <w:color w:val="000000"/>
          <w:sz w:val="24"/>
          <w:szCs w:val="22"/>
          <w:highlight w:val="none"/>
          <w:lang w:val="en-US" w:eastAsia="zh-CN"/>
        </w:rPr>
        <w:t>企业边界大气污染物的监测采样应按HJ/T 55的规定执行。</w:t>
      </w:r>
    </w:p>
    <w:bookmarkEnd w:id="152"/>
    <w:p w14:paraId="5DCD5A17">
      <w:pPr>
        <w:pStyle w:val="4"/>
        <w:keepNext/>
        <w:keepLines w:val="0"/>
        <w:pageBreakBefore w:val="0"/>
        <w:widowControl w:val="0"/>
        <w:numPr>
          <w:ilvl w:val="2"/>
          <w:numId w:val="1"/>
        </w:numPr>
        <w:kinsoku/>
        <w:wordWrap/>
        <w:autoSpaceDE/>
        <w:autoSpaceDN/>
        <w:bidi w:val="0"/>
        <w:rPr>
          <w:rFonts w:hint="default" w:ascii="Times New Roman" w:hAnsi="Times New Roman" w:cs="Times New Roman"/>
          <w:highlight w:val="none"/>
        </w:rPr>
      </w:pPr>
      <w:bookmarkStart w:id="159" w:name="_Toc3089"/>
      <w:bookmarkStart w:id="160" w:name="_Toc25337"/>
      <w:bookmarkStart w:id="161" w:name="_Toc667"/>
      <w:bookmarkStart w:id="162" w:name="_Toc28010"/>
      <w:bookmarkStart w:id="163" w:name="_Toc3714"/>
      <w:bookmarkStart w:id="164" w:name="_Toc1116"/>
      <w:r>
        <w:rPr>
          <w:rFonts w:hint="default" w:ascii="Times New Roman" w:hAnsi="Times New Roman" w:cs="Times New Roman"/>
          <w:highlight w:val="none"/>
        </w:rPr>
        <w:t>大气污染物测定方法</w:t>
      </w:r>
      <w:bookmarkEnd w:id="159"/>
      <w:bookmarkEnd w:id="160"/>
      <w:bookmarkEnd w:id="161"/>
      <w:bookmarkEnd w:id="162"/>
      <w:bookmarkEnd w:id="163"/>
      <w:bookmarkEnd w:id="164"/>
    </w:p>
    <w:p w14:paraId="076B7D71">
      <w:pPr>
        <w:keepNext/>
        <w:keepLines w:val="0"/>
        <w:pageBreakBefore w:val="0"/>
        <w:widowControl w:val="0"/>
        <w:kinsoku/>
        <w:wordWrap/>
        <w:overflowPunct/>
        <w:topLinePunct w:val="0"/>
        <w:autoSpaceDE/>
        <w:autoSpaceDN/>
        <w:bidi w:val="0"/>
        <w:snapToGrid/>
        <w:rPr>
          <w:rFonts w:hint="default" w:ascii="Times New Roman" w:hAnsi="Times New Roman" w:cs="Times New Roman"/>
          <w:highlight w:val="none"/>
        </w:rPr>
      </w:pPr>
      <w:r>
        <w:rPr>
          <w:rFonts w:hint="default" w:ascii="Times New Roman" w:hAnsi="Times New Roman" w:cs="Times New Roman"/>
          <w:highlight w:val="none"/>
        </w:rPr>
        <w:t>对污染物排放浓度的测定采用表</w:t>
      </w:r>
      <w:r>
        <w:rPr>
          <w:rFonts w:hint="eastAsia" w:cs="Times New Roman"/>
          <w:highlight w:val="none"/>
          <w:lang w:val="en-US" w:eastAsia="zh-CN"/>
        </w:rPr>
        <w:t>7.9</w:t>
      </w:r>
      <w:r>
        <w:rPr>
          <w:rFonts w:hint="default" w:ascii="Times New Roman" w:hAnsi="Times New Roman" w:cs="Times New Roman"/>
          <w:highlight w:val="none"/>
          <w:lang w:val="en-US" w:eastAsia="zh-CN"/>
        </w:rPr>
        <w:t>-1</w:t>
      </w:r>
      <w:r>
        <w:rPr>
          <w:rFonts w:hint="default" w:ascii="Times New Roman" w:hAnsi="Times New Roman" w:cs="Times New Roman"/>
          <w:highlight w:val="none"/>
        </w:rPr>
        <w:t>所列的方法标准。本标准实施后国家或地方发布的污染物监测方法标准，如适用性满足要求，同样适用于本标准相应污染物的测定。</w:t>
      </w:r>
    </w:p>
    <w:p w14:paraId="6A1435B7">
      <w:pPr>
        <w:keepNext/>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cs="Times New Roman"/>
          <w:kern w:val="0"/>
          <w:szCs w:val="21"/>
          <w:highlight w:val="none"/>
        </w:rPr>
      </w:pPr>
      <w:r>
        <w:rPr>
          <w:rFonts w:hint="default" w:ascii="Times New Roman" w:hAnsi="Times New Roman" w:cs="Times New Roman"/>
          <w:kern w:val="0"/>
          <w:szCs w:val="21"/>
          <w:highlight w:val="none"/>
        </w:rPr>
        <w:t>表</w:t>
      </w:r>
      <w:r>
        <w:rPr>
          <w:rFonts w:hint="eastAsia" w:cs="Times New Roman"/>
          <w:kern w:val="0"/>
          <w:szCs w:val="21"/>
          <w:highlight w:val="none"/>
          <w:lang w:val="en-US" w:eastAsia="zh-CN"/>
        </w:rPr>
        <w:t>7.9</w:t>
      </w:r>
      <w:r>
        <w:rPr>
          <w:rFonts w:hint="default" w:ascii="Times New Roman" w:hAnsi="Times New Roman" w:cs="Times New Roman"/>
          <w:kern w:val="0"/>
          <w:szCs w:val="21"/>
          <w:highlight w:val="none"/>
          <w:lang w:val="en-US" w:eastAsia="zh-CN"/>
        </w:rPr>
        <w:t xml:space="preserve">-1 </w:t>
      </w:r>
      <w:r>
        <w:rPr>
          <w:rFonts w:hint="default" w:ascii="Times New Roman" w:hAnsi="Times New Roman" w:cs="Times New Roman"/>
          <w:kern w:val="0"/>
          <w:szCs w:val="21"/>
          <w:highlight w:val="none"/>
        </w:rPr>
        <w:t>污染物测定方法</w:t>
      </w:r>
    </w:p>
    <w:tbl>
      <w:tblPr>
        <w:tblStyle w:val="2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21"/>
        <w:gridCol w:w="926"/>
        <w:gridCol w:w="6096"/>
        <w:gridCol w:w="985"/>
      </w:tblGrid>
      <w:tr w14:paraId="346305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trPr>
        <w:tc>
          <w:tcPr>
            <w:tcW w:w="0" w:type="auto"/>
            <w:tcBorders>
              <w:tl2br w:val="nil"/>
              <w:tr2bl w:val="nil"/>
            </w:tcBorders>
            <w:shd w:val="clear" w:color="auto" w:fill="auto"/>
            <w:vAlign w:val="center"/>
          </w:tcPr>
          <w:p w14:paraId="481EC71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bookmarkStart w:id="165" w:name="_Hlk36197090"/>
            <w:r>
              <w:rPr>
                <w:rFonts w:hint="default" w:ascii="Times New Roman" w:hAnsi="Times New Roman" w:cs="Times New Roman"/>
                <w:color w:val="000000"/>
                <w:kern w:val="0"/>
                <w:sz w:val="21"/>
                <w:szCs w:val="21"/>
                <w:highlight w:val="none"/>
              </w:rPr>
              <w:t>序号</w:t>
            </w:r>
          </w:p>
        </w:tc>
        <w:tc>
          <w:tcPr>
            <w:tcW w:w="978" w:type="dxa"/>
            <w:tcBorders>
              <w:tl2br w:val="nil"/>
              <w:tr2bl w:val="nil"/>
            </w:tcBorders>
            <w:shd w:val="clear" w:color="auto" w:fill="auto"/>
            <w:vAlign w:val="center"/>
          </w:tcPr>
          <w:p w14:paraId="05C1FEF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污染物</w:t>
            </w:r>
          </w:p>
        </w:tc>
        <w:tc>
          <w:tcPr>
            <w:tcW w:w="7024" w:type="dxa"/>
            <w:tcBorders>
              <w:tl2br w:val="nil"/>
              <w:tr2bl w:val="nil"/>
            </w:tcBorders>
            <w:shd w:val="clear" w:color="auto" w:fill="auto"/>
            <w:vAlign w:val="center"/>
          </w:tcPr>
          <w:p w14:paraId="0EBB5AB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eastAsia" w:ascii="Times New Roman" w:hAnsi="Times New Roman" w:cs="Times New Roman"/>
                <w:color w:val="000000"/>
                <w:kern w:val="0"/>
                <w:sz w:val="21"/>
                <w:szCs w:val="21"/>
                <w:highlight w:val="none"/>
                <w:lang w:eastAsia="zh-CN"/>
              </w:rPr>
              <w:t>文件</w:t>
            </w:r>
            <w:r>
              <w:rPr>
                <w:rFonts w:hint="default" w:ascii="Times New Roman" w:hAnsi="Times New Roman" w:cs="Times New Roman"/>
                <w:color w:val="000000"/>
                <w:kern w:val="0"/>
                <w:sz w:val="21"/>
                <w:szCs w:val="21"/>
                <w:highlight w:val="none"/>
              </w:rPr>
              <w:t>名称</w:t>
            </w:r>
          </w:p>
        </w:tc>
        <w:tc>
          <w:tcPr>
            <w:tcW w:w="1029" w:type="dxa"/>
            <w:tcBorders>
              <w:tl2br w:val="nil"/>
              <w:tr2bl w:val="nil"/>
            </w:tcBorders>
            <w:shd w:val="clear" w:color="auto" w:fill="auto"/>
            <w:vAlign w:val="center"/>
          </w:tcPr>
          <w:p w14:paraId="31612E2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eastAsia" w:ascii="Times New Roman" w:hAnsi="Times New Roman" w:cs="Times New Roman"/>
                <w:color w:val="000000"/>
                <w:kern w:val="0"/>
                <w:sz w:val="21"/>
                <w:szCs w:val="21"/>
                <w:highlight w:val="none"/>
                <w:lang w:eastAsia="zh-CN"/>
              </w:rPr>
              <w:t>文件</w:t>
            </w:r>
            <w:r>
              <w:rPr>
                <w:rFonts w:hint="default" w:ascii="Times New Roman" w:hAnsi="Times New Roman" w:cs="Times New Roman"/>
                <w:color w:val="000000"/>
                <w:kern w:val="0"/>
                <w:sz w:val="21"/>
                <w:szCs w:val="21"/>
                <w:highlight w:val="none"/>
              </w:rPr>
              <w:t>号</w:t>
            </w:r>
          </w:p>
        </w:tc>
      </w:tr>
      <w:tr w14:paraId="0909CE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restart"/>
            <w:tcBorders>
              <w:tl2br w:val="nil"/>
              <w:tr2bl w:val="nil"/>
            </w:tcBorders>
            <w:shd w:val="clear" w:color="auto" w:fill="auto"/>
            <w:vAlign w:val="center"/>
          </w:tcPr>
          <w:p w14:paraId="5E274AD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kern w:val="0"/>
                <w:sz w:val="21"/>
                <w:szCs w:val="21"/>
                <w:highlight w:val="none"/>
                <w:lang w:eastAsia="zh-CN"/>
              </w:rPr>
            </w:pPr>
            <w:r>
              <w:rPr>
                <w:rFonts w:hint="eastAsia" w:ascii="Times New Roman" w:hAnsi="Times New Roman" w:cs="Times New Roman"/>
                <w:color w:val="000000"/>
                <w:kern w:val="0"/>
                <w:sz w:val="21"/>
                <w:szCs w:val="21"/>
                <w:highlight w:val="none"/>
                <w:lang w:val="en-US" w:eastAsia="zh-CN"/>
              </w:rPr>
              <w:t>1</w:t>
            </w:r>
          </w:p>
        </w:tc>
        <w:tc>
          <w:tcPr>
            <w:tcW w:w="978" w:type="dxa"/>
            <w:vMerge w:val="restart"/>
            <w:tcBorders>
              <w:tl2br w:val="nil"/>
              <w:tr2bl w:val="nil"/>
            </w:tcBorders>
            <w:shd w:val="clear" w:color="auto" w:fill="auto"/>
            <w:vAlign w:val="center"/>
          </w:tcPr>
          <w:p w14:paraId="3871641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kern w:val="0"/>
                <w:sz w:val="21"/>
                <w:szCs w:val="21"/>
                <w:highlight w:val="none"/>
                <w:lang w:eastAsia="zh-CN"/>
              </w:rPr>
            </w:pPr>
            <w:r>
              <w:rPr>
                <w:rFonts w:hint="default" w:ascii="Times New Roman" w:hAnsi="Times New Roman" w:cs="Times New Roman"/>
                <w:color w:val="000000"/>
                <w:kern w:val="0"/>
                <w:sz w:val="21"/>
                <w:szCs w:val="21"/>
                <w:highlight w:val="none"/>
              </w:rPr>
              <w:t>苯</w:t>
            </w:r>
            <w:r>
              <w:rPr>
                <w:rFonts w:hint="eastAsia" w:ascii="Times New Roman" w:hAnsi="Times New Roman" w:cs="Times New Roman"/>
                <w:color w:val="000000"/>
                <w:kern w:val="0"/>
                <w:sz w:val="21"/>
                <w:szCs w:val="21"/>
                <w:highlight w:val="none"/>
                <w:lang w:eastAsia="zh-CN"/>
              </w:rPr>
              <w:t>、</w:t>
            </w:r>
          </w:p>
          <w:p w14:paraId="7B5F569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苯系物</w:t>
            </w:r>
          </w:p>
        </w:tc>
        <w:tc>
          <w:tcPr>
            <w:tcW w:w="7024" w:type="dxa"/>
            <w:tcBorders>
              <w:tl2br w:val="nil"/>
              <w:tr2bl w:val="nil"/>
            </w:tcBorders>
            <w:shd w:val="clear" w:color="auto" w:fill="auto"/>
            <w:vAlign w:val="center"/>
          </w:tcPr>
          <w:p w14:paraId="7C0E10AA">
            <w:pPr>
              <w:keepNext/>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fldChar w:fldCharType="begin"/>
            </w:r>
            <w:r>
              <w:rPr>
                <w:rFonts w:hint="default" w:ascii="Times New Roman" w:hAnsi="Times New Roman" w:cs="Times New Roman"/>
                <w:color w:val="000000"/>
                <w:kern w:val="0"/>
                <w:sz w:val="21"/>
                <w:szCs w:val="21"/>
                <w:highlight w:val="none"/>
              </w:rPr>
              <w:instrText xml:space="preserve"> HYPERLINK "http://kjs.mep.gov.cn/hjbhbz/bzwb/dqhjbh/jcgfffbz/201010/t20101008_195273.htm" \t "_blank" </w:instrText>
            </w:r>
            <w:r>
              <w:rPr>
                <w:rFonts w:hint="default" w:ascii="Times New Roman" w:hAnsi="Times New Roman" w:cs="Times New Roman"/>
                <w:color w:val="000000"/>
                <w:kern w:val="0"/>
                <w:sz w:val="21"/>
                <w:szCs w:val="21"/>
                <w:highlight w:val="none"/>
              </w:rPr>
              <w:fldChar w:fldCharType="separate"/>
            </w:r>
            <w:r>
              <w:rPr>
                <w:rFonts w:hint="default" w:ascii="Times New Roman" w:hAnsi="Times New Roman" w:cs="Times New Roman"/>
                <w:color w:val="000000"/>
                <w:kern w:val="0"/>
                <w:sz w:val="21"/>
                <w:szCs w:val="21"/>
                <w:highlight w:val="none"/>
              </w:rPr>
              <w:t>环境空气</w:t>
            </w:r>
            <w:r>
              <w:rPr>
                <w:rFonts w:hint="eastAsia" w:ascii="Times New Roman" w:hAnsi="Times New Roman" w:cs="Times New Roman"/>
                <w:color w:val="000000"/>
                <w:kern w:val="0"/>
                <w:sz w:val="21"/>
                <w:szCs w:val="21"/>
                <w:highlight w:val="none"/>
                <w:lang w:val="en-US" w:eastAsia="zh-CN"/>
              </w:rPr>
              <w:t xml:space="preserve"> </w:t>
            </w:r>
            <w:r>
              <w:rPr>
                <w:rFonts w:hint="default" w:ascii="Times New Roman" w:hAnsi="Times New Roman" w:cs="Times New Roman"/>
                <w:color w:val="000000"/>
                <w:kern w:val="0"/>
                <w:sz w:val="21"/>
                <w:szCs w:val="21"/>
                <w:highlight w:val="none"/>
              </w:rPr>
              <w:t>苯系物的测定 固体吸附/热脱附-气相色谱法</w:t>
            </w:r>
            <w:r>
              <w:rPr>
                <w:rFonts w:hint="default" w:ascii="Times New Roman" w:hAnsi="Times New Roman" w:cs="Times New Roman"/>
                <w:color w:val="000000"/>
                <w:kern w:val="0"/>
                <w:sz w:val="21"/>
                <w:szCs w:val="21"/>
                <w:highlight w:val="none"/>
              </w:rPr>
              <w:fldChar w:fldCharType="end"/>
            </w:r>
          </w:p>
        </w:tc>
        <w:tc>
          <w:tcPr>
            <w:tcW w:w="1029" w:type="dxa"/>
            <w:tcBorders>
              <w:tl2br w:val="nil"/>
              <w:tr2bl w:val="nil"/>
            </w:tcBorders>
            <w:shd w:val="clear" w:color="auto" w:fill="auto"/>
            <w:vAlign w:val="center"/>
          </w:tcPr>
          <w:p w14:paraId="2DCB44E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HJ 583</w:t>
            </w:r>
          </w:p>
        </w:tc>
      </w:tr>
      <w:tr w14:paraId="3E5A9D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shd w:val="clear" w:color="auto" w:fill="auto"/>
            <w:vAlign w:val="center"/>
          </w:tcPr>
          <w:p w14:paraId="4B4373C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c>
          <w:tcPr>
            <w:tcW w:w="978" w:type="dxa"/>
            <w:vMerge w:val="continue"/>
            <w:tcBorders>
              <w:tl2br w:val="nil"/>
              <w:tr2bl w:val="nil"/>
            </w:tcBorders>
            <w:shd w:val="clear" w:color="auto" w:fill="auto"/>
            <w:vAlign w:val="center"/>
          </w:tcPr>
          <w:p w14:paraId="128E103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c>
          <w:tcPr>
            <w:tcW w:w="7024" w:type="dxa"/>
            <w:tcBorders>
              <w:tl2br w:val="nil"/>
              <w:tr2bl w:val="nil"/>
            </w:tcBorders>
            <w:shd w:val="clear" w:color="auto" w:fill="auto"/>
            <w:vAlign w:val="center"/>
          </w:tcPr>
          <w:p w14:paraId="1C242A20">
            <w:pPr>
              <w:keepNext/>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fldChar w:fldCharType="begin"/>
            </w:r>
            <w:r>
              <w:rPr>
                <w:rFonts w:hint="default" w:ascii="Times New Roman" w:hAnsi="Times New Roman" w:cs="Times New Roman"/>
                <w:color w:val="000000"/>
                <w:kern w:val="0"/>
                <w:sz w:val="21"/>
                <w:szCs w:val="21"/>
                <w:highlight w:val="none"/>
              </w:rPr>
              <w:instrText xml:space="preserve"> HYPERLINK "http://kjs.mep.gov.cn/hjbhbz/bzwb/dqhjbh/jcgfffbz/201010/t20101008_195274.htm" \t "_blank" </w:instrText>
            </w:r>
            <w:r>
              <w:rPr>
                <w:rFonts w:hint="default" w:ascii="Times New Roman" w:hAnsi="Times New Roman" w:cs="Times New Roman"/>
                <w:color w:val="000000"/>
                <w:kern w:val="0"/>
                <w:sz w:val="21"/>
                <w:szCs w:val="21"/>
                <w:highlight w:val="none"/>
              </w:rPr>
              <w:fldChar w:fldCharType="separate"/>
            </w:r>
            <w:r>
              <w:rPr>
                <w:rFonts w:hint="default" w:ascii="Times New Roman" w:hAnsi="Times New Roman" w:cs="Times New Roman"/>
                <w:color w:val="000000"/>
                <w:kern w:val="0"/>
                <w:sz w:val="21"/>
                <w:szCs w:val="21"/>
                <w:highlight w:val="none"/>
              </w:rPr>
              <w:t>环境空气 苯系物的测定 活性炭吸附/二硫化碳解吸-气相色谱法</w:t>
            </w:r>
            <w:r>
              <w:rPr>
                <w:rFonts w:hint="default" w:ascii="Times New Roman" w:hAnsi="Times New Roman" w:cs="Times New Roman"/>
                <w:color w:val="000000"/>
                <w:kern w:val="0"/>
                <w:sz w:val="21"/>
                <w:szCs w:val="21"/>
                <w:highlight w:val="none"/>
              </w:rPr>
              <w:fldChar w:fldCharType="end"/>
            </w:r>
          </w:p>
        </w:tc>
        <w:tc>
          <w:tcPr>
            <w:tcW w:w="1029" w:type="dxa"/>
            <w:tcBorders>
              <w:tl2br w:val="nil"/>
              <w:tr2bl w:val="nil"/>
            </w:tcBorders>
            <w:shd w:val="clear" w:color="auto" w:fill="auto"/>
            <w:vAlign w:val="center"/>
          </w:tcPr>
          <w:p w14:paraId="2363F68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HJ 584</w:t>
            </w:r>
          </w:p>
        </w:tc>
      </w:tr>
      <w:tr w14:paraId="0176A0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shd w:val="clear" w:color="auto" w:fill="auto"/>
            <w:vAlign w:val="center"/>
          </w:tcPr>
          <w:p w14:paraId="1A34243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c>
          <w:tcPr>
            <w:tcW w:w="978" w:type="dxa"/>
            <w:vMerge w:val="continue"/>
            <w:tcBorders>
              <w:tl2br w:val="nil"/>
              <w:tr2bl w:val="nil"/>
            </w:tcBorders>
            <w:shd w:val="clear" w:color="auto" w:fill="auto"/>
            <w:vAlign w:val="center"/>
          </w:tcPr>
          <w:p w14:paraId="7BA767D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c>
          <w:tcPr>
            <w:tcW w:w="7024" w:type="dxa"/>
            <w:tcBorders>
              <w:tl2br w:val="nil"/>
              <w:tr2bl w:val="nil"/>
            </w:tcBorders>
            <w:shd w:val="clear" w:color="auto" w:fill="auto"/>
            <w:vAlign w:val="center"/>
          </w:tcPr>
          <w:p w14:paraId="3F4214B5">
            <w:pPr>
              <w:keepNext/>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eastAsia" w:ascii="Times New Roman" w:hAnsi="Times New Roman"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rPr>
              <w:fldChar w:fldCharType="begin"/>
            </w:r>
            <w:r>
              <w:rPr>
                <w:rFonts w:hint="default" w:ascii="Times New Roman" w:hAnsi="Times New Roman" w:cs="Times New Roman"/>
                <w:color w:val="000000"/>
                <w:kern w:val="0"/>
                <w:sz w:val="21"/>
                <w:szCs w:val="21"/>
                <w:highlight w:val="none"/>
              </w:rPr>
              <w:instrText xml:space="preserve"> HYPERLINK "http://kjs.mep.gov.cn/hjbhbz/bzwb/dqhjbh/jcgfffbz/201501/t20150115_294225.htm" \t "_blank" </w:instrText>
            </w:r>
            <w:r>
              <w:rPr>
                <w:rFonts w:hint="default" w:ascii="Times New Roman" w:hAnsi="Times New Roman" w:cs="Times New Roman"/>
                <w:color w:val="000000"/>
                <w:kern w:val="0"/>
                <w:sz w:val="21"/>
                <w:szCs w:val="21"/>
                <w:highlight w:val="none"/>
              </w:rPr>
              <w:fldChar w:fldCharType="separate"/>
            </w:r>
            <w:r>
              <w:rPr>
                <w:rFonts w:hint="default" w:ascii="Times New Roman" w:hAnsi="Times New Roman" w:cs="Times New Roman"/>
                <w:color w:val="000000"/>
                <w:kern w:val="0"/>
                <w:sz w:val="21"/>
                <w:szCs w:val="21"/>
                <w:highlight w:val="none"/>
              </w:rPr>
              <w:t>固定污染源废气 挥发性有机物的测定 固相吸附-热脱附/气相色谱-质谱法</w:t>
            </w:r>
            <w:r>
              <w:rPr>
                <w:rFonts w:hint="default" w:ascii="Times New Roman" w:hAnsi="Times New Roman" w:cs="Times New Roman"/>
                <w:color w:val="000000"/>
                <w:kern w:val="0"/>
                <w:sz w:val="21"/>
                <w:szCs w:val="21"/>
                <w:highlight w:val="none"/>
              </w:rPr>
              <w:fldChar w:fldCharType="end"/>
            </w:r>
            <w:r>
              <w:rPr>
                <w:rFonts w:hint="eastAsia" w:ascii="Times New Roman" w:hAnsi="Times New Roman" w:cs="Times New Roman"/>
                <w:color w:val="000000"/>
                <w:kern w:val="0"/>
                <w:sz w:val="21"/>
                <w:szCs w:val="21"/>
                <w:highlight w:val="none"/>
                <w:vertAlign w:val="superscript"/>
                <w:lang w:val="en-US" w:eastAsia="zh-CN"/>
              </w:rPr>
              <w:t>a</w:t>
            </w:r>
          </w:p>
        </w:tc>
        <w:tc>
          <w:tcPr>
            <w:tcW w:w="1029" w:type="dxa"/>
            <w:tcBorders>
              <w:tl2br w:val="nil"/>
              <w:tr2bl w:val="nil"/>
            </w:tcBorders>
            <w:shd w:val="clear" w:color="auto" w:fill="auto"/>
            <w:vAlign w:val="center"/>
          </w:tcPr>
          <w:p w14:paraId="700353D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HJ 734</w:t>
            </w:r>
          </w:p>
        </w:tc>
      </w:tr>
      <w:tr w14:paraId="0C7240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shd w:val="clear" w:color="auto" w:fill="auto"/>
            <w:vAlign w:val="center"/>
          </w:tcPr>
          <w:p w14:paraId="7C2A1AA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c>
          <w:tcPr>
            <w:tcW w:w="978" w:type="dxa"/>
            <w:vMerge w:val="continue"/>
            <w:tcBorders>
              <w:tl2br w:val="nil"/>
              <w:tr2bl w:val="nil"/>
            </w:tcBorders>
            <w:shd w:val="clear" w:color="auto" w:fill="auto"/>
            <w:vAlign w:val="center"/>
          </w:tcPr>
          <w:p w14:paraId="75E662B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c>
          <w:tcPr>
            <w:tcW w:w="7024" w:type="dxa"/>
            <w:tcBorders>
              <w:tl2br w:val="nil"/>
              <w:tr2bl w:val="nil"/>
            </w:tcBorders>
            <w:shd w:val="clear" w:color="auto" w:fill="auto"/>
            <w:vAlign w:val="center"/>
          </w:tcPr>
          <w:p w14:paraId="75DF4311">
            <w:pPr>
              <w:keepNext/>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环境空气  挥发性有机物的测定  罐采样/气相色谱-质谱法</w:t>
            </w:r>
          </w:p>
        </w:tc>
        <w:tc>
          <w:tcPr>
            <w:tcW w:w="1029" w:type="dxa"/>
            <w:tcBorders>
              <w:tl2br w:val="nil"/>
              <w:tr2bl w:val="nil"/>
            </w:tcBorders>
            <w:shd w:val="clear" w:color="auto" w:fill="auto"/>
            <w:vAlign w:val="center"/>
          </w:tcPr>
          <w:p w14:paraId="0744DE8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HJ 759</w:t>
            </w:r>
          </w:p>
        </w:tc>
      </w:tr>
      <w:tr w14:paraId="2D4830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shd w:val="clear" w:color="auto" w:fill="auto"/>
            <w:vAlign w:val="center"/>
          </w:tcPr>
          <w:p w14:paraId="26E08DA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c>
          <w:tcPr>
            <w:tcW w:w="978" w:type="dxa"/>
            <w:vMerge w:val="continue"/>
            <w:tcBorders>
              <w:tl2br w:val="nil"/>
              <w:tr2bl w:val="nil"/>
            </w:tcBorders>
            <w:shd w:val="clear" w:color="auto" w:fill="auto"/>
            <w:vAlign w:val="center"/>
          </w:tcPr>
          <w:p w14:paraId="3789BCA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c>
          <w:tcPr>
            <w:tcW w:w="7024" w:type="dxa"/>
            <w:tcBorders>
              <w:tl2br w:val="nil"/>
              <w:tr2bl w:val="nil"/>
            </w:tcBorders>
            <w:shd w:val="clear" w:color="auto" w:fill="auto"/>
            <w:vAlign w:val="center"/>
          </w:tcPr>
          <w:p w14:paraId="042DAF44">
            <w:pPr>
              <w:keepNext/>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default" w:ascii="Times New Roman" w:hAnsi="Times New Roman" w:cs="Times New Roman"/>
                <w:color w:val="000000"/>
                <w:kern w:val="0"/>
                <w:sz w:val="21"/>
                <w:szCs w:val="21"/>
                <w:highlight w:val="none"/>
              </w:rPr>
            </w:pPr>
            <w:r>
              <w:rPr>
                <w:rFonts w:hint="eastAsia" w:ascii="Times New Roman" w:hAnsi="Times New Roman" w:cs="Times New Roman"/>
                <w:color w:val="000000"/>
                <w:kern w:val="0"/>
                <w:sz w:val="21"/>
                <w:szCs w:val="21"/>
                <w:highlight w:val="none"/>
                <w:lang w:val="en-US" w:eastAsia="zh-CN"/>
              </w:rPr>
              <w:t>固定污染源废气 苯系物的测定 气袋采样 直接进样</w:t>
            </w:r>
            <w:r>
              <w:rPr>
                <w:rFonts w:hint="default" w:ascii="Times New Roman" w:hAnsi="Times New Roman" w:cs="Times New Roman"/>
                <w:color w:val="000000"/>
                <w:kern w:val="0"/>
                <w:sz w:val="21"/>
                <w:szCs w:val="21"/>
                <w:highlight w:val="none"/>
                <w:lang w:val="en-US" w:eastAsia="zh-CN"/>
              </w:rPr>
              <w:t>-</w:t>
            </w:r>
            <w:r>
              <w:rPr>
                <w:rFonts w:hint="eastAsia" w:ascii="Times New Roman" w:hAnsi="Times New Roman" w:cs="Times New Roman"/>
                <w:color w:val="000000"/>
                <w:kern w:val="0"/>
                <w:sz w:val="21"/>
                <w:szCs w:val="21"/>
                <w:highlight w:val="none"/>
                <w:lang w:val="en-US" w:eastAsia="zh-CN"/>
              </w:rPr>
              <w:t>气相色谱法</w:t>
            </w:r>
          </w:p>
        </w:tc>
        <w:tc>
          <w:tcPr>
            <w:tcW w:w="1029" w:type="dxa"/>
            <w:tcBorders>
              <w:tl2br w:val="nil"/>
              <w:tr2bl w:val="nil"/>
            </w:tcBorders>
            <w:shd w:val="clear" w:color="auto" w:fill="auto"/>
            <w:vAlign w:val="center"/>
          </w:tcPr>
          <w:p w14:paraId="3C2FFEC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val="en-US" w:eastAsia="zh-CN"/>
              </w:rPr>
              <w:t>HJ 1261</w:t>
            </w:r>
          </w:p>
        </w:tc>
      </w:tr>
      <w:tr w14:paraId="346AF9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restart"/>
            <w:tcBorders>
              <w:tl2br w:val="nil"/>
              <w:tr2bl w:val="nil"/>
            </w:tcBorders>
            <w:shd w:val="clear" w:color="auto" w:fill="auto"/>
            <w:vAlign w:val="center"/>
          </w:tcPr>
          <w:p w14:paraId="7B33DE1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kern w:val="0"/>
                <w:sz w:val="21"/>
                <w:szCs w:val="21"/>
                <w:highlight w:val="none"/>
                <w:lang w:eastAsia="zh-CN"/>
              </w:rPr>
            </w:pPr>
            <w:r>
              <w:rPr>
                <w:rFonts w:hint="eastAsia" w:ascii="Times New Roman" w:hAnsi="Times New Roman" w:cs="Times New Roman"/>
                <w:color w:val="000000"/>
                <w:kern w:val="0"/>
                <w:sz w:val="21"/>
                <w:szCs w:val="21"/>
                <w:highlight w:val="none"/>
                <w:lang w:val="en-US" w:eastAsia="zh-CN"/>
              </w:rPr>
              <w:t>2</w:t>
            </w:r>
          </w:p>
        </w:tc>
        <w:tc>
          <w:tcPr>
            <w:tcW w:w="978" w:type="dxa"/>
            <w:vMerge w:val="restart"/>
            <w:tcBorders>
              <w:tl2br w:val="nil"/>
              <w:tr2bl w:val="nil"/>
            </w:tcBorders>
            <w:shd w:val="clear" w:color="auto" w:fill="auto"/>
            <w:vAlign w:val="center"/>
          </w:tcPr>
          <w:p w14:paraId="2624172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非甲烷总烃</w:t>
            </w:r>
          </w:p>
        </w:tc>
        <w:tc>
          <w:tcPr>
            <w:tcW w:w="7024" w:type="dxa"/>
            <w:tcBorders>
              <w:tl2br w:val="nil"/>
              <w:tr2bl w:val="nil"/>
            </w:tcBorders>
            <w:shd w:val="clear" w:color="auto" w:fill="auto"/>
            <w:vAlign w:val="center"/>
          </w:tcPr>
          <w:p w14:paraId="4CE09043">
            <w:pPr>
              <w:keepNext/>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固定污染源废气 总烃、甲烷和非甲烷总烃的测定 气相色谱法</w:t>
            </w:r>
          </w:p>
        </w:tc>
        <w:tc>
          <w:tcPr>
            <w:tcW w:w="1029" w:type="dxa"/>
            <w:tcBorders>
              <w:tl2br w:val="nil"/>
              <w:tr2bl w:val="nil"/>
            </w:tcBorders>
            <w:shd w:val="clear" w:color="auto" w:fill="auto"/>
            <w:vAlign w:val="center"/>
          </w:tcPr>
          <w:p w14:paraId="039F4AE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HJ 38</w:t>
            </w:r>
          </w:p>
        </w:tc>
      </w:tr>
      <w:tr w14:paraId="50B2E9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shd w:val="clear" w:color="auto" w:fill="auto"/>
            <w:vAlign w:val="center"/>
          </w:tcPr>
          <w:p w14:paraId="7BC719E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c>
          <w:tcPr>
            <w:tcW w:w="978" w:type="dxa"/>
            <w:vMerge w:val="continue"/>
            <w:tcBorders>
              <w:tl2br w:val="nil"/>
              <w:tr2bl w:val="nil"/>
            </w:tcBorders>
            <w:shd w:val="clear" w:color="auto" w:fill="auto"/>
            <w:vAlign w:val="center"/>
          </w:tcPr>
          <w:p w14:paraId="4D6C147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c>
          <w:tcPr>
            <w:tcW w:w="7024" w:type="dxa"/>
            <w:tcBorders>
              <w:tl2br w:val="nil"/>
              <w:tr2bl w:val="nil"/>
            </w:tcBorders>
            <w:shd w:val="clear" w:color="auto" w:fill="auto"/>
            <w:vAlign w:val="center"/>
          </w:tcPr>
          <w:p w14:paraId="6F5A87A0">
            <w:pPr>
              <w:keepNext/>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环境空气 总烃、甲烷和非甲烷总烃的测定 直接进样-气相色谱法</w:t>
            </w:r>
          </w:p>
        </w:tc>
        <w:tc>
          <w:tcPr>
            <w:tcW w:w="1029" w:type="dxa"/>
            <w:tcBorders>
              <w:tl2br w:val="nil"/>
              <w:tr2bl w:val="nil"/>
            </w:tcBorders>
            <w:shd w:val="clear" w:color="auto" w:fill="auto"/>
            <w:vAlign w:val="center"/>
          </w:tcPr>
          <w:p w14:paraId="6BACC71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HJ 604</w:t>
            </w:r>
          </w:p>
        </w:tc>
      </w:tr>
      <w:tr w14:paraId="43803C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shd w:val="clear" w:color="auto" w:fill="auto"/>
            <w:vAlign w:val="center"/>
          </w:tcPr>
          <w:p w14:paraId="300973B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c>
          <w:tcPr>
            <w:tcW w:w="978" w:type="dxa"/>
            <w:vMerge w:val="continue"/>
            <w:tcBorders>
              <w:tl2br w:val="nil"/>
              <w:tr2bl w:val="nil"/>
            </w:tcBorders>
            <w:shd w:val="clear" w:color="auto" w:fill="auto"/>
            <w:vAlign w:val="center"/>
          </w:tcPr>
          <w:p w14:paraId="4E07BF0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c>
          <w:tcPr>
            <w:tcW w:w="7024" w:type="dxa"/>
            <w:tcBorders>
              <w:tl2br w:val="nil"/>
              <w:tr2bl w:val="nil"/>
            </w:tcBorders>
            <w:shd w:val="clear" w:color="auto" w:fill="auto"/>
            <w:vAlign w:val="center"/>
          </w:tcPr>
          <w:p w14:paraId="39B9B3FB">
            <w:pPr>
              <w:keepNext/>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环境空气和废气 总烃、甲烷和非甲烷总烃便携式监测仪技术要求及检测方法</w:t>
            </w:r>
          </w:p>
        </w:tc>
        <w:tc>
          <w:tcPr>
            <w:tcW w:w="1029" w:type="dxa"/>
            <w:tcBorders>
              <w:tl2br w:val="nil"/>
              <w:tr2bl w:val="nil"/>
            </w:tcBorders>
            <w:shd w:val="clear" w:color="auto" w:fill="auto"/>
            <w:vAlign w:val="center"/>
          </w:tcPr>
          <w:p w14:paraId="12AEC7C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HJ 1012</w:t>
            </w:r>
          </w:p>
        </w:tc>
      </w:tr>
      <w:tr w14:paraId="26CB7A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shd w:val="clear" w:color="auto" w:fill="auto"/>
            <w:vAlign w:val="center"/>
          </w:tcPr>
          <w:p w14:paraId="4AD550D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c>
          <w:tcPr>
            <w:tcW w:w="978" w:type="dxa"/>
            <w:vMerge w:val="continue"/>
            <w:tcBorders>
              <w:tl2br w:val="nil"/>
              <w:tr2bl w:val="nil"/>
            </w:tcBorders>
            <w:shd w:val="clear" w:color="auto" w:fill="auto"/>
            <w:vAlign w:val="center"/>
          </w:tcPr>
          <w:p w14:paraId="77028AF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c>
          <w:tcPr>
            <w:tcW w:w="7024" w:type="dxa"/>
            <w:tcBorders>
              <w:tl2br w:val="nil"/>
              <w:tr2bl w:val="nil"/>
            </w:tcBorders>
            <w:shd w:val="clear" w:color="auto" w:fill="auto"/>
            <w:vAlign w:val="center"/>
          </w:tcPr>
          <w:p w14:paraId="4FC00731">
            <w:pPr>
              <w:keepNext/>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default" w:ascii="Times New Roman" w:hAnsi="Times New Roman" w:cs="Times New Roman"/>
                <w:color w:val="000000"/>
                <w:kern w:val="0"/>
                <w:sz w:val="21"/>
                <w:szCs w:val="21"/>
                <w:highlight w:val="none"/>
              </w:rPr>
            </w:pPr>
            <w:bookmarkStart w:id="166" w:name="_Hlk1919400"/>
            <w:r>
              <w:rPr>
                <w:rFonts w:hint="default" w:ascii="Times New Roman" w:hAnsi="Times New Roman" w:cs="Times New Roman"/>
                <w:color w:val="000000"/>
                <w:kern w:val="0"/>
                <w:sz w:val="21"/>
                <w:szCs w:val="21"/>
                <w:highlight w:val="none"/>
              </w:rPr>
              <w:t>固定污染源废气非甲烷总烃连续监测系统技术要求及检测方法</w:t>
            </w:r>
            <w:bookmarkEnd w:id="166"/>
          </w:p>
        </w:tc>
        <w:tc>
          <w:tcPr>
            <w:tcW w:w="1029" w:type="dxa"/>
            <w:tcBorders>
              <w:tl2br w:val="nil"/>
              <w:tr2bl w:val="nil"/>
            </w:tcBorders>
            <w:shd w:val="clear" w:color="auto" w:fill="auto"/>
            <w:vAlign w:val="center"/>
          </w:tcPr>
          <w:p w14:paraId="545FA37E">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HJ 1013</w:t>
            </w:r>
          </w:p>
        </w:tc>
      </w:tr>
      <w:tr w14:paraId="536F50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shd w:val="clear" w:color="auto" w:fill="auto"/>
            <w:vAlign w:val="center"/>
          </w:tcPr>
          <w:p w14:paraId="2EEB679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c>
          <w:tcPr>
            <w:tcW w:w="978" w:type="dxa"/>
            <w:vMerge w:val="continue"/>
            <w:tcBorders>
              <w:tl2br w:val="nil"/>
              <w:tr2bl w:val="nil"/>
            </w:tcBorders>
            <w:shd w:val="clear" w:color="auto" w:fill="auto"/>
            <w:vAlign w:val="center"/>
          </w:tcPr>
          <w:p w14:paraId="4C6F6FF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c>
          <w:tcPr>
            <w:tcW w:w="7024" w:type="dxa"/>
            <w:tcBorders>
              <w:tl2br w:val="nil"/>
              <w:tr2bl w:val="nil"/>
            </w:tcBorders>
            <w:shd w:val="clear" w:color="auto" w:fill="auto"/>
            <w:vAlign w:val="center"/>
          </w:tcPr>
          <w:p w14:paraId="67124E0F">
            <w:pPr>
              <w:keepNext/>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eastAsia="zh-CN"/>
              </w:rPr>
              <w:t>固定污染源废气</w:t>
            </w:r>
            <w:r>
              <w:rPr>
                <w:rFonts w:hint="eastAsia" w:ascii="Times New Roman" w:hAnsi="Times New Roman" w:cs="Times New Roman"/>
                <w:color w:val="000000"/>
                <w:kern w:val="0"/>
                <w:sz w:val="21"/>
                <w:szCs w:val="21"/>
                <w:highlight w:val="none"/>
                <w:lang w:val="en-US" w:eastAsia="zh-CN"/>
              </w:rPr>
              <w:t xml:space="preserve"> </w:t>
            </w:r>
            <w:r>
              <w:rPr>
                <w:rFonts w:hint="default" w:ascii="Times New Roman" w:hAnsi="Times New Roman" w:cs="Times New Roman"/>
                <w:color w:val="000000"/>
                <w:kern w:val="0"/>
                <w:sz w:val="21"/>
                <w:szCs w:val="21"/>
                <w:highlight w:val="none"/>
                <w:lang w:eastAsia="zh-CN"/>
              </w:rPr>
              <w:t>总烃、甲烷和非甲烷总烃的测定</w:t>
            </w:r>
            <w:r>
              <w:rPr>
                <w:rFonts w:hint="eastAsia" w:ascii="Times New Roman" w:hAnsi="Times New Roman" w:cs="Times New Roman"/>
                <w:color w:val="000000"/>
                <w:kern w:val="0"/>
                <w:sz w:val="21"/>
                <w:szCs w:val="21"/>
                <w:highlight w:val="none"/>
                <w:lang w:val="en-US" w:eastAsia="zh-CN"/>
              </w:rPr>
              <w:t xml:space="preserve"> </w:t>
            </w:r>
            <w:r>
              <w:rPr>
                <w:rFonts w:hint="default" w:ascii="Times New Roman" w:hAnsi="Times New Roman" w:cs="Times New Roman"/>
                <w:color w:val="000000"/>
                <w:kern w:val="0"/>
                <w:sz w:val="21"/>
                <w:szCs w:val="21"/>
                <w:highlight w:val="none"/>
                <w:lang w:eastAsia="zh-CN"/>
              </w:rPr>
              <w:t>便携式催化氧化-氢火焰离子化检测器法</w:t>
            </w:r>
          </w:p>
        </w:tc>
        <w:tc>
          <w:tcPr>
            <w:tcW w:w="1029" w:type="dxa"/>
            <w:tcBorders>
              <w:tl2br w:val="nil"/>
              <w:tr2bl w:val="nil"/>
            </w:tcBorders>
            <w:shd w:val="clear" w:color="auto" w:fill="auto"/>
            <w:vAlign w:val="center"/>
          </w:tcPr>
          <w:p w14:paraId="61A48FA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eastAsia="zh-CN"/>
              </w:rPr>
              <w:t>HJ 1331</w:t>
            </w:r>
          </w:p>
        </w:tc>
      </w:tr>
      <w:tr w14:paraId="7FC9A1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shd w:val="clear" w:color="auto" w:fill="auto"/>
            <w:vAlign w:val="center"/>
          </w:tcPr>
          <w:p w14:paraId="2D564EC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c>
          <w:tcPr>
            <w:tcW w:w="978" w:type="dxa"/>
            <w:vMerge w:val="continue"/>
            <w:tcBorders>
              <w:tl2br w:val="nil"/>
              <w:tr2bl w:val="nil"/>
            </w:tcBorders>
            <w:shd w:val="clear" w:color="auto" w:fill="auto"/>
            <w:vAlign w:val="center"/>
          </w:tcPr>
          <w:p w14:paraId="661F917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c>
          <w:tcPr>
            <w:tcW w:w="7024" w:type="dxa"/>
            <w:tcBorders>
              <w:tl2br w:val="nil"/>
              <w:tr2bl w:val="nil"/>
            </w:tcBorders>
            <w:shd w:val="clear" w:color="auto" w:fill="auto"/>
            <w:vAlign w:val="center"/>
          </w:tcPr>
          <w:p w14:paraId="0F6536D3">
            <w:pPr>
              <w:keepNext/>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eastAsia="zh-CN"/>
              </w:rPr>
              <w:t>固定污染源废气</w:t>
            </w:r>
            <w:r>
              <w:rPr>
                <w:rFonts w:hint="eastAsia" w:ascii="Times New Roman" w:hAnsi="Times New Roman" w:cs="Times New Roman"/>
                <w:color w:val="000000"/>
                <w:kern w:val="0"/>
                <w:sz w:val="21"/>
                <w:szCs w:val="21"/>
                <w:highlight w:val="none"/>
                <w:lang w:val="en-US" w:eastAsia="zh-CN"/>
              </w:rPr>
              <w:t xml:space="preserve"> </w:t>
            </w:r>
            <w:r>
              <w:rPr>
                <w:rFonts w:hint="default" w:ascii="Times New Roman" w:hAnsi="Times New Roman" w:cs="Times New Roman"/>
                <w:color w:val="000000"/>
                <w:kern w:val="0"/>
                <w:sz w:val="21"/>
                <w:szCs w:val="21"/>
                <w:highlight w:val="none"/>
                <w:lang w:eastAsia="zh-CN"/>
              </w:rPr>
              <w:t>总烃、甲烷和非甲烷总烃的测定</w:t>
            </w:r>
            <w:r>
              <w:rPr>
                <w:rFonts w:hint="eastAsia" w:ascii="Times New Roman" w:hAnsi="Times New Roman" w:cs="Times New Roman"/>
                <w:color w:val="000000"/>
                <w:kern w:val="0"/>
                <w:sz w:val="21"/>
                <w:szCs w:val="21"/>
                <w:highlight w:val="none"/>
                <w:lang w:val="en-US" w:eastAsia="zh-CN"/>
              </w:rPr>
              <w:t xml:space="preserve"> </w:t>
            </w:r>
            <w:r>
              <w:rPr>
                <w:rFonts w:hint="default" w:ascii="Times New Roman" w:hAnsi="Times New Roman" w:cs="Times New Roman"/>
                <w:color w:val="000000"/>
                <w:kern w:val="0"/>
                <w:sz w:val="21"/>
                <w:szCs w:val="21"/>
                <w:highlight w:val="none"/>
                <w:lang w:eastAsia="zh-CN"/>
              </w:rPr>
              <w:t>便携式气相色谱-氢火焰离子化检测器法</w:t>
            </w:r>
          </w:p>
        </w:tc>
        <w:tc>
          <w:tcPr>
            <w:tcW w:w="1029" w:type="dxa"/>
            <w:tcBorders>
              <w:tl2br w:val="nil"/>
              <w:tr2bl w:val="nil"/>
            </w:tcBorders>
            <w:shd w:val="clear" w:color="auto" w:fill="auto"/>
            <w:vAlign w:val="center"/>
          </w:tcPr>
          <w:p w14:paraId="15FF3D5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lang w:eastAsia="zh-CN"/>
              </w:rPr>
              <w:t>HJ 1332</w:t>
            </w:r>
          </w:p>
        </w:tc>
      </w:tr>
      <w:tr w14:paraId="3F2146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restart"/>
            <w:tcBorders>
              <w:tl2br w:val="nil"/>
              <w:tr2bl w:val="nil"/>
            </w:tcBorders>
            <w:shd w:val="clear" w:color="auto" w:fill="auto"/>
            <w:vAlign w:val="center"/>
          </w:tcPr>
          <w:p w14:paraId="2F1F8FD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lang w:val="en-US" w:eastAsia="zh-CN"/>
              </w:rPr>
            </w:pPr>
            <w:r>
              <w:rPr>
                <w:rFonts w:hint="eastAsia" w:ascii="Times New Roman" w:hAnsi="Times New Roman" w:cs="Times New Roman"/>
                <w:color w:val="000000"/>
                <w:kern w:val="0"/>
                <w:sz w:val="21"/>
                <w:szCs w:val="21"/>
                <w:highlight w:val="none"/>
                <w:lang w:val="en-US" w:eastAsia="zh-CN"/>
              </w:rPr>
              <w:t>3</w:t>
            </w:r>
          </w:p>
        </w:tc>
        <w:tc>
          <w:tcPr>
            <w:tcW w:w="978" w:type="dxa"/>
            <w:vMerge w:val="restart"/>
            <w:tcBorders>
              <w:tl2br w:val="nil"/>
              <w:tr2bl w:val="nil"/>
            </w:tcBorders>
            <w:shd w:val="clear" w:color="auto" w:fill="auto"/>
            <w:vAlign w:val="center"/>
          </w:tcPr>
          <w:p w14:paraId="10150DE0">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颗粒物</w:t>
            </w:r>
          </w:p>
        </w:tc>
        <w:tc>
          <w:tcPr>
            <w:tcW w:w="7024" w:type="dxa"/>
            <w:tcBorders>
              <w:tl2br w:val="nil"/>
              <w:tr2bl w:val="nil"/>
            </w:tcBorders>
            <w:shd w:val="clear" w:color="auto" w:fill="auto"/>
            <w:vAlign w:val="center"/>
          </w:tcPr>
          <w:p w14:paraId="7816F7C0">
            <w:pPr>
              <w:keepNext/>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固定污染源废气  低浓度颗粒物的测定  重量法</w:t>
            </w:r>
          </w:p>
        </w:tc>
        <w:tc>
          <w:tcPr>
            <w:tcW w:w="1029" w:type="dxa"/>
            <w:tcBorders>
              <w:tl2br w:val="nil"/>
              <w:tr2bl w:val="nil"/>
            </w:tcBorders>
            <w:shd w:val="clear" w:color="auto" w:fill="auto"/>
            <w:vAlign w:val="center"/>
          </w:tcPr>
          <w:p w14:paraId="62AC140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HJ 836</w:t>
            </w:r>
          </w:p>
        </w:tc>
      </w:tr>
      <w:tr w14:paraId="6A44BD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shd w:val="clear" w:color="auto" w:fill="auto"/>
          </w:tcPr>
          <w:p w14:paraId="3AB45AB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c>
          <w:tcPr>
            <w:tcW w:w="978" w:type="dxa"/>
            <w:vMerge w:val="continue"/>
            <w:tcBorders>
              <w:tl2br w:val="nil"/>
              <w:tr2bl w:val="nil"/>
            </w:tcBorders>
            <w:shd w:val="clear" w:color="auto" w:fill="auto"/>
          </w:tcPr>
          <w:p w14:paraId="72AE530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c>
          <w:tcPr>
            <w:tcW w:w="7024" w:type="dxa"/>
            <w:tcBorders>
              <w:tl2br w:val="nil"/>
              <w:tr2bl w:val="nil"/>
            </w:tcBorders>
            <w:shd w:val="clear" w:color="auto" w:fill="auto"/>
            <w:vAlign w:val="center"/>
          </w:tcPr>
          <w:p w14:paraId="65BA8607">
            <w:pPr>
              <w:pStyle w:val="35"/>
              <w:keepNext/>
              <w:keepLines w:val="0"/>
              <w:pageBreakBefore w:val="0"/>
              <w:widowControl w:val="0"/>
              <w:kinsoku/>
              <w:wordWrap/>
              <w:overflowPunct/>
              <w:topLinePunct w:val="0"/>
              <w:autoSpaceDE/>
              <w:autoSpaceDN/>
              <w:bidi w:val="0"/>
              <w:snapToGrid/>
              <w:jc w:val="left"/>
              <w:rPr>
                <w:rFonts w:hint="eastAsia" w:ascii="Times New Roman" w:hAnsi="Times New Roman" w:eastAsia="宋体" w:cs="Times New Roman"/>
                <w:color w:val="000000"/>
                <w:kern w:val="0"/>
                <w:sz w:val="21"/>
                <w:szCs w:val="21"/>
                <w:highlight w:val="none"/>
                <w:lang w:val="en-US" w:eastAsia="zh-CN"/>
              </w:rPr>
            </w:pPr>
            <w:r>
              <w:rPr>
                <w:rFonts w:hint="default" w:ascii="Times New Roman" w:hAnsi="Times New Roman" w:cs="Times New Roman"/>
                <w:color w:val="auto"/>
                <w:sz w:val="21"/>
                <w:szCs w:val="21"/>
                <w:highlight w:val="none"/>
              </w:rPr>
              <w:t>固定污染源排气中颗粒物测定与气态污染物采样方法</w:t>
            </w:r>
            <w:r>
              <w:rPr>
                <w:rFonts w:hint="eastAsia" w:ascii="Times New Roman" w:hAnsi="Times New Roman" w:cs="Times New Roman"/>
                <w:color w:val="auto"/>
                <w:sz w:val="21"/>
                <w:szCs w:val="21"/>
                <w:highlight w:val="none"/>
                <w:vertAlign w:val="superscript"/>
                <w:lang w:val="en-US" w:eastAsia="zh-CN"/>
              </w:rPr>
              <w:t>b</w:t>
            </w:r>
          </w:p>
        </w:tc>
        <w:tc>
          <w:tcPr>
            <w:tcW w:w="1029" w:type="dxa"/>
            <w:tcBorders>
              <w:tl2br w:val="nil"/>
              <w:tr2bl w:val="nil"/>
            </w:tcBorders>
            <w:shd w:val="clear" w:color="auto" w:fill="auto"/>
            <w:vAlign w:val="center"/>
          </w:tcPr>
          <w:p w14:paraId="4A5CF858">
            <w:pPr>
              <w:pStyle w:val="35"/>
              <w:keepNext/>
              <w:keepLines w:val="0"/>
              <w:pageBreakBefore w:val="0"/>
              <w:widowControl w:val="0"/>
              <w:kinsoku/>
              <w:wordWrap/>
              <w:overflowPunct/>
              <w:topLinePunct w:val="0"/>
              <w:autoSpaceDE/>
              <w:autoSpaceDN/>
              <w:bidi w:val="0"/>
              <w:snapToGrid/>
              <w:jc w:val="center"/>
              <w:rPr>
                <w:rFonts w:hint="default" w:ascii="Times New Roman" w:hAnsi="Times New Roman" w:cs="Times New Roman"/>
                <w:color w:val="000000"/>
                <w:kern w:val="0"/>
                <w:sz w:val="21"/>
                <w:szCs w:val="21"/>
                <w:highlight w:val="none"/>
              </w:rPr>
            </w:pPr>
            <w:r>
              <w:rPr>
                <w:rFonts w:hint="default" w:ascii="Times New Roman" w:hAnsi="Times New Roman" w:cs="Times New Roman"/>
                <w:color w:val="auto"/>
                <w:sz w:val="21"/>
                <w:szCs w:val="21"/>
                <w:highlight w:val="none"/>
              </w:rPr>
              <w:t>GB/T 16157</w:t>
            </w:r>
          </w:p>
        </w:tc>
      </w:tr>
      <w:tr w14:paraId="019775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9" w:type="dxa"/>
            <w:vMerge w:val="restart"/>
            <w:tcBorders>
              <w:tl2br w:val="nil"/>
              <w:tr2bl w:val="nil"/>
            </w:tcBorders>
            <w:shd w:val="clear" w:color="auto" w:fill="auto"/>
            <w:vAlign w:val="center"/>
          </w:tcPr>
          <w:p w14:paraId="5BA7EAB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kern w:val="0"/>
                <w:sz w:val="21"/>
                <w:szCs w:val="21"/>
                <w:highlight w:val="none"/>
                <w:lang w:val="en-US" w:eastAsia="zh-CN"/>
              </w:rPr>
            </w:pPr>
            <w:r>
              <w:rPr>
                <w:rFonts w:hint="eastAsia" w:ascii="Times New Roman" w:hAnsi="Times New Roman" w:cs="Times New Roman"/>
                <w:color w:val="000000"/>
                <w:kern w:val="0"/>
                <w:sz w:val="21"/>
                <w:szCs w:val="21"/>
                <w:highlight w:val="none"/>
                <w:lang w:val="en-US" w:eastAsia="zh-CN"/>
              </w:rPr>
              <w:t>4</w:t>
            </w:r>
          </w:p>
        </w:tc>
        <w:tc>
          <w:tcPr>
            <w:tcW w:w="978" w:type="dxa"/>
            <w:vMerge w:val="restart"/>
            <w:tcBorders>
              <w:tl2br w:val="nil"/>
              <w:tr2bl w:val="nil"/>
            </w:tcBorders>
            <w:shd w:val="clear" w:color="auto" w:fill="auto"/>
            <w:vAlign w:val="center"/>
          </w:tcPr>
          <w:p w14:paraId="147CC8C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eastAsia" w:ascii="Times New Roman" w:hAnsi="Times New Roman" w:cs="Times New Roman"/>
                <w:color w:val="000000"/>
                <w:kern w:val="0"/>
                <w:sz w:val="21"/>
                <w:szCs w:val="21"/>
                <w:highlight w:val="none"/>
              </w:rPr>
              <w:t>二氧化硫</w:t>
            </w:r>
          </w:p>
        </w:tc>
        <w:tc>
          <w:tcPr>
            <w:tcW w:w="7024" w:type="dxa"/>
            <w:tcBorders>
              <w:tl2br w:val="nil"/>
              <w:tr2bl w:val="nil"/>
            </w:tcBorders>
            <w:shd w:val="clear" w:color="auto" w:fill="auto"/>
            <w:vAlign w:val="center"/>
          </w:tcPr>
          <w:p w14:paraId="5BFA43B4">
            <w:pPr>
              <w:keepNext/>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default" w:ascii="Times New Roman" w:hAnsi="Times New Roman" w:cs="Times New Roman"/>
                <w:color w:val="000000"/>
                <w:kern w:val="0"/>
                <w:sz w:val="21"/>
                <w:szCs w:val="21"/>
                <w:highlight w:val="none"/>
              </w:rPr>
            </w:pPr>
            <w:r>
              <w:rPr>
                <w:rFonts w:hint="eastAsia" w:ascii="Times New Roman" w:hAnsi="Times New Roman" w:cs="Times New Roman"/>
                <w:color w:val="000000"/>
                <w:kern w:val="0"/>
                <w:sz w:val="21"/>
                <w:szCs w:val="21"/>
                <w:highlight w:val="none"/>
              </w:rPr>
              <w:t xml:space="preserve">固定污染源排气中二氧化硫的测定 碘量法 </w:t>
            </w:r>
          </w:p>
        </w:tc>
        <w:tc>
          <w:tcPr>
            <w:tcW w:w="1029" w:type="dxa"/>
            <w:tcBorders>
              <w:tl2br w:val="nil"/>
              <w:tr2bl w:val="nil"/>
            </w:tcBorders>
            <w:shd w:val="clear" w:color="auto" w:fill="auto"/>
            <w:vAlign w:val="center"/>
          </w:tcPr>
          <w:p w14:paraId="1434D03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eastAsia" w:ascii="Times New Roman" w:hAnsi="Times New Roman" w:cs="Times New Roman"/>
                <w:color w:val="000000"/>
                <w:kern w:val="0"/>
                <w:sz w:val="21"/>
                <w:szCs w:val="21"/>
                <w:highlight w:val="none"/>
              </w:rPr>
              <w:t>HJ/T 56</w:t>
            </w:r>
          </w:p>
        </w:tc>
      </w:tr>
      <w:tr w14:paraId="5719FF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9" w:type="dxa"/>
            <w:vMerge w:val="continue"/>
            <w:tcBorders>
              <w:tl2br w:val="nil"/>
              <w:tr2bl w:val="nil"/>
            </w:tcBorders>
            <w:shd w:val="clear" w:color="auto" w:fill="auto"/>
            <w:vAlign w:val="center"/>
          </w:tcPr>
          <w:p w14:paraId="6BD6560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c>
          <w:tcPr>
            <w:tcW w:w="978" w:type="dxa"/>
            <w:vMerge w:val="continue"/>
            <w:tcBorders>
              <w:tl2br w:val="nil"/>
              <w:tr2bl w:val="nil"/>
            </w:tcBorders>
            <w:shd w:val="clear" w:color="auto" w:fill="auto"/>
            <w:vAlign w:val="center"/>
          </w:tcPr>
          <w:p w14:paraId="4AE3F04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c>
          <w:tcPr>
            <w:tcW w:w="7024" w:type="dxa"/>
            <w:tcBorders>
              <w:tl2br w:val="nil"/>
              <w:tr2bl w:val="nil"/>
            </w:tcBorders>
            <w:shd w:val="clear" w:color="auto" w:fill="auto"/>
            <w:vAlign w:val="center"/>
          </w:tcPr>
          <w:p w14:paraId="45C9F8A1">
            <w:pPr>
              <w:keepNext/>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default" w:ascii="Times New Roman" w:hAnsi="Times New Roman" w:cs="Times New Roman"/>
                <w:color w:val="000000"/>
                <w:kern w:val="0"/>
                <w:sz w:val="21"/>
                <w:szCs w:val="21"/>
                <w:highlight w:val="none"/>
              </w:rPr>
            </w:pPr>
            <w:r>
              <w:rPr>
                <w:rFonts w:hint="eastAsia" w:ascii="Times New Roman" w:hAnsi="Times New Roman" w:cs="Times New Roman"/>
                <w:color w:val="000000"/>
                <w:kern w:val="0"/>
                <w:sz w:val="21"/>
                <w:szCs w:val="21"/>
                <w:highlight w:val="none"/>
              </w:rPr>
              <w:t>固定污染源废气 二氧化硫的测定 定电位电解法</w:t>
            </w:r>
          </w:p>
        </w:tc>
        <w:tc>
          <w:tcPr>
            <w:tcW w:w="1029" w:type="dxa"/>
            <w:tcBorders>
              <w:tl2br w:val="nil"/>
              <w:tr2bl w:val="nil"/>
            </w:tcBorders>
            <w:shd w:val="clear" w:color="auto" w:fill="auto"/>
            <w:vAlign w:val="center"/>
          </w:tcPr>
          <w:p w14:paraId="6D3B45E3">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eastAsia" w:ascii="Times New Roman" w:hAnsi="Times New Roman" w:cs="Times New Roman"/>
                <w:color w:val="000000"/>
                <w:kern w:val="0"/>
                <w:sz w:val="21"/>
                <w:szCs w:val="21"/>
                <w:highlight w:val="none"/>
              </w:rPr>
              <w:t>HJ 57</w:t>
            </w:r>
          </w:p>
        </w:tc>
      </w:tr>
      <w:tr w14:paraId="4BD20C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9" w:type="dxa"/>
            <w:vMerge w:val="continue"/>
            <w:tcBorders>
              <w:tl2br w:val="nil"/>
              <w:tr2bl w:val="nil"/>
            </w:tcBorders>
            <w:shd w:val="clear" w:color="auto" w:fill="auto"/>
            <w:vAlign w:val="center"/>
          </w:tcPr>
          <w:p w14:paraId="43275A1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c>
          <w:tcPr>
            <w:tcW w:w="978" w:type="dxa"/>
            <w:vMerge w:val="continue"/>
            <w:tcBorders>
              <w:tl2br w:val="nil"/>
              <w:tr2bl w:val="nil"/>
            </w:tcBorders>
            <w:shd w:val="clear" w:color="auto" w:fill="auto"/>
            <w:vAlign w:val="center"/>
          </w:tcPr>
          <w:p w14:paraId="4A78B5E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c>
          <w:tcPr>
            <w:tcW w:w="7024" w:type="dxa"/>
            <w:tcBorders>
              <w:tl2br w:val="nil"/>
              <w:tr2bl w:val="nil"/>
            </w:tcBorders>
            <w:shd w:val="clear" w:color="auto" w:fill="auto"/>
            <w:vAlign w:val="center"/>
          </w:tcPr>
          <w:p w14:paraId="70C6501A">
            <w:pPr>
              <w:keepNext/>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eastAsia" w:ascii="Times New Roman" w:hAnsi="Times New Roman" w:cs="Times New Roman"/>
                <w:color w:val="000000"/>
                <w:kern w:val="0"/>
                <w:sz w:val="21"/>
                <w:szCs w:val="21"/>
                <w:highlight w:val="none"/>
              </w:rPr>
            </w:pPr>
            <w:r>
              <w:rPr>
                <w:rFonts w:hint="eastAsia" w:ascii="Times New Roman" w:hAnsi="Times New Roman" w:cs="Times New Roman"/>
                <w:color w:val="000000"/>
                <w:kern w:val="0"/>
                <w:sz w:val="21"/>
                <w:szCs w:val="21"/>
                <w:highlight w:val="none"/>
              </w:rPr>
              <w:t>固定污染源废气 二氧化硫的测定 非分散红外吸收法</w:t>
            </w:r>
          </w:p>
        </w:tc>
        <w:tc>
          <w:tcPr>
            <w:tcW w:w="1029" w:type="dxa"/>
            <w:tcBorders>
              <w:tl2br w:val="nil"/>
              <w:tr2bl w:val="nil"/>
            </w:tcBorders>
            <w:shd w:val="clear" w:color="auto" w:fill="auto"/>
            <w:vAlign w:val="center"/>
          </w:tcPr>
          <w:p w14:paraId="4E2E3B8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kern w:val="0"/>
                <w:sz w:val="21"/>
                <w:szCs w:val="21"/>
                <w:highlight w:val="none"/>
              </w:rPr>
            </w:pPr>
            <w:r>
              <w:rPr>
                <w:rFonts w:hint="eastAsia" w:ascii="Times New Roman" w:hAnsi="Times New Roman" w:cs="Times New Roman"/>
                <w:color w:val="000000"/>
                <w:kern w:val="0"/>
                <w:sz w:val="21"/>
                <w:szCs w:val="21"/>
                <w:highlight w:val="none"/>
              </w:rPr>
              <w:t>HJ 629</w:t>
            </w:r>
          </w:p>
        </w:tc>
      </w:tr>
      <w:tr w14:paraId="38A44D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9" w:type="dxa"/>
            <w:vMerge w:val="continue"/>
            <w:tcBorders>
              <w:tl2br w:val="nil"/>
              <w:tr2bl w:val="nil"/>
            </w:tcBorders>
            <w:shd w:val="clear" w:color="auto" w:fill="auto"/>
            <w:vAlign w:val="center"/>
          </w:tcPr>
          <w:p w14:paraId="5F471AF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c>
          <w:tcPr>
            <w:tcW w:w="978" w:type="dxa"/>
            <w:vMerge w:val="continue"/>
            <w:tcBorders>
              <w:tl2br w:val="nil"/>
              <w:tr2bl w:val="nil"/>
            </w:tcBorders>
            <w:shd w:val="clear" w:color="auto" w:fill="auto"/>
            <w:vAlign w:val="center"/>
          </w:tcPr>
          <w:p w14:paraId="3E49307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c>
          <w:tcPr>
            <w:tcW w:w="7024" w:type="dxa"/>
            <w:tcBorders>
              <w:tl2br w:val="nil"/>
              <w:tr2bl w:val="nil"/>
            </w:tcBorders>
            <w:shd w:val="clear" w:color="auto" w:fill="auto"/>
            <w:vAlign w:val="center"/>
          </w:tcPr>
          <w:p w14:paraId="7D2F0876">
            <w:pPr>
              <w:keepNext/>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default" w:ascii="Times New Roman" w:hAnsi="Times New Roman" w:cs="Times New Roman"/>
                <w:color w:val="000000"/>
                <w:kern w:val="0"/>
                <w:sz w:val="21"/>
                <w:szCs w:val="21"/>
                <w:highlight w:val="none"/>
              </w:rPr>
            </w:pPr>
            <w:r>
              <w:rPr>
                <w:rFonts w:hint="eastAsia" w:ascii="Times New Roman" w:hAnsi="Times New Roman" w:cs="Times New Roman"/>
                <w:color w:val="000000"/>
                <w:kern w:val="0"/>
                <w:sz w:val="21"/>
                <w:szCs w:val="21"/>
                <w:highlight w:val="none"/>
              </w:rPr>
              <w:t>固定污染源废气 二氧化硫的测定 便携式紫外吸收法</w:t>
            </w:r>
          </w:p>
        </w:tc>
        <w:tc>
          <w:tcPr>
            <w:tcW w:w="1029" w:type="dxa"/>
            <w:tcBorders>
              <w:tl2br w:val="nil"/>
              <w:tr2bl w:val="nil"/>
            </w:tcBorders>
            <w:shd w:val="clear" w:color="auto" w:fill="auto"/>
            <w:vAlign w:val="center"/>
          </w:tcPr>
          <w:p w14:paraId="20D17C5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eastAsia" w:ascii="Times New Roman" w:hAnsi="Times New Roman" w:cs="Times New Roman"/>
                <w:color w:val="000000"/>
                <w:kern w:val="0"/>
                <w:sz w:val="21"/>
                <w:szCs w:val="21"/>
                <w:highlight w:val="none"/>
              </w:rPr>
              <w:t>HJ 1131</w:t>
            </w:r>
          </w:p>
        </w:tc>
      </w:tr>
      <w:tr w14:paraId="626D5A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9" w:type="dxa"/>
            <w:vMerge w:val="continue"/>
            <w:tcBorders>
              <w:tl2br w:val="nil"/>
              <w:tr2bl w:val="nil"/>
            </w:tcBorders>
            <w:shd w:val="clear" w:color="auto" w:fill="auto"/>
            <w:vAlign w:val="center"/>
          </w:tcPr>
          <w:p w14:paraId="1B08283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c>
          <w:tcPr>
            <w:tcW w:w="978" w:type="dxa"/>
            <w:vMerge w:val="continue"/>
            <w:tcBorders>
              <w:tl2br w:val="nil"/>
              <w:tr2bl w:val="nil"/>
            </w:tcBorders>
            <w:shd w:val="clear" w:color="auto" w:fill="auto"/>
            <w:vAlign w:val="center"/>
          </w:tcPr>
          <w:p w14:paraId="573D01E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c>
          <w:tcPr>
            <w:tcW w:w="7024" w:type="dxa"/>
            <w:tcBorders>
              <w:tl2br w:val="nil"/>
              <w:tr2bl w:val="nil"/>
            </w:tcBorders>
            <w:shd w:val="clear" w:color="auto" w:fill="auto"/>
            <w:vAlign w:val="center"/>
          </w:tcPr>
          <w:p w14:paraId="34C863D7">
            <w:pPr>
              <w:keepNext/>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eastAsia" w:ascii="Times New Roman" w:hAnsi="Times New Roman" w:cs="Times New Roman"/>
                <w:color w:val="000000"/>
                <w:kern w:val="0"/>
                <w:sz w:val="21"/>
                <w:szCs w:val="21"/>
                <w:highlight w:val="none"/>
              </w:rPr>
            </w:pPr>
            <w:r>
              <w:rPr>
                <w:rFonts w:hint="eastAsia" w:ascii="Times New Roman" w:hAnsi="Times New Roman" w:cs="Times New Roman"/>
                <w:color w:val="000000"/>
                <w:kern w:val="0"/>
                <w:sz w:val="21"/>
                <w:szCs w:val="21"/>
                <w:highlight w:val="none"/>
              </w:rPr>
              <w:t>固定污染源废气 气态污染物（SO</w:t>
            </w:r>
            <w:r>
              <w:rPr>
                <w:rFonts w:hint="eastAsia" w:ascii="Times New Roman" w:hAnsi="Times New Roman" w:cs="Times New Roman"/>
                <w:color w:val="000000"/>
                <w:kern w:val="0"/>
                <w:sz w:val="21"/>
                <w:szCs w:val="21"/>
                <w:highlight w:val="none"/>
                <w:vertAlign w:val="subscript"/>
              </w:rPr>
              <w:t>2</w:t>
            </w:r>
            <w:r>
              <w:rPr>
                <w:rFonts w:hint="eastAsia" w:ascii="Times New Roman" w:hAnsi="Times New Roman" w:cs="Times New Roman"/>
                <w:color w:val="000000"/>
                <w:kern w:val="0"/>
                <w:sz w:val="21"/>
                <w:szCs w:val="21"/>
                <w:highlight w:val="none"/>
              </w:rPr>
              <w:t>、NO、NO</w:t>
            </w:r>
            <w:r>
              <w:rPr>
                <w:rFonts w:hint="eastAsia" w:ascii="Times New Roman" w:hAnsi="Times New Roman" w:cs="Times New Roman"/>
                <w:color w:val="000000"/>
                <w:kern w:val="0"/>
                <w:sz w:val="21"/>
                <w:szCs w:val="21"/>
                <w:highlight w:val="none"/>
                <w:vertAlign w:val="subscript"/>
              </w:rPr>
              <w:t>2</w:t>
            </w:r>
            <w:r>
              <w:rPr>
                <w:rFonts w:hint="eastAsia" w:ascii="Times New Roman" w:hAnsi="Times New Roman" w:cs="Times New Roman"/>
                <w:color w:val="000000"/>
                <w:kern w:val="0"/>
                <w:sz w:val="21"/>
                <w:szCs w:val="21"/>
                <w:highlight w:val="none"/>
              </w:rPr>
              <w:t>、CO、CO</w:t>
            </w:r>
            <w:r>
              <w:rPr>
                <w:rFonts w:hint="eastAsia" w:ascii="Times New Roman" w:hAnsi="Times New Roman" w:cs="Times New Roman"/>
                <w:color w:val="000000"/>
                <w:kern w:val="0"/>
                <w:sz w:val="21"/>
                <w:szCs w:val="21"/>
                <w:highlight w:val="none"/>
                <w:vertAlign w:val="subscript"/>
              </w:rPr>
              <w:t>2</w:t>
            </w:r>
            <w:r>
              <w:rPr>
                <w:rFonts w:hint="eastAsia" w:ascii="Times New Roman" w:hAnsi="Times New Roman" w:cs="Times New Roman"/>
                <w:color w:val="000000"/>
                <w:kern w:val="0"/>
                <w:sz w:val="21"/>
                <w:szCs w:val="21"/>
                <w:highlight w:val="none"/>
              </w:rPr>
              <w:t>）的测定 便携式傅立叶变换红外光谱法</w:t>
            </w:r>
          </w:p>
        </w:tc>
        <w:tc>
          <w:tcPr>
            <w:tcW w:w="1029" w:type="dxa"/>
            <w:tcBorders>
              <w:tl2br w:val="nil"/>
              <w:tr2bl w:val="nil"/>
            </w:tcBorders>
            <w:shd w:val="clear" w:color="auto" w:fill="auto"/>
            <w:vAlign w:val="center"/>
          </w:tcPr>
          <w:p w14:paraId="6D4EE6E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kern w:val="0"/>
                <w:sz w:val="21"/>
                <w:szCs w:val="21"/>
                <w:highlight w:val="none"/>
              </w:rPr>
            </w:pPr>
            <w:r>
              <w:rPr>
                <w:rFonts w:hint="eastAsia" w:ascii="Times New Roman" w:hAnsi="Times New Roman" w:cs="Times New Roman"/>
                <w:color w:val="000000"/>
                <w:kern w:val="0"/>
                <w:sz w:val="21"/>
                <w:szCs w:val="21"/>
                <w:highlight w:val="none"/>
              </w:rPr>
              <w:t>HJ 1240</w:t>
            </w:r>
          </w:p>
        </w:tc>
      </w:tr>
      <w:tr w14:paraId="597503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restart"/>
            <w:tcBorders>
              <w:tl2br w:val="nil"/>
              <w:tr2bl w:val="nil"/>
            </w:tcBorders>
            <w:shd w:val="clear" w:color="auto" w:fill="auto"/>
            <w:vAlign w:val="center"/>
          </w:tcPr>
          <w:p w14:paraId="4469A76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cs="Times New Roman"/>
                <w:color w:val="000000"/>
                <w:kern w:val="0"/>
                <w:sz w:val="21"/>
                <w:szCs w:val="21"/>
                <w:highlight w:val="none"/>
                <w:lang w:val="en-US" w:eastAsia="zh-CN"/>
              </w:rPr>
            </w:pPr>
            <w:r>
              <w:rPr>
                <w:rFonts w:hint="eastAsia" w:ascii="Times New Roman" w:hAnsi="Times New Roman" w:cs="Times New Roman"/>
                <w:color w:val="000000"/>
                <w:kern w:val="0"/>
                <w:sz w:val="21"/>
                <w:szCs w:val="21"/>
                <w:highlight w:val="none"/>
                <w:lang w:val="en-US" w:eastAsia="zh-CN"/>
              </w:rPr>
              <w:t>5</w:t>
            </w:r>
          </w:p>
        </w:tc>
        <w:tc>
          <w:tcPr>
            <w:tcW w:w="978" w:type="dxa"/>
            <w:vMerge w:val="restart"/>
            <w:tcBorders>
              <w:tl2br w:val="nil"/>
              <w:tr2bl w:val="nil"/>
            </w:tcBorders>
            <w:shd w:val="clear" w:color="auto" w:fill="auto"/>
            <w:vAlign w:val="center"/>
          </w:tcPr>
          <w:p w14:paraId="419C9E0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eastAsia" w:ascii="Times New Roman" w:hAnsi="Times New Roman" w:cs="Times New Roman"/>
                <w:color w:val="000000"/>
                <w:kern w:val="0"/>
                <w:sz w:val="21"/>
                <w:szCs w:val="21"/>
                <w:highlight w:val="none"/>
              </w:rPr>
              <w:t>氮氧化物</w:t>
            </w:r>
          </w:p>
        </w:tc>
        <w:tc>
          <w:tcPr>
            <w:tcW w:w="7024" w:type="dxa"/>
            <w:tcBorders>
              <w:tl2br w:val="nil"/>
              <w:tr2bl w:val="nil"/>
            </w:tcBorders>
            <w:shd w:val="clear" w:color="auto" w:fill="auto"/>
            <w:vAlign w:val="center"/>
          </w:tcPr>
          <w:p w14:paraId="19E529BC">
            <w:pPr>
              <w:keepNext/>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default" w:ascii="Times New Roman" w:hAnsi="Times New Roman" w:cs="Times New Roman"/>
                <w:color w:val="000000"/>
                <w:kern w:val="0"/>
                <w:sz w:val="21"/>
                <w:szCs w:val="21"/>
                <w:highlight w:val="none"/>
              </w:rPr>
            </w:pPr>
            <w:r>
              <w:rPr>
                <w:rFonts w:hint="eastAsia" w:ascii="Times New Roman" w:hAnsi="Times New Roman" w:cs="Times New Roman"/>
                <w:color w:val="000000"/>
                <w:kern w:val="0"/>
                <w:sz w:val="21"/>
                <w:szCs w:val="21"/>
                <w:highlight w:val="none"/>
              </w:rPr>
              <w:t>固定污染源废气 氮氧化物的测定 非分散红外吸收法</w:t>
            </w:r>
          </w:p>
        </w:tc>
        <w:tc>
          <w:tcPr>
            <w:tcW w:w="1029" w:type="dxa"/>
            <w:tcBorders>
              <w:tl2br w:val="nil"/>
              <w:tr2bl w:val="nil"/>
            </w:tcBorders>
            <w:shd w:val="clear" w:color="auto" w:fill="auto"/>
            <w:vAlign w:val="center"/>
          </w:tcPr>
          <w:p w14:paraId="58711A7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eastAsia" w:ascii="Times New Roman" w:hAnsi="Times New Roman" w:cs="Times New Roman"/>
                <w:color w:val="000000"/>
                <w:kern w:val="0"/>
                <w:sz w:val="21"/>
                <w:szCs w:val="21"/>
                <w:highlight w:val="none"/>
              </w:rPr>
              <w:t>HJ 692</w:t>
            </w:r>
          </w:p>
        </w:tc>
      </w:tr>
      <w:tr w14:paraId="43AA6B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shd w:val="clear" w:color="auto" w:fill="auto"/>
          </w:tcPr>
          <w:p w14:paraId="63EDC31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c>
          <w:tcPr>
            <w:tcW w:w="978" w:type="dxa"/>
            <w:vMerge w:val="continue"/>
            <w:tcBorders>
              <w:tl2br w:val="nil"/>
              <w:tr2bl w:val="nil"/>
            </w:tcBorders>
            <w:shd w:val="clear" w:color="auto" w:fill="auto"/>
            <w:vAlign w:val="center"/>
          </w:tcPr>
          <w:p w14:paraId="057642A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c>
          <w:tcPr>
            <w:tcW w:w="7024" w:type="dxa"/>
            <w:tcBorders>
              <w:tl2br w:val="nil"/>
              <w:tr2bl w:val="nil"/>
            </w:tcBorders>
            <w:shd w:val="clear" w:color="auto" w:fill="auto"/>
            <w:vAlign w:val="center"/>
          </w:tcPr>
          <w:p w14:paraId="5E0A0198">
            <w:pPr>
              <w:keepNext/>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default" w:ascii="Times New Roman" w:hAnsi="Times New Roman" w:cs="Times New Roman"/>
                <w:color w:val="000000"/>
                <w:kern w:val="0"/>
                <w:sz w:val="21"/>
                <w:szCs w:val="21"/>
                <w:highlight w:val="none"/>
              </w:rPr>
            </w:pPr>
            <w:r>
              <w:rPr>
                <w:rFonts w:hint="eastAsia" w:ascii="Times New Roman" w:hAnsi="Times New Roman" w:cs="Times New Roman"/>
                <w:color w:val="000000"/>
                <w:kern w:val="0"/>
                <w:sz w:val="21"/>
                <w:szCs w:val="21"/>
                <w:highlight w:val="none"/>
              </w:rPr>
              <w:t>固定污染源废气 氮氧化物的测定 定电位电解法</w:t>
            </w:r>
          </w:p>
        </w:tc>
        <w:tc>
          <w:tcPr>
            <w:tcW w:w="1029" w:type="dxa"/>
            <w:tcBorders>
              <w:tl2br w:val="nil"/>
              <w:tr2bl w:val="nil"/>
            </w:tcBorders>
            <w:shd w:val="clear" w:color="auto" w:fill="auto"/>
            <w:vAlign w:val="center"/>
          </w:tcPr>
          <w:p w14:paraId="20D0619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eastAsia" w:ascii="Times New Roman" w:hAnsi="Times New Roman" w:cs="Times New Roman"/>
                <w:color w:val="000000"/>
                <w:kern w:val="0"/>
                <w:sz w:val="21"/>
                <w:szCs w:val="21"/>
                <w:highlight w:val="none"/>
              </w:rPr>
              <w:t>HJ 693</w:t>
            </w:r>
          </w:p>
        </w:tc>
      </w:tr>
      <w:tr w14:paraId="43B2CA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shd w:val="clear" w:color="auto" w:fill="auto"/>
          </w:tcPr>
          <w:p w14:paraId="0668716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c>
          <w:tcPr>
            <w:tcW w:w="978" w:type="dxa"/>
            <w:vMerge w:val="continue"/>
            <w:tcBorders>
              <w:tl2br w:val="nil"/>
              <w:tr2bl w:val="nil"/>
            </w:tcBorders>
            <w:shd w:val="clear" w:color="auto" w:fill="auto"/>
            <w:vAlign w:val="center"/>
          </w:tcPr>
          <w:p w14:paraId="4579250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c>
          <w:tcPr>
            <w:tcW w:w="7024" w:type="dxa"/>
            <w:tcBorders>
              <w:tl2br w:val="nil"/>
              <w:tr2bl w:val="nil"/>
            </w:tcBorders>
            <w:shd w:val="clear" w:color="auto" w:fill="auto"/>
            <w:vAlign w:val="center"/>
          </w:tcPr>
          <w:p w14:paraId="36BFE3A8">
            <w:pPr>
              <w:keepNext/>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default" w:ascii="Times New Roman" w:hAnsi="Times New Roman" w:cs="Times New Roman"/>
                <w:color w:val="000000"/>
                <w:kern w:val="0"/>
                <w:sz w:val="21"/>
                <w:szCs w:val="21"/>
                <w:highlight w:val="none"/>
              </w:rPr>
            </w:pPr>
            <w:r>
              <w:rPr>
                <w:rFonts w:hint="eastAsia" w:ascii="Times New Roman" w:hAnsi="Times New Roman" w:cs="Times New Roman"/>
                <w:color w:val="000000"/>
                <w:kern w:val="0"/>
                <w:sz w:val="21"/>
                <w:szCs w:val="21"/>
                <w:highlight w:val="none"/>
              </w:rPr>
              <w:t>固定污染源排气中氮氧化物的测定 紫外分光光度法</w:t>
            </w:r>
          </w:p>
        </w:tc>
        <w:tc>
          <w:tcPr>
            <w:tcW w:w="1029" w:type="dxa"/>
            <w:tcBorders>
              <w:tl2br w:val="nil"/>
              <w:tr2bl w:val="nil"/>
            </w:tcBorders>
            <w:shd w:val="clear" w:color="auto" w:fill="auto"/>
            <w:vAlign w:val="center"/>
          </w:tcPr>
          <w:p w14:paraId="0176D3B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eastAsia" w:ascii="Times New Roman" w:hAnsi="Times New Roman" w:cs="Times New Roman"/>
                <w:color w:val="000000"/>
                <w:kern w:val="0"/>
                <w:sz w:val="21"/>
                <w:szCs w:val="21"/>
                <w:highlight w:val="none"/>
              </w:rPr>
              <w:t>HJ/T 42</w:t>
            </w:r>
          </w:p>
        </w:tc>
      </w:tr>
      <w:tr w14:paraId="2D2F53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shd w:val="clear" w:color="auto" w:fill="auto"/>
          </w:tcPr>
          <w:p w14:paraId="7DE9BA6C">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c>
          <w:tcPr>
            <w:tcW w:w="978" w:type="dxa"/>
            <w:vMerge w:val="continue"/>
            <w:tcBorders>
              <w:tl2br w:val="nil"/>
              <w:tr2bl w:val="nil"/>
            </w:tcBorders>
            <w:shd w:val="clear" w:color="auto" w:fill="auto"/>
            <w:vAlign w:val="center"/>
          </w:tcPr>
          <w:p w14:paraId="2265725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c>
          <w:tcPr>
            <w:tcW w:w="7024" w:type="dxa"/>
            <w:tcBorders>
              <w:tl2br w:val="nil"/>
              <w:tr2bl w:val="nil"/>
            </w:tcBorders>
            <w:shd w:val="clear" w:color="auto" w:fill="auto"/>
            <w:vAlign w:val="center"/>
          </w:tcPr>
          <w:p w14:paraId="13B98682">
            <w:pPr>
              <w:keepNext/>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default" w:ascii="Times New Roman" w:hAnsi="Times New Roman" w:cs="Times New Roman"/>
                <w:color w:val="000000"/>
                <w:kern w:val="0"/>
                <w:sz w:val="21"/>
                <w:szCs w:val="21"/>
                <w:highlight w:val="none"/>
              </w:rPr>
            </w:pPr>
            <w:r>
              <w:rPr>
                <w:rFonts w:hint="eastAsia" w:ascii="Times New Roman" w:hAnsi="Times New Roman" w:cs="Times New Roman"/>
                <w:color w:val="000000"/>
                <w:kern w:val="0"/>
                <w:sz w:val="21"/>
                <w:szCs w:val="21"/>
                <w:highlight w:val="none"/>
              </w:rPr>
              <w:t>固定污染源排气中氮氧化物的测定 盐酸萘乙二胺分光光度法</w:t>
            </w:r>
          </w:p>
        </w:tc>
        <w:tc>
          <w:tcPr>
            <w:tcW w:w="1029" w:type="dxa"/>
            <w:tcBorders>
              <w:tl2br w:val="nil"/>
              <w:tr2bl w:val="nil"/>
            </w:tcBorders>
            <w:shd w:val="clear" w:color="auto" w:fill="auto"/>
            <w:vAlign w:val="center"/>
          </w:tcPr>
          <w:p w14:paraId="62E373B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H</w:t>
            </w:r>
            <w:r>
              <w:rPr>
                <w:rFonts w:hint="eastAsia" w:ascii="Times New Roman" w:hAnsi="Times New Roman" w:cs="Times New Roman"/>
                <w:color w:val="000000"/>
                <w:kern w:val="0"/>
                <w:sz w:val="21"/>
                <w:szCs w:val="21"/>
                <w:highlight w:val="none"/>
              </w:rPr>
              <w:t>J/T 43</w:t>
            </w:r>
          </w:p>
        </w:tc>
      </w:tr>
      <w:tr w14:paraId="67BBC6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shd w:val="clear" w:color="auto" w:fill="auto"/>
          </w:tcPr>
          <w:p w14:paraId="02C61B0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c>
          <w:tcPr>
            <w:tcW w:w="978" w:type="dxa"/>
            <w:vMerge w:val="continue"/>
            <w:tcBorders>
              <w:tl2br w:val="nil"/>
              <w:tr2bl w:val="nil"/>
            </w:tcBorders>
            <w:shd w:val="clear" w:color="auto" w:fill="auto"/>
            <w:vAlign w:val="center"/>
          </w:tcPr>
          <w:p w14:paraId="47527E3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p>
        </w:tc>
        <w:tc>
          <w:tcPr>
            <w:tcW w:w="7024" w:type="dxa"/>
            <w:tcBorders>
              <w:tl2br w:val="nil"/>
              <w:tr2bl w:val="nil"/>
            </w:tcBorders>
            <w:shd w:val="clear" w:color="auto" w:fill="auto"/>
            <w:vAlign w:val="center"/>
          </w:tcPr>
          <w:p w14:paraId="6A3786E3">
            <w:pPr>
              <w:keepNext/>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default" w:ascii="Times New Roman" w:hAnsi="Times New Roman" w:cs="Times New Roman"/>
                <w:color w:val="000000"/>
                <w:kern w:val="0"/>
                <w:sz w:val="21"/>
                <w:szCs w:val="21"/>
                <w:highlight w:val="none"/>
              </w:rPr>
            </w:pPr>
            <w:r>
              <w:rPr>
                <w:rFonts w:hint="eastAsia" w:ascii="Times New Roman" w:hAnsi="Times New Roman" w:cs="Times New Roman"/>
                <w:color w:val="000000"/>
                <w:kern w:val="0"/>
                <w:sz w:val="21"/>
                <w:szCs w:val="21"/>
                <w:highlight w:val="none"/>
              </w:rPr>
              <w:t>固定污染源废气 氮氧化物的测定 便携式紫外吸收法</w:t>
            </w:r>
          </w:p>
        </w:tc>
        <w:tc>
          <w:tcPr>
            <w:tcW w:w="1029" w:type="dxa"/>
            <w:tcBorders>
              <w:tl2br w:val="nil"/>
              <w:tr2bl w:val="nil"/>
            </w:tcBorders>
            <w:shd w:val="clear" w:color="auto" w:fill="auto"/>
            <w:vAlign w:val="center"/>
          </w:tcPr>
          <w:p w14:paraId="3FD4D47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eastAsia" w:ascii="Times New Roman" w:hAnsi="Times New Roman" w:cs="Times New Roman"/>
                <w:color w:val="000000"/>
                <w:kern w:val="0"/>
                <w:sz w:val="21"/>
                <w:szCs w:val="21"/>
                <w:highlight w:val="none"/>
              </w:rPr>
              <w:t>HJ 1132</w:t>
            </w:r>
          </w:p>
        </w:tc>
      </w:tr>
      <w:tr w14:paraId="6AC4E5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70" w:type="dxa"/>
            <w:gridSpan w:val="4"/>
            <w:tcBorders>
              <w:tl2br w:val="nil"/>
              <w:tr2bl w:val="nil"/>
            </w:tcBorders>
            <w:shd w:val="clear" w:color="auto" w:fill="auto"/>
          </w:tcPr>
          <w:p w14:paraId="2C621DFE">
            <w:pPr>
              <w:keepNext/>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eastAsia" w:ascii="Times New Roman" w:hAnsi="Times New Roman" w:cs="Times New Roman"/>
                <w:color w:val="000000"/>
                <w:kern w:val="0"/>
                <w:sz w:val="21"/>
                <w:szCs w:val="21"/>
                <w:highlight w:val="none"/>
                <w:lang w:val="en-US" w:eastAsia="zh-CN"/>
              </w:rPr>
            </w:pPr>
            <w:r>
              <w:rPr>
                <w:rFonts w:hint="eastAsia" w:cs="Times New Roman"/>
                <w:color w:val="000000"/>
                <w:kern w:val="0"/>
                <w:sz w:val="21"/>
                <w:szCs w:val="21"/>
                <w:highlight w:val="none"/>
                <w:lang w:val="en-US" w:eastAsia="zh-CN"/>
              </w:rPr>
              <w:t>注：</w:t>
            </w:r>
            <w:r>
              <w:rPr>
                <w:rFonts w:hint="eastAsia" w:ascii="Times New Roman" w:hAnsi="Times New Roman" w:cs="Times New Roman"/>
                <w:color w:val="000000"/>
                <w:kern w:val="0"/>
                <w:sz w:val="21"/>
                <w:szCs w:val="21"/>
                <w:highlight w:val="none"/>
                <w:lang w:val="en-US" w:eastAsia="zh-CN"/>
              </w:rPr>
              <w:t>a 不适用于苯系物的测定</w:t>
            </w:r>
            <w:r>
              <w:rPr>
                <w:rFonts w:hint="eastAsia" w:cs="Times New Roman"/>
                <w:color w:val="000000"/>
                <w:kern w:val="0"/>
                <w:sz w:val="21"/>
                <w:szCs w:val="21"/>
                <w:highlight w:val="none"/>
                <w:lang w:val="en-US" w:eastAsia="zh-CN"/>
              </w:rPr>
              <w:t>。</w:t>
            </w:r>
          </w:p>
          <w:p w14:paraId="51C1ED28">
            <w:pPr>
              <w:keepNext/>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default" w:ascii="Times New Roman" w:hAnsi="Times New Roman" w:cs="Times New Roman"/>
                <w:color w:val="000000"/>
                <w:kern w:val="0"/>
                <w:sz w:val="21"/>
                <w:szCs w:val="21"/>
                <w:highlight w:val="none"/>
                <w:lang w:val="en-US" w:eastAsia="zh-CN"/>
              </w:rPr>
            </w:pPr>
            <w:r>
              <w:rPr>
                <w:rFonts w:hint="eastAsia"/>
                <w:color w:val="auto"/>
                <w:sz w:val="21"/>
                <w:szCs w:val="21"/>
                <w:highlight w:val="none"/>
                <w:lang w:val="en-US" w:eastAsia="zh-CN"/>
              </w:rPr>
              <w:t xml:space="preserve">b </w:t>
            </w:r>
            <w:r>
              <w:rPr>
                <w:rFonts w:hint="eastAsia"/>
                <w:color w:val="auto"/>
                <w:sz w:val="21"/>
                <w:szCs w:val="21"/>
                <w:highlight w:val="none"/>
              </w:rPr>
              <w:t>不适用于颗粒物浓度小于等于20 mg/m</w:t>
            </w:r>
            <w:r>
              <w:rPr>
                <w:rFonts w:hint="eastAsia"/>
                <w:color w:val="auto"/>
                <w:sz w:val="21"/>
                <w:szCs w:val="21"/>
                <w:highlight w:val="none"/>
                <w:vertAlign w:val="superscript"/>
              </w:rPr>
              <w:t>3</w:t>
            </w:r>
            <w:r>
              <w:rPr>
                <w:rFonts w:hint="eastAsia"/>
                <w:color w:val="auto"/>
                <w:sz w:val="21"/>
                <w:szCs w:val="21"/>
                <w:highlight w:val="none"/>
              </w:rPr>
              <w:t>的废气</w:t>
            </w:r>
            <w:r>
              <w:rPr>
                <w:rFonts w:hint="eastAsia"/>
                <w:color w:val="auto"/>
                <w:sz w:val="21"/>
                <w:szCs w:val="21"/>
                <w:highlight w:val="none"/>
                <w:lang w:eastAsia="zh-CN"/>
              </w:rPr>
              <w:t>。</w:t>
            </w:r>
          </w:p>
        </w:tc>
      </w:tr>
      <w:bookmarkEnd w:id="88"/>
      <w:bookmarkEnd w:id="89"/>
      <w:bookmarkEnd w:id="165"/>
    </w:tbl>
    <w:p w14:paraId="50642FB1">
      <w:pPr>
        <w:pStyle w:val="3"/>
        <w:keepNext/>
        <w:keepLines w:val="0"/>
        <w:pageBreakBefore w:val="0"/>
        <w:widowControl w:val="0"/>
        <w:kinsoku/>
        <w:wordWrap/>
        <w:autoSpaceDE/>
        <w:autoSpaceDN/>
        <w:bidi w:val="0"/>
        <w:rPr>
          <w:rFonts w:hint="default"/>
          <w:highlight w:val="none"/>
        </w:rPr>
      </w:pPr>
      <w:bookmarkStart w:id="167" w:name="_Toc11440"/>
      <w:bookmarkStart w:id="168" w:name="_Toc28855"/>
      <w:bookmarkStart w:id="169" w:name="_Toc26375"/>
      <w:bookmarkStart w:id="170" w:name="_Toc62645455"/>
      <w:r>
        <w:rPr>
          <w:rFonts w:hint="default"/>
          <w:highlight w:val="none"/>
        </w:rPr>
        <w:t>实施与监督</w:t>
      </w:r>
      <w:bookmarkEnd w:id="167"/>
      <w:bookmarkEnd w:id="168"/>
    </w:p>
    <w:p w14:paraId="401ADE58">
      <w:pPr>
        <w:keepNext/>
        <w:keepLines w:val="0"/>
        <w:pageBreakBefore w:val="0"/>
        <w:widowControl w:val="0"/>
        <w:numPr>
          <w:ilvl w:val="0"/>
          <w:numId w:val="13"/>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color w:val="000000"/>
          <w:sz w:val="24"/>
          <w:szCs w:val="22"/>
          <w:highlight w:val="none"/>
          <w:lang w:val="en-US" w:eastAsia="zh-CN"/>
        </w:rPr>
      </w:pPr>
      <w:r>
        <w:rPr>
          <w:rFonts w:hint="default" w:ascii="Times New Roman" w:hAnsi="Times New Roman" w:cs="Times New Roman"/>
          <w:color w:val="000000"/>
          <w:sz w:val="24"/>
          <w:szCs w:val="22"/>
          <w:highlight w:val="none"/>
          <w:lang w:val="en-US" w:eastAsia="zh-CN"/>
        </w:rPr>
        <w:t>本文件由具有管辖权的生态环境主管部门负责监督实施。</w:t>
      </w:r>
    </w:p>
    <w:p w14:paraId="177215A5">
      <w:pPr>
        <w:keepNext/>
        <w:keepLines w:val="0"/>
        <w:pageBreakBefore w:val="0"/>
        <w:widowControl w:val="0"/>
        <w:numPr>
          <w:ilvl w:val="0"/>
          <w:numId w:val="13"/>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color w:val="000000"/>
          <w:sz w:val="24"/>
          <w:szCs w:val="22"/>
          <w:highlight w:val="none"/>
          <w:lang w:val="en-US" w:eastAsia="zh-CN"/>
        </w:rPr>
      </w:pPr>
      <w:r>
        <w:rPr>
          <w:rFonts w:hint="default" w:ascii="Times New Roman" w:hAnsi="Times New Roman" w:cs="Times New Roman"/>
          <w:color w:val="000000"/>
          <w:sz w:val="24"/>
          <w:szCs w:val="22"/>
          <w:highlight w:val="none"/>
          <w:lang w:val="en-US" w:eastAsia="zh-CN"/>
        </w:rPr>
        <w:t>汽车维修企业是实施排放标准的责任主体，应采取必要措施，达到本文件规定的污染物排放控制要求。</w:t>
      </w:r>
    </w:p>
    <w:p w14:paraId="741FE346">
      <w:pPr>
        <w:keepNext/>
        <w:keepLines w:val="0"/>
        <w:pageBreakBefore w:val="0"/>
        <w:widowControl w:val="0"/>
        <w:numPr>
          <w:ilvl w:val="0"/>
          <w:numId w:val="13"/>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color w:val="000000"/>
          <w:sz w:val="24"/>
          <w:szCs w:val="22"/>
          <w:highlight w:val="none"/>
          <w:lang w:val="en-US" w:eastAsia="zh-CN"/>
        </w:rPr>
      </w:pPr>
      <w:r>
        <w:rPr>
          <w:rFonts w:hint="default" w:ascii="Times New Roman" w:hAnsi="Times New Roman" w:cs="Times New Roman"/>
          <w:color w:val="000000"/>
          <w:sz w:val="24"/>
          <w:szCs w:val="22"/>
          <w:highlight w:val="none"/>
          <w:lang w:val="en-US" w:eastAsia="zh-CN"/>
        </w:rPr>
        <w:t>对于有组织排放，按照本文件监测规范要求测得的任意1小时或1小时内平均浓度值超过本文件规定的限值或污染物处理效率低于本文件规定的限值，判定为超标。对于厂区内无组织排放，按照本文件监测规范要求测得的任意1小时或1小时内平均浓度值或任意一次浓度值超过本文件规定的限值，判定为超标。对于企业边界，采用手工监测时，按照本文件监测规范要求测得的任意1小时或1小时内平均浓度值超过本文件规定的限值，判定为超标。</w:t>
      </w:r>
    </w:p>
    <w:p w14:paraId="74F58029">
      <w:pPr>
        <w:keepNext/>
        <w:keepLines w:val="0"/>
        <w:pageBreakBefore w:val="0"/>
        <w:widowControl w:val="0"/>
        <w:numPr>
          <w:ilvl w:val="0"/>
          <w:numId w:val="13"/>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color w:val="000000"/>
          <w:sz w:val="24"/>
          <w:szCs w:val="22"/>
          <w:highlight w:val="none"/>
          <w:lang w:val="en-US" w:eastAsia="zh-CN"/>
        </w:rPr>
      </w:pPr>
      <w:r>
        <w:rPr>
          <w:rFonts w:hint="default" w:ascii="Times New Roman" w:hAnsi="Times New Roman" w:cs="Times New Roman"/>
          <w:color w:val="000000"/>
          <w:sz w:val="24"/>
          <w:szCs w:val="22"/>
          <w:highlight w:val="none"/>
          <w:lang w:val="en-US" w:eastAsia="zh-CN"/>
        </w:rPr>
        <w:t>若同一时段生态环境主管部门现场检查的手工监测数据与自动监测数据不一致，优先使用符合法定监测标准的手工监测数据作为判定是否超标和自动监控设备是否正常运行的依据。</w:t>
      </w:r>
    </w:p>
    <w:p w14:paraId="6E5CAFB9">
      <w:pPr>
        <w:pStyle w:val="2"/>
        <w:keepNext/>
        <w:keepLines w:val="0"/>
        <w:pageBreakBefore w:val="0"/>
        <w:widowControl w:val="0"/>
        <w:numPr>
          <w:ilvl w:val="0"/>
          <w:numId w:val="1"/>
        </w:numPr>
        <w:kinsoku/>
        <w:wordWrap/>
        <w:autoSpaceDE/>
        <w:autoSpaceDN/>
        <w:bidi w:val="0"/>
        <w:rPr>
          <w:rFonts w:hint="default" w:ascii="Times New Roman" w:hAnsi="Times New Roman" w:cs="Times New Roman"/>
          <w:highlight w:val="none"/>
        </w:rPr>
      </w:pPr>
      <w:bookmarkStart w:id="171" w:name="_Toc32632"/>
      <w:bookmarkStart w:id="172" w:name="_Toc14806"/>
      <w:r>
        <w:rPr>
          <w:rFonts w:hint="default" w:ascii="Times New Roman" w:hAnsi="Times New Roman" w:cs="Times New Roman"/>
          <w:highlight w:val="none"/>
        </w:rPr>
        <w:t>技术可行性和经济成本分析</w:t>
      </w:r>
      <w:bookmarkEnd w:id="169"/>
      <w:bookmarkEnd w:id="170"/>
      <w:bookmarkEnd w:id="171"/>
      <w:bookmarkEnd w:id="172"/>
    </w:p>
    <w:p w14:paraId="66FFDBBB">
      <w:pPr>
        <w:pStyle w:val="3"/>
        <w:keepNext/>
        <w:keepLines w:val="0"/>
        <w:pageBreakBefore w:val="0"/>
        <w:widowControl w:val="0"/>
        <w:numPr>
          <w:ilvl w:val="1"/>
          <w:numId w:val="1"/>
        </w:numPr>
        <w:kinsoku/>
        <w:wordWrap/>
        <w:autoSpaceDE/>
        <w:autoSpaceDN/>
        <w:bidi w:val="0"/>
        <w:rPr>
          <w:rFonts w:hint="default" w:ascii="Times New Roman" w:hAnsi="Times New Roman" w:cs="Times New Roman"/>
          <w:highlight w:val="none"/>
        </w:rPr>
      </w:pPr>
      <w:bookmarkStart w:id="173" w:name="_Toc8897"/>
      <w:bookmarkStart w:id="174" w:name="_Toc24807"/>
      <w:bookmarkStart w:id="175" w:name="_Toc62645456"/>
      <w:bookmarkStart w:id="176" w:name="_Toc16393"/>
      <w:r>
        <w:rPr>
          <w:rFonts w:hint="default" w:ascii="Times New Roman" w:hAnsi="Times New Roman" w:cs="Times New Roman"/>
          <w:highlight w:val="none"/>
        </w:rPr>
        <w:t>技术可行性分析</w:t>
      </w:r>
      <w:bookmarkEnd w:id="173"/>
      <w:bookmarkEnd w:id="174"/>
      <w:bookmarkEnd w:id="175"/>
      <w:bookmarkEnd w:id="176"/>
    </w:p>
    <w:p w14:paraId="39E5DB88">
      <w:pPr>
        <w:keepNext/>
        <w:keepLines w:val="0"/>
        <w:pageBreakBefore w:val="0"/>
        <w:widowControl w:val="0"/>
        <w:kinsoku/>
        <w:wordWrap/>
        <w:autoSpaceDE/>
        <w:autoSpaceDN/>
        <w:bidi w:val="0"/>
        <w:rPr>
          <w:rFonts w:hint="default" w:ascii="Times New Roman" w:hAnsi="Times New Roman" w:cs="Times New Roman"/>
          <w:highlight w:val="none"/>
          <w:lang w:val="en-US" w:eastAsia="zh-CN"/>
        </w:rPr>
      </w:pPr>
      <w:r>
        <w:rPr>
          <w:rFonts w:hint="default" w:ascii="Times New Roman" w:hAnsi="Times New Roman" w:cs="Times New Roman"/>
          <w:sz w:val="24"/>
          <w:szCs w:val="32"/>
          <w:highlight w:val="none"/>
          <w:lang w:eastAsia="zh-CN"/>
        </w:rPr>
        <w:t>本</w:t>
      </w:r>
      <w:r>
        <w:rPr>
          <w:rFonts w:hint="eastAsia" w:cs="Times New Roman"/>
          <w:sz w:val="24"/>
          <w:szCs w:val="32"/>
          <w:highlight w:val="none"/>
          <w:lang w:val="en-US" w:eastAsia="zh-CN"/>
        </w:rPr>
        <w:t>文件</w:t>
      </w:r>
      <w:r>
        <w:rPr>
          <w:rFonts w:hint="default" w:ascii="Times New Roman" w:hAnsi="Times New Roman" w:cs="Times New Roman"/>
          <w:sz w:val="24"/>
          <w:szCs w:val="32"/>
          <w:highlight w:val="none"/>
          <w:lang w:eastAsia="zh-CN"/>
        </w:rPr>
        <w:t>规定了汽车维修过程中使用的处于施工状态下涂料中VOCs含量限值应符合GB/T 38597规定的要求，GB/T 38597中未做规定的，应符合GB 24409规定的要求。本</w:t>
      </w:r>
      <w:r>
        <w:rPr>
          <w:rFonts w:hint="eastAsia" w:cs="Times New Roman"/>
          <w:sz w:val="24"/>
          <w:szCs w:val="32"/>
          <w:highlight w:val="none"/>
          <w:lang w:val="en-US" w:eastAsia="zh-CN"/>
        </w:rPr>
        <w:t>文件</w:t>
      </w:r>
      <w:r>
        <w:rPr>
          <w:rFonts w:hint="default" w:ascii="Times New Roman" w:hAnsi="Times New Roman" w:cs="Times New Roman"/>
          <w:sz w:val="24"/>
          <w:szCs w:val="32"/>
          <w:highlight w:val="none"/>
          <w:lang w:eastAsia="zh-CN"/>
        </w:rPr>
        <w:t>引用现有国标限值</w:t>
      </w:r>
      <w:r>
        <w:rPr>
          <w:rFonts w:hint="default" w:ascii="Times New Roman" w:hAnsi="Times New Roman" w:cs="Times New Roman"/>
          <w:sz w:val="24"/>
          <w:szCs w:val="32"/>
          <w:highlight w:val="none"/>
          <w:lang w:val="en-US" w:eastAsia="zh-CN"/>
        </w:rPr>
        <w:t>，具有良好的技术基础，此外现场调研显示我省汽车维修行业的色漆、底漆、中涂和清漆等原辅料部分已实现了低VOCs替代，尤其是</w:t>
      </w:r>
      <w:r>
        <w:rPr>
          <w:rFonts w:hint="default" w:ascii="Times New Roman" w:hAnsi="Times New Roman" w:cs="Times New Roman"/>
          <w:color w:val="000000"/>
          <w:sz w:val="24"/>
          <w:szCs w:val="24"/>
          <w:highlight w:val="none"/>
          <w:lang w:eastAsia="zh-CN"/>
        </w:rPr>
        <w:t>水性底色漆和本色漆均已达到了低</w:t>
      </w:r>
      <w:r>
        <w:rPr>
          <w:rFonts w:hint="default" w:ascii="Times New Roman" w:hAnsi="Times New Roman" w:cs="Times New Roman"/>
          <w:color w:val="000000"/>
          <w:sz w:val="24"/>
          <w:szCs w:val="24"/>
          <w:highlight w:val="none"/>
          <w:lang w:val="en-US" w:eastAsia="zh-CN"/>
        </w:rPr>
        <w:t>VOCs标准，替代技术相对成熟，可行性高。</w:t>
      </w:r>
    </w:p>
    <w:p w14:paraId="5EC251D3">
      <w:pPr>
        <w:keepNext/>
        <w:keepLines w:val="0"/>
        <w:pageBreakBefore w:val="0"/>
        <w:widowControl w:val="0"/>
        <w:kinsoku/>
        <w:wordWrap/>
        <w:autoSpaceDE/>
        <w:autoSpaceDN/>
        <w:bidi w:val="0"/>
        <w:spacing w:line="360" w:lineRule="auto"/>
        <w:ind w:firstLine="480" w:firstLineChars="200"/>
        <w:rPr>
          <w:rFonts w:hint="default" w:ascii="Times New Roman" w:hAnsi="Times New Roman" w:cs="Times New Roman"/>
          <w:sz w:val="24"/>
          <w:szCs w:val="32"/>
          <w:highlight w:val="none"/>
          <w:vertAlign w:val="baseline"/>
          <w:lang w:val="en-US" w:eastAsia="zh-CN"/>
        </w:rPr>
      </w:pPr>
      <w:r>
        <w:rPr>
          <w:rFonts w:hint="default" w:ascii="Times New Roman" w:hAnsi="Times New Roman" w:cs="Times New Roman"/>
          <w:sz w:val="24"/>
          <w:szCs w:val="32"/>
          <w:highlight w:val="none"/>
          <w:lang w:eastAsia="zh-CN"/>
        </w:rPr>
        <w:t>本</w:t>
      </w:r>
      <w:r>
        <w:rPr>
          <w:rFonts w:hint="eastAsia" w:cs="Times New Roman"/>
          <w:sz w:val="24"/>
          <w:szCs w:val="32"/>
          <w:highlight w:val="none"/>
          <w:lang w:val="en-US" w:eastAsia="zh-CN"/>
        </w:rPr>
        <w:t>文件</w:t>
      </w:r>
      <w:r>
        <w:rPr>
          <w:rFonts w:hint="default" w:ascii="Times New Roman" w:hAnsi="Times New Roman" w:cs="Times New Roman"/>
          <w:sz w:val="24"/>
          <w:szCs w:val="32"/>
          <w:highlight w:val="none"/>
          <w:lang w:eastAsia="zh-CN"/>
        </w:rPr>
        <w:t>规定了汽车维修的喷涂废气苯、苯系物、</w:t>
      </w:r>
      <w:r>
        <w:rPr>
          <w:rFonts w:hint="default" w:ascii="Times New Roman" w:hAnsi="Times New Roman" w:cs="Times New Roman"/>
          <w:sz w:val="24"/>
          <w:szCs w:val="32"/>
          <w:highlight w:val="none"/>
          <w:lang w:val="en-US" w:eastAsia="zh-CN"/>
        </w:rPr>
        <w:t>NMHC以及颗粒物的浓度限值</w:t>
      </w:r>
      <w:r>
        <w:rPr>
          <w:rFonts w:hint="default" w:ascii="Times New Roman" w:hAnsi="Times New Roman" w:cs="Times New Roman"/>
          <w:sz w:val="24"/>
          <w:szCs w:val="32"/>
          <w:highlight w:val="none"/>
          <w:vertAlign w:val="baseline"/>
          <w:lang w:val="en-US" w:eastAsia="zh-CN"/>
        </w:rPr>
        <w:t>，调研企业中，80%以上的企业达标，其中未达标企业浓度最高浓度在200mg/m</w:t>
      </w:r>
      <w:r>
        <w:rPr>
          <w:rFonts w:hint="default" w:ascii="Times New Roman" w:hAnsi="Times New Roman" w:cs="Times New Roman"/>
          <w:sz w:val="24"/>
          <w:szCs w:val="32"/>
          <w:highlight w:val="none"/>
          <w:vertAlign w:val="superscript"/>
          <w:lang w:val="en-US" w:eastAsia="zh-CN"/>
        </w:rPr>
        <w:t>3</w:t>
      </w:r>
      <w:r>
        <w:rPr>
          <w:rFonts w:hint="default" w:ascii="Times New Roman" w:hAnsi="Times New Roman" w:cs="Times New Roman"/>
          <w:sz w:val="24"/>
          <w:szCs w:val="32"/>
          <w:highlight w:val="none"/>
          <w:vertAlign w:val="baseline"/>
          <w:lang w:val="en-US" w:eastAsia="zh-CN"/>
        </w:rPr>
        <w:t>左右，通过</w:t>
      </w:r>
      <w:r>
        <w:rPr>
          <w:rFonts w:hint="eastAsia" w:cs="Times New Roman"/>
          <w:sz w:val="24"/>
          <w:szCs w:val="32"/>
          <w:highlight w:val="none"/>
          <w:vertAlign w:val="baseline"/>
          <w:lang w:val="en-US" w:eastAsia="zh-CN"/>
        </w:rPr>
        <w:t>文件</w:t>
      </w:r>
      <w:r>
        <w:rPr>
          <w:rFonts w:hint="default" w:ascii="Times New Roman" w:hAnsi="Times New Roman" w:cs="Times New Roman"/>
          <w:sz w:val="24"/>
          <w:szCs w:val="32"/>
          <w:highlight w:val="none"/>
          <w:vertAlign w:val="baseline"/>
          <w:lang w:val="en-US" w:eastAsia="zh-CN"/>
        </w:rPr>
        <w:t>规定的原辅料低VOCs替代或水性替代，可减少10%~30%的VOCs产生量，进一步通过提高末端治理设施运行效果或采用更为高效的治理设施，治理效率最高可达90%以上，可使得排放废气达标。</w:t>
      </w:r>
    </w:p>
    <w:p w14:paraId="706CD7FF">
      <w:pPr>
        <w:pStyle w:val="3"/>
        <w:keepNext/>
        <w:keepLines w:val="0"/>
        <w:pageBreakBefore w:val="0"/>
        <w:widowControl w:val="0"/>
        <w:numPr>
          <w:ilvl w:val="1"/>
          <w:numId w:val="1"/>
        </w:numPr>
        <w:kinsoku/>
        <w:wordWrap/>
        <w:autoSpaceDE/>
        <w:autoSpaceDN/>
        <w:bidi w:val="0"/>
        <w:rPr>
          <w:rFonts w:hint="default" w:ascii="Times New Roman" w:hAnsi="Times New Roman" w:cs="Times New Roman"/>
          <w:highlight w:val="none"/>
        </w:rPr>
      </w:pPr>
      <w:bookmarkStart w:id="177" w:name="_Toc28188"/>
      <w:bookmarkStart w:id="178" w:name="_Toc2477"/>
      <w:bookmarkStart w:id="179" w:name="_Toc20745"/>
      <w:bookmarkStart w:id="180" w:name="_Toc62645460"/>
      <w:r>
        <w:rPr>
          <w:rFonts w:hint="default" w:ascii="Times New Roman" w:hAnsi="Times New Roman" w:cs="Times New Roman"/>
          <w:highlight w:val="none"/>
          <w:lang w:eastAsia="zh-CN"/>
        </w:rPr>
        <w:t>经济成本</w:t>
      </w:r>
      <w:r>
        <w:rPr>
          <w:rFonts w:hint="default" w:ascii="Times New Roman" w:hAnsi="Times New Roman" w:cs="Times New Roman"/>
          <w:highlight w:val="none"/>
        </w:rPr>
        <w:t>分析</w:t>
      </w:r>
      <w:bookmarkEnd w:id="177"/>
      <w:bookmarkEnd w:id="178"/>
      <w:bookmarkEnd w:id="179"/>
      <w:bookmarkEnd w:id="180"/>
    </w:p>
    <w:p w14:paraId="01BCD425">
      <w:pPr>
        <w:pStyle w:val="4"/>
        <w:keepNext/>
        <w:keepLines w:val="0"/>
        <w:pageBreakBefore w:val="0"/>
        <w:widowControl w:val="0"/>
        <w:kinsoku/>
        <w:wordWrap/>
        <w:autoSpaceDE/>
        <w:autoSpaceDN/>
        <w:bidi w:val="0"/>
        <w:rPr>
          <w:rFonts w:hint="default" w:ascii="Times New Roman" w:hAnsi="Times New Roman" w:eastAsia="宋体" w:cs="Times New Roman"/>
          <w:b/>
          <w:bCs w:val="0"/>
          <w:sz w:val="24"/>
          <w:highlight w:val="none"/>
          <w:lang w:val="en-US" w:eastAsia="zh-CN"/>
        </w:rPr>
      </w:pPr>
      <w:bookmarkStart w:id="181" w:name="_Toc13686"/>
      <w:bookmarkStart w:id="182" w:name="_Toc6755"/>
      <w:bookmarkStart w:id="183" w:name="_Toc62645461"/>
      <w:bookmarkStart w:id="184" w:name="_Toc2063"/>
      <w:r>
        <w:rPr>
          <w:rFonts w:hint="default" w:cs="Times New Roman"/>
          <w:b/>
          <w:bCs w:val="0"/>
          <w:sz w:val="24"/>
          <w:highlight w:val="none"/>
          <w:lang w:val="en-US" w:eastAsia="zh-CN"/>
        </w:rPr>
        <w:t>企业达标成本</w:t>
      </w:r>
      <w:bookmarkEnd w:id="181"/>
      <w:bookmarkEnd w:id="182"/>
    </w:p>
    <w:p w14:paraId="26E32A2A">
      <w:pPr>
        <w:keepNext/>
        <w:keepLines w:val="0"/>
        <w:pageBreakBefore w:val="0"/>
        <w:widowControl w:val="0"/>
        <w:suppressLineNumbers w:val="0"/>
        <w:kinsoku/>
        <w:wordWrap/>
        <w:autoSpaceDE/>
        <w:autoSpaceDN/>
        <w:bidi w:val="0"/>
        <w:jc w:val="left"/>
        <w:rPr>
          <w:rFonts w:hint="eastAsia" w:ascii="Times New Roman" w:hAnsi="Times New Roman" w:eastAsia="宋体" w:cs="Times New Roman"/>
          <w:sz w:val="24"/>
          <w:highlight w:val="none"/>
          <w:lang w:val="en-US" w:eastAsia="zh-CN"/>
        </w:rPr>
      </w:pPr>
      <w:r>
        <w:rPr>
          <w:rFonts w:hint="default" w:ascii="Times New Roman" w:hAnsi="Times New Roman" w:cs="Times New Roman"/>
          <w:sz w:val="24"/>
          <w:highlight w:val="none"/>
          <w:lang w:eastAsia="zh-CN"/>
        </w:rPr>
        <w:t>标准实施后，将有效推动汽车维修行业涂料低</w:t>
      </w:r>
      <w:r>
        <w:rPr>
          <w:rFonts w:hint="default" w:ascii="Times New Roman" w:hAnsi="Times New Roman" w:cs="Times New Roman"/>
          <w:sz w:val="24"/>
          <w:highlight w:val="none"/>
          <w:lang w:val="en-US" w:eastAsia="zh-CN"/>
        </w:rPr>
        <w:t>VOCs</w:t>
      </w:r>
      <w:r>
        <w:rPr>
          <w:rFonts w:hint="default" w:ascii="Times New Roman" w:hAnsi="Times New Roman" w:cs="Times New Roman"/>
          <w:sz w:val="24"/>
          <w:highlight w:val="none"/>
          <w:lang w:eastAsia="zh-CN"/>
        </w:rPr>
        <w:t>替代，从而降低VOCs的产生量，换用低VOCs含量涂料成本大约上升</w:t>
      </w:r>
      <w:r>
        <w:rPr>
          <w:rFonts w:hint="default" w:ascii="Times New Roman" w:hAnsi="Times New Roman" w:cs="Times New Roman"/>
          <w:sz w:val="24"/>
          <w:highlight w:val="none"/>
          <w:lang w:val="en-US" w:eastAsia="zh-CN"/>
        </w:rPr>
        <w:t>2</w:t>
      </w:r>
      <w:r>
        <w:rPr>
          <w:rFonts w:hint="default" w:ascii="Times New Roman" w:hAnsi="Times New Roman" w:cs="Times New Roman"/>
          <w:sz w:val="24"/>
          <w:highlight w:val="none"/>
          <w:lang w:eastAsia="zh-CN"/>
        </w:rPr>
        <w:t>0%</w:t>
      </w:r>
      <w:r>
        <w:rPr>
          <w:rFonts w:hint="eastAsia" w:ascii="Times New Roman" w:hAnsi="Times New Roman" w:cs="Times New Roman"/>
          <w:sz w:val="24"/>
          <w:highlight w:val="none"/>
          <w:lang w:val="en-US" w:eastAsia="zh-CN"/>
        </w:rPr>
        <w:t>~</w:t>
      </w:r>
      <w:r>
        <w:rPr>
          <w:rFonts w:hint="default" w:ascii="Times New Roman" w:hAnsi="Times New Roman" w:cs="Times New Roman"/>
          <w:sz w:val="24"/>
          <w:highlight w:val="none"/>
          <w:lang w:val="en-US" w:eastAsia="zh-CN"/>
        </w:rPr>
        <w:t>4</w:t>
      </w:r>
      <w:r>
        <w:rPr>
          <w:rFonts w:hint="default" w:ascii="Times New Roman" w:hAnsi="Times New Roman" w:cs="Times New Roman"/>
          <w:sz w:val="24"/>
          <w:highlight w:val="none"/>
          <w:lang w:eastAsia="zh-CN"/>
        </w:rPr>
        <w:t>0%左右，喷枪、洗枪机等设备升级改造、涂装工作人员培训等产生的成本约需1</w:t>
      </w:r>
      <w:r>
        <w:rPr>
          <w:rFonts w:hint="eastAsia" w:ascii="Times New Roman" w:hAnsi="Times New Roman" w:cs="Times New Roman"/>
          <w:sz w:val="24"/>
          <w:highlight w:val="none"/>
          <w:lang w:val="en-US" w:eastAsia="zh-CN"/>
        </w:rPr>
        <w:t>~</w:t>
      </w:r>
      <w:r>
        <w:rPr>
          <w:rFonts w:hint="default" w:ascii="Times New Roman" w:hAnsi="Times New Roman" w:cs="Times New Roman"/>
          <w:sz w:val="24"/>
          <w:highlight w:val="none"/>
          <w:lang w:eastAsia="zh-CN"/>
        </w:rPr>
        <w:t>5万元不等。</w:t>
      </w:r>
      <w:r>
        <w:rPr>
          <w:rFonts w:hint="default" w:ascii="Times New Roman" w:hAnsi="Times New Roman" w:cs="Times New Roman"/>
          <w:sz w:val="24"/>
          <w:highlight w:val="none"/>
          <w:lang w:val="en-US" w:eastAsia="zh-CN"/>
        </w:rPr>
        <w:t>但</w:t>
      </w:r>
      <w:r>
        <w:rPr>
          <w:rFonts w:hint="eastAsia" w:ascii="Times New Roman" w:hAnsi="Times New Roman" w:cs="Times New Roman"/>
          <w:sz w:val="24"/>
          <w:highlight w:val="none"/>
          <w:lang w:val="en-US" w:eastAsia="zh-CN"/>
        </w:rPr>
        <w:t>低VOCs</w:t>
      </w:r>
      <w:r>
        <w:rPr>
          <w:rFonts w:hint="default" w:ascii="Times New Roman" w:hAnsi="Times New Roman" w:cs="Times New Roman"/>
          <w:sz w:val="24"/>
          <w:highlight w:val="none"/>
          <w:lang w:val="en-US" w:eastAsia="zh-CN"/>
        </w:rPr>
        <w:t>涂料</w:t>
      </w:r>
      <w:r>
        <w:rPr>
          <w:rFonts w:hint="eastAsia" w:ascii="Times New Roman" w:hAnsi="Times New Roman" w:cs="Times New Roman"/>
          <w:sz w:val="24"/>
          <w:highlight w:val="none"/>
          <w:lang w:val="en-US" w:eastAsia="zh-CN"/>
        </w:rPr>
        <w:t>尤其是水性涂料</w:t>
      </w:r>
      <w:r>
        <w:rPr>
          <w:rFonts w:hint="default" w:ascii="Times New Roman" w:hAnsi="Times New Roman" w:cs="Times New Roman"/>
          <w:sz w:val="24"/>
          <w:highlight w:val="none"/>
          <w:lang w:val="en-US" w:eastAsia="zh-CN"/>
        </w:rPr>
        <w:t>相对于溶剂型油漆，产生的有害废弃</w:t>
      </w:r>
      <w:r>
        <w:rPr>
          <w:rFonts w:hint="eastAsia" w:ascii="Times New Roman" w:hAnsi="Times New Roman" w:cs="Times New Roman"/>
          <w:sz w:val="24"/>
          <w:highlight w:val="none"/>
          <w:lang w:val="en-US" w:eastAsia="zh-CN"/>
        </w:rPr>
        <w:t>物较少，能够减少有害废弃物的处置成本，经济性较好，</w:t>
      </w:r>
      <w:r>
        <w:rPr>
          <w:rFonts w:hint="eastAsia" w:cs="Times New Roman"/>
          <w:sz w:val="24"/>
          <w:highlight w:val="none"/>
          <w:lang w:val="en-US" w:eastAsia="zh-CN"/>
        </w:rPr>
        <w:t>不会对</w:t>
      </w:r>
      <w:r>
        <w:rPr>
          <w:rFonts w:ascii="宋体" w:hAnsi="宋体" w:eastAsia="宋体" w:cs="宋体"/>
          <w:sz w:val="24"/>
          <w:szCs w:val="24"/>
          <w:highlight w:val="none"/>
        </w:rPr>
        <w:t>企业生产成本产生较大影响</w:t>
      </w:r>
      <w:r>
        <w:rPr>
          <w:rFonts w:hint="eastAsia" w:ascii="宋体" w:hAnsi="宋体" w:cs="宋体"/>
          <w:sz w:val="24"/>
          <w:szCs w:val="24"/>
          <w:highlight w:val="none"/>
          <w:lang w:eastAsia="zh-CN"/>
        </w:rPr>
        <w:t>。</w:t>
      </w:r>
    </w:p>
    <w:p w14:paraId="24971132">
      <w:pPr>
        <w:keepNext/>
        <w:keepLines w:val="0"/>
        <w:pageBreakBefore w:val="0"/>
        <w:widowControl w:val="0"/>
        <w:suppressLineNumbers w:val="0"/>
        <w:kinsoku/>
        <w:wordWrap/>
        <w:autoSpaceDE/>
        <w:autoSpaceDN/>
        <w:bidi w:val="0"/>
        <w:jc w:val="left"/>
        <w:rPr>
          <w:rFonts w:hint="default" w:ascii="Times New Roman" w:hAnsi="Times New Roman" w:eastAsia="宋体" w:cs="Times New Roman"/>
          <w:highlight w:val="none"/>
          <w:lang w:val="en-US" w:eastAsia="zh-CN"/>
        </w:rPr>
      </w:pPr>
      <w:r>
        <w:rPr>
          <w:rFonts w:hint="default" w:ascii="Times New Roman" w:hAnsi="Times New Roman" w:cs="Times New Roman"/>
          <w:highlight w:val="none"/>
        </w:rPr>
        <w:t>汽车维修VOCs废气在工业VOCs中属于中低浓度排放，排放量相对较小，企业可接受的成本也有限，因此对于有机溶剂年用量小的小微型企业可全面采用水性、高固体份等低VOCs含量涂料替代技术后加装活性炭吸附等较为简单的治理设施达标排放；对于大中型</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企业推荐采用吸附脱附+催化氧化、吸附浓缩+燃烧等高效组合治理工艺；在</w:t>
      </w:r>
      <w:r>
        <w:rPr>
          <w:rFonts w:hint="default" w:ascii="Times New Roman" w:hAnsi="Times New Roman" w:cs="Times New Roman"/>
          <w:highlight w:val="none"/>
          <w:lang w:eastAsia="zh-CN"/>
        </w:rPr>
        <w:t>汽车维修</w:t>
      </w:r>
      <w:r>
        <w:rPr>
          <w:rFonts w:hint="default" w:ascii="Times New Roman" w:hAnsi="Times New Roman" w:cs="Times New Roman"/>
          <w:highlight w:val="none"/>
        </w:rPr>
        <w:t>企业较为集中的地区建议建立区域集中喷涂中心，可采用投资和运行成本较高的沸石转轮吸附浓缩+燃烧法处理。</w:t>
      </w:r>
      <w:r>
        <w:rPr>
          <w:rFonts w:hint="default" w:ascii="Times New Roman" w:hAnsi="Times New Roman" w:cs="Times New Roman"/>
          <w:highlight w:val="none"/>
          <w:lang w:eastAsia="zh-CN"/>
        </w:rPr>
        <w:t>投资和运行费用见表</w:t>
      </w:r>
      <w:r>
        <w:rPr>
          <w:rFonts w:hint="eastAsia" w:cs="Times New Roman"/>
          <w:highlight w:val="none"/>
          <w:lang w:val="en-US" w:eastAsia="zh-CN"/>
        </w:rPr>
        <w:t>8</w:t>
      </w:r>
      <w:r>
        <w:rPr>
          <w:rFonts w:hint="default" w:ascii="Times New Roman" w:hAnsi="Times New Roman" w:cs="Times New Roman"/>
          <w:highlight w:val="none"/>
          <w:lang w:val="en-US" w:eastAsia="zh-CN"/>
        </w:rPr>
        <w:t>.2-1所示。</w:t>
      </w:r>
    </w:p>
    <w:p w14:paraId="685415E3">
      <w:pPr>
        <w:keepNext/>
        <w:keepLines w:val="0"/>
        <w:pageBreakBefore w:val="0"/>
        <w:widowControl w:val="0"/>
        <w:kinsoku/>
        <w:wordWrap/>
        <w:autoSpaceDE/>
        <w:autoSpaceDN/>
        <w:bidi w:val="0"/>
        <w:ind w:left="0" w:leftChars="0" w:firstLine="0" w:firstLineChars="0"/>
        <w:jc w:val="center"/>
        <w:rPr>
          <w:rFonts w:hint="default" w:ascii="Times New Roman" w:hAnsi="Times New Roman" w:cs="Times New Roman"/>
          <w:highlight w:val="none"/>
          <w:lang w:val="en-US" w:eastAsia="zh-CN"/>
        </w:rPr>
      </w:pPr>
      <w:r>
        <w:rPr>
          <w:rFonts w:hint="default" w:ascii="Times New Roman" w:hAnsi="Times New Roman" w:cs="Times New Roman"/>
          <w:highlight w:val="none"/>
          <w:lang w:val="en-US" w:eastAsia="zh-CN"/>
        </w:rPr>
        <w:t>表</w:t>
      </w:r>
      <w:r>
        <w:rPr>
          <w:rFonts w:hint="eastAsia" w:cs="Times New Roman"/>
          <w:highlight w:val="none"/>
          <w:lang w:val="en-US" w:eastAsia="zh-CN"/>
        </w:rPr>
        <w:t>8</w:t>
      </w:r>
      <w:r>
        <w:rPr>
          <w:rFonts w:hint="default" w:ascii="Times New Roman" w:hAnsi="Times New Roman" w:cs="Times New Roman"/>
          <w:highlight w:val="none"/>
          <w:lang w:val="en-US" w:eastAsia="zh-CN"/>
        </w:rPr>
        <w:t>.2-1 汽车维修行业治理工艺推荐</w:t>
      </w:r>
    </w:p>
    <w:tbl>
      <w:tblPr>
        <w:tblStyle w:val="2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26"/>
        <w:gridCol w:w="2693"/>
        <w:gridCol w:w="2268"/>
        <w:gridCol w:w="2035"/>
      </w:tblGrid>
      <w:tr w14:paraId="37EDC2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526" w:type="dxa"/>
            <w:shd w:val="clear" w:color="000000" w:fill="FFFFFF"/>
            <w:vAlign w:val="center"/>
          </w:tcPr>
          <w:p w14:paraId="65691BDA">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rPr>
            </w:pPr>
            <w:r>
              <w:rPr>
                <w:rFonts w:hint="default" w:ascii="Times New Roman" w:hAnsi="Times New Roman" w:cs="Times New Roman"/>
                <w:b/>
                <w:bCs/>
                <w:color w:val="000000"/>
                <w:kern w:val="0"/>
                <w:sz w:val="21"/>
                <w:szCs w:val="21"/>
                <w:highlight w:val="none"/>
              </w:rPr>
              <w:t>企业类型</w:t>
            </w:r>
          </w:p>
        </w:tc>
        <w:tc>
          <w:tcPr>
            <w:tcW w:w="2693" w:type="dxa"/>
            <w:shd w:val="clear" w:color="000000" w:fill="FFFFFF"/>
            <w:vAlign w:val="center"/>
          </w:tcPr>
          <w:p w14:paraId="2306A06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rPr>
            </w:pPr>
            <w:r>
              <w:rPr>
                <w:rFonts w:hint="default" w:ascii="Times New Roman" w:hAnsi="Times New Roman" w:cs="Times New Roman"/>
                <w:b/>
                <w:bCs/>
                <w:color w:val="000000"/>
                <w:kern w:val="0"/>
                <w:sz w:val="21"/>
                <w:szCs w:val="21"/>
                <w:highlight w:val="none"/>
              </w:rPr>
              <w:t>治理工艺</w:t>
            </w:r>
          </w:p>
        </w:tc>
        <w:tc>
          <w:tcPr>
            <w:tcW w:w="2268" w:type="dxa"/>
            <w:shd w:val="clear" w:color="000000" w:fill="FFFFFF"/>
            <w:vAlign w:val="center"/>
          </w:tcPr>
          <w:p w14:paraId="733A273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rPr>
            </w:pPr>
            <w:r>
              <w:rPr>
                <w:rFonts w:hint="default" w:ascii="Times New Roman" w:hAnsi="Times New Roman" w:cs="Times New Roman"/>
                <w:b/>
                <w:bCs/>
                <w:color w:val="000000"/>
                <w:kern w:val="0"/>
                <w:sz w:val="21"/>
                <w:szCs w:val="21"/>
                <w:highlight w:val="none"/>
              </w:rPr>
              <w:t>投资费用</w:t>
            </w:r>
          </w:p>
        </w:tc>
        <w:tc>
          <w:tcPr>
            <w:tcW w:w="2035" w:type="dxa"/>
            <w:shd w:val="clear" w:color="000000" w:fill="FFFFFF"/>
          </w:tcPr>
          <w:p w14:paraId="02952E0D">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b/>
                <w:bCs/>
                <w:color w:val="000000"/>
                <w:kern w:val="0"/>
                <w:sz w:val="21"/>
                <w:szCs w:val="21"/>
                <w:highlight w:val="none"/>
              </w:rPr>
            </w:pPr>
            <w:r>
              <w:rPr>
                <w:rFonts w:hint="default" w:ascii="Times New Roman" w:hAnsi="Times New Roman" w:cs="Times New Roman"/>
                <w:b/>
                <w:bCs/>
                <w:color w:val="000000"/>
                <w:kern w:val="0"/>
                <w:sz w:val="21"/>
                <w:szCs w:val="21"/>
                <w:highlight w:val="none"/>
              </w:rPr>
              <w:t>运行费用</w:t>
            </w:r>
          </w:p>
        </w:tc>
      </w:tr>
      <w:tr w14:paraId="759ED0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7" w:hRule="atLeast"/>
        </w:trPr>
        <w:tc>
          <w:tcPr>
            <w:tcW w:w="1526" w:type="dxa"/>
            <w:shd w:val="clear" w:color="auto" w:fill="auto"/>
            <w:vAlign w:val="center"/>
          </w:tcPr>
          <w:p w14:paraId="1F7674C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小微型企业</w:t>
            </w:r>
          </w:p>
        </w:tc>
        <w:tc>
          <w:tcPr>
            <w:tcW w:w="2693" w:type="dxa"/>
            <w:shd w:val="clear" w:color="000000" w:fill="FFFFFF"/>
            <w:vAlign w:val="center"/>
          </w:tcPr>
          <w:p w14:paraId="7AF07A2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活性炭吸附</w:t>
            </w:r>
          </w:p>
        </w:tc>
        <w:tc>
          <w:tcPr>
            <w:tcW w:w="2268" w:type="dxa"/>
            <w:shd w:val="clear" w:color="000000" w:fill="FFFFFF"/>
            <w:vAlign w:val="center"/>
          </w:tcPr>
          <w:p w14:paraId="7E3BB8D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eastAsia" w:cs="Times New Roman"/>
                <w:color w:val="000000"/>
                <w:kern w:val="0"/>
                <w:sz w:val="21"/>
                <w:szCs w:val="21"/>
                <w:highlight w:val="none"/>
                <w:lang w:val="en-US" w:eastAsia="zh-CN"/>
              </w:rPr>
              <w:t>2~10</w:t>
            </w:r>
            <w:r>
              <w:rPr>
                <w:rFonts w:hint="default" w:ascii="Times New Roman" w:hAnsi="Times New Roman" w:cs="Times New Roman"/>
                <w:color w:val="000000"/>
                <w:kern w:val="0"/>
                <w:sz w:val="21"/>
                <w:szCs w:val="21"/>
                <w:highlight w:val="none"/>
              </w:rPr>
              <w:t>万元/套</w:t>
            </w:r>
          </w:p>
        </w:tc>
        <w:tc>
          <w:tcPr>
            <w:tcW w:w="2035" w:type="dxa"/>
            <w:shd w:val="clear" w:color="000000" w:fill="FFFFFF"/>
            <w:vAlign w:val="center"/>
          </w:tcPr>
          <w:p w14:paraId="08204749">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eastAsia" w:cs="Times New Roman"/>
                <w:color w:val="000000"/>
                <w:kern w:val="0"/>
                <w:sz w:val="21"/>
                <w:szCs w:val="21"/>
                <w:highlight w:val="none"/>
                <w:lang w:val="en-US" w:eastAsia="zh-CN"/>
              </w:rPr>
              <w:t>1~3</w:t>
            </w:r>
            <w:r>
              <w:rPr>
                <w:rFonts w:hint="default" w:ascii="Times New Roman" w:hAnsi="Times New Roman" w:cs="Times New Roman"/>
                <w:color w:val="000000"/>
                <w:kern w:val="0"/>
                <w:sz w:val="21"/>
                <w:szCs w:val="21"/>
                <w:highlight w:val="none"/>
              </w:rPr>
              <w:t>万元/年</w:t>
            </w:r>
          </w:p>
        </w:tc>
      </w:tr>
      <w:tr w14:paraId="535CD4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3" w:hRule="atLeast"/>
        </w:trPr>
        <w:tc>
          <w:tcPr>
            <w:tcW w:w="1526" w:type="dxa"/>
            <w:vMerge w:val="restart"/>
            <w:shd w:val="clear" w:color="auto" w:fill="auto"/>
            <w:vAlign w:val="center"/>
          </w:tcPr>
          <w:p w14:paraId="0140383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FF0000"/>
                <w:kern w:val="0"/>
                <w:sz w:val="21"/>
                <w:szCs w:val="21"/>
                <w:highlight w:val="none"/>
              </w:rPr>
            </w:pPr>
            <w:r>
              <w:rPr>
                <w:rFonts w:hint="default" w:ascii="Times New Roman" w:hAnsi="Times New Roman" w:cs="Times New Roman"/>
                <w:kern w:val="0"/>
                <w:sz w:val="21"/>
                <w:szCs w:val="21"/>
                <w:highlight w:val="none"/>
              </w:rPr>
              <w:t>大中型企业</w:t>
            </w:r>
          </w:p>
        </w:tc>
        <w:tc>
          <w:tcPr>
            <w:tcW w:w="2693" w:type="dxa"/>
            <w:shd w:val="clear" w:color="000000" w:fill="FFFFFF"/>
            <w:vAlign w:val="center"/>
          </w:tcPr>
          <w:p w14:paraId="1E7F0394">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color w:val="000000"/>
                <w:kern w:val="0"/>
                <w:sz w:val="21"/>
                <w:szCs w:val="21"/>
                <w:highlight w:val="none"/>
                <w:lang w:eastAsia="zh-CN"/>
              </w:rPr>
            </w:pPr>
            <w:r>
              <w:rPr>
                <w:rFonts w:hint="default" w:ascii="Times New Roman" w:hAnsi="Times New Roman" w:cs="Times New Roman"/>
                <w:color w:val="000000"/>
                <w:kern w:val="0"/>
                <w:sz w:val="21"/>
                <w:szCs w:val="21"/>
                <w:highlight w:val="none"/>
              </w:rPr>
              <w:t>吸附浓缩+燃烧</w:t>
            </w:r>
          </w:p>
        </w:tc>
        <w:tc>
          <w:tcPr>
            <w:tcW w:w="2268" w:type="dxa"/>
            <w:shd w:val="clear" w:color="000000" w:fill="FFFFFF"/>
            <w:vAlign w:val="center"/>
          </w:tcPr>
          <w:p w14:paraId="2DF29651">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25</w:t>
            </w:r>
            <w:r>
              <w:rPr>
                <w:rFonts w:hint="eastAsia" w:cs="Times New Roman"/>
                <w:color w:val="000000"/>
                <w:kern w:val="0"/>
                <w:sz w:val="21"/>
                <w:szCs w:val="21"/>
                <w:highlight w:val="none"/>
                <w:lang w:val="en-US" w:eastAsia="zh-CN"/>
              </w:rPr>
              <w:t>~40</w:t>
            </w:r>
            <w:r>
              <w:rPr>
                <w:rFonts w:hint="default" w:ascii="Times New Roman" w:hAnsi="Times New Roman" w:cs="Times New Roman"/>
                <w:color w:val="000000"/>
                <w:kern w:val="0"/>
                <w:sz w:val="21"/>
                <w:szCs w:val="21"/>
                <w:highlight w:val="none"/>
              </w:rPr>
              <w:t>万元/套</w:t>
            </w:r>
          </w:p>
        </w:tc>
        <w:tc>
          <w:tcPr>
            <w:tcW w:w="2035" w:type="dxa"/>
            <w:shd w:val="clear" w:color="000000" w:fill="FFFFFF"/>
            <w:vAlign w:val="center"/>
          </w:tcPr>
          <w:p w14:paraId="38F61F3B">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eastAsia" w:cs="Times New Roman"/>
                <w:color w:val="000000"/>
                <w:kern w:val="0"/>
                <w:sz w:val="21"/>
                <w:szCs w:val="21"/>
                <w:highlight w:val="none"/>
                <w:lang w:val="en-US" w:eastAsia="zh-CN"/>
              </w:rPr>
              <w:t>5~8</w:t>
            </w:r>
            <w:r>
              <w:rPr>
                <w:rFonts w:hint="default" w:ascii="Times New Roman" w:hAnsi="Times New Roman" w:cs="Times New Roman"/>
                <w:color w:val="000000"/>
                <w:kern w:val="0"/>
                <w:sz w:val="21"/>
                <w:szCs w:val="21"/>
                <w:highlight w:val="none"/>
              </w:rPr>
              <w:t>万元/年</w:t>
            </w:r>
          </w:p>
        </w:tc>
      </w:tr>
      <w:tr w14:paraId="3F683F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5" w:hRule="atLeast"/>
        </w:trPr>
        <w:tc>
          <w:tcPr>
            <w:tcW w:w="1526" w:type="dxa"/>
            <w:vMerge w:val="continue"/>
            <w:shd w:val="clear" w:color="auto" w:fill="auto"/>
            <w:vAlign w:val="center"/>
          </w:tcPr>
          <w:p w14:paraId="1F60A862">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0"/>
                <w:sz w:val="21"/>
                <w:szCs w:val="21"/>
                <w:highlight w:val="none"/>
              </w:rPr>
            </w:pPr>
          </w:p>
        </w:tc>
        <w:tc>
          <w:tcPr>
            <w:tcW w:w="2693" w:type="dxa"/>
            <w:shd w:val="clear" w:color="000000" w:fill="FFFFFF"/>
            <w:vAlign w:val="center"/>
          </w:tcPr>
          <w:p w14:paraId="375DFFB6">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000000"/>
                <w:kern w:val="0"/>
                <w:sz w:val="21"/>
                <w:szCs w:val="21"/>
                <w:highlight w:val="none"/>
                <w:lang w:val="en-US" w:eastAsia="zh-CN"/>
              </w:rPr>
            </w:pPr>
            <w:r>
              <w:rPr>
                <w:rFonts w:hint="default" w:ascii="Times New Roman" w:hAnsi="Times New Roman" w:cs="Times New Roman"/>
                <w:color w:val="000000"/>
                <w:kern w:val="0"/>
                <w:sz w:val="21"/>
                <w:szCs w:val="21"/>
                <w:highlight w:val="none"/>
              </w:rPr>
              <w:t>活性炭吸附脱附+</w:t>
            </w:r>
            <w:r>
              <w:rPr>
                <w:rFonts w:hint="eastAsia" w:cs="Times New Roman"/>
                <w:color w:val="000000"/>
                <w:kern w:val="0"/>
                <w:sz w:val="21"/>
                <w:szCs w:val="21"/>
                <w:highlight w:val="none"/>
                <w:lang w:val="en-US" w:eastAsia="zh-CN"/>
              </w:rPr>
              <w:t>催化氧化</w:t>
            </w:r>
          </w:p>
        </w:tc>
        <w:tc>
          <w:tcPr>
            <w:tcW w:w="2268" w:type="dxa"/>
            <w:shd w:val="clear" w:color="000000" w:fill="FFFFFF"/>
            <w:vAlign w:val="center"/>
          </w:tcPr>
          <w:p w14:paraId="58B5DEF7">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10</w:t>
            </w:r>
            <w:r>
              <w:rPr>
                <w:rFonts w:hint="eastAsia" w:cs="Times New Roman"/>
                <w:color w:val="000000"/>
                <w:kern w:val="0"/>
                <w:sz w:val="21"/>
                <w:szCs w:val="21"/>
                <w:highlight w:val="none"/>
                <w:lang w:val="en-US" w:eastAsia="zh-CN"/>
              </w:rPr>
              <w:t>~</w:t>
            </w:r>
            <w:r>
              <w:rPr>
                <w:rFonts w:hint="default" w:ascii="Times New Roman" w:hAnsi="Times New Roman" w:cs="Times New Roman"/>
                <w:color w:val="000000"/>
                <w:kern w:val="0"/>
                <w:sz w:val="21"/>
                <w:szCs w:val="21"/>
                <w:highlight w:val="none"/>
              </w:rPr>
              <w:t>15万/套</w:t>
            </w:r>
          </w:p>
        </w:tc>
        <w:tc>
          <w:tcPr>
            <w:tcW w:w="2035" w:type="dxa"/>
            <w:shd w:val="clear" w:color="000000" w:fill="FFFFFF"/>
            <w:vAlign w:val="center"/>
          </w:tcPr>
          <w:p w14:paraId="6B14583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3</w:t>
            </w:r>
            <w:r>
              <w:rPr>
                <w:rFonts w:hint="eastAsia" w:cs="Times New Roman"/>
                <w:color w:val="000000"/>
                <w:kern w:val="0"/>
                <w:sz w:val="21"/>
                <w:szCs w:val="21"/>
                <w:highlight w:val="none"/>
                <w:lang w:val="en-US" w:eastAsia="zh-CN"/>
              </w:rPr>
              <w:t>~</w:t>
            </w:r>
            <w:r>
              <w:rPr>
                <w:rFonts w:hint="default" w:ascii="Times New Roman" w:hAnsi="Times New Roman" w:cs="Times New Roman"/>
                <w:color w:val="000000"/>
                <w:kern w:val="0"/>
                <w:sz w:val="21"/>
                <w:szCs w:val="21"/>
                <w:highlight w:val="none"/>
              </w:rPr>
              <w:t>5万元/年</w:t>
            </w:r>
          </w:p>
        </w:tc>
      </w:tr>
      <w:tr w14:paraId="50689A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trPr>
        <w:tc>
          <w:tcPr>
            <w:tcW w:w="1526" w:type="dxa"/>
            <w:shd w:val="clear" w:color="auto" w:fill="auto"/>
            <w:vAlign w:val="center"/>
          </w:tcPr>
          <w:p w14:paraId="17FC77F5">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0"/>
                <w:sz w:val="21"/>
                <w:szCs w:val="21"/>
                <w:highlight w:val="none"/>
              </w:rPr>
            </w:pPr>
            <w:r>
              <w:rPr>
                <w:rFonts w:hint="default" w:ascii="Times New Roman" w:hAnsi="Times New Roman" w:cs="Times New Roman"/>
                <w:kern w:val="0"/>
                <w:sz w:val="21"/>
                <w:szCs w:val="21"/>
                <w:highlight w:val="none"/>
              </w:rPr>
              <w:t>集中喷涂中心</w:t>
            </w:r>
          </w:p>
        </w:tc>
        <w:tc>
          <w:tcPr>
            <w:tcW w:w="2693" w:type="dxa"/>
            <w:shd w:val="clear" w:color="000000" w:fill="FFFFFF"/>
            <w:vAlign w:val="center"/>
          </w:tcPr>
          <w:p w14:paraId="4036A7D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沸石转轮吸附浓缩+燃烧法</w:t>
            </w:r>
          </w:p>
        </w:tc>
        <w:tc>
          <w:tcPr>
            <w:tcW w:w="2268" w:type="dxa"/>
            <w:shd w:val="clear" w:color="000000" w:fill="FFFFFF"/>
            <w:vAlign w:val="center"/>
          </w:tcPr>
          <w:p w14:paraId="164A8EB8">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color w:val="000000"/>
                <w:kern w:val="0"/>
                <w:sz w:val="21"/>
                <w:szCs w:val="21"/>
                <w:highlight w:val="none"/>
              </w:rPr>
            </w:pPr>
            <w:r>
              <w:rPr>
                <w:rFonts w:hint="default" w:ascii="Times New Roman" w:hAnsi="Times New Roman" w:cs="Times New Roman"/>
                <w:color w:val="000000"/>
                <w:kern w:val="0"/>
                <w:sz w:val="21"/>
                <w:szCs w:val="21"/>
                <w:highlight w:val="none"/>
              </w:rPr>
              <w:t>200</w:t>
            </w:r>
            <w:r>
              <w:rPr>
                <w:rFonts w:hint="eastAsia" w:cs="Times New Roman"/>
                <w:color w:val="000000"/>
                <w:kern w:val="0"/>
                <w:sz w:val="21"/>
                <w:szCs w:val="21"/>
                <w:highlight w:val="none"/>
                <w:lang w:val="en-US" w:eastAsia="zh-CN"/>
              </w:rPr>
              <w:t>~5</w:t>
            </w:r>
            <w:r>
              <w:rPr>
                <w:rFonts w:hint="default" w:ascii="Times New Roman" w:hAnsi="Times New Roman" w:cs="Times New Roman"/>
                <w:color w:val="000000"/>
                <w:kern w:val="0"/>
                <w:sz w:val="21"/>
                <w:szCs w:val="21"/>
                <w:highlight w:val="none"/>
              </w:rPr>
              <w:t>00万元/套</w:t>
            </w:r>
          </w:p>
        </w:tc>
        <w:tc>
          <w:tcPr>
            <w:tcW w:w="2035" w:type="dxa"/>
            <w:shd w:val="clear" w:color="000000" w:fill="FFFFFF"/>
            <w:vAlign w:val="center"/>
          </w:tcPr>
          <w:p w14:paraId="2F08DB1F">
            <w:pPr>
              <w:keepNext/>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color w:val="000000"/>
                <w:kern w:val="0"/>
                <w:sz w:val="21"/>
                <w:szCs w:val="21"/>
                <w:highlight w:val="none"/>
                <w:lang w:val="en-US" w:eastAsia="zh-CN"/>
              </w:rPr>
            </w:pPr>
            <w:r>
              <w:rPr>
                <w:rFonts w:hint="eastAsia" w:cs="Times New Roman"/>
                <w:color w:val="000000"/>
                <w:kern w:val="0"/>
                <w:sz w:val="21"/>
                <w:szCs w:val="21"/>
                <w:highlight w:val="none"/>
                <w:lang w:val="en-US" w:eastAsia="zh-CN"/>
              </w:rPr>
              <w:t>20~35万元/年</w:t>
            </w:r>
          </w:p>
        </w:tc>
      </w:tr>
    </w:tbl>
    <w:p w14:paraId="772DD602">
      <w:pPr>
        <w:pStyle w:val="4"/>
        <w:keepNext/>
        <w:keepLines w:val="0"/>
        <w:pageBreakBefore w:val="0"/>
        <w:widowControl w:val="0"/>
        <w:kinsoku/>
        <w:wordWrap/>
        <w:autoSpaceDE/>
        <w:autoSpaceDN/>
        <w:bidi w:val="0"/>
        <w:rPr>
          <w:rFonts w:hint="default" w:cs="Times New Roman"/>
          <w:sz w:val="24"/>
          <w:highlight w:val="none"/>
          <w:lang w:val="en-US" w:eastAsia="zh-CN"/>
        </w:rPr>
      </w:pPr>
      <w:bookmarkStart w:id="185" w:name="_Toc28653"/>
      <w:bookmarkStart w:id="186" w:name="_Toc11257"/>
      <w:r>
        <w:rPr>
          <w:rFonts w:hint="default" w:cs="Times New Roman"/>
          <w:sz w:val="24"/>
          <w:highlight w:val="none"/>
          <w:lang w:val="en-US" w:eastAsia="zh-CN"/>
        </w:rPr>
        <w:t>全省达标成本</w:t>
      </w:r>
      <w:bookmarkEnd w:id="185"/>
      <w:bookmarkEnd w:id="186"/>
    </w:p>
    <w:p w14:paraId="4602AFB8">
      <w:pPr>
        <w:keepNext/>
        <w:keepLines w:val="0"/>
        <w:pageBreakBefore w:val="0"/>
        <w:widowControl w:val="0"/>
        <w:kinsoku/>
        <w:wordWrap/>
        <w:autoSpaceDE/>
        <w:autoSpaceDN/>
        <w:bidi w:val="0"/>
        <w:rPr>
          <w:rFonts w:hint="eastAsia"/>
          <w:highlight w:val="none"/>
          <w:lang w:val="en-US" w:eastAsia="zh-CN"/>
        </w:rPr>
      </w:pPr>
      <w:r>
        <w:rPr>
          <w:rFonts w:hint="eastAsia"/>
          <w:highlight w:val="none"/>
          <w:lang w:val="en-US" w:eastAsia="zh-CN"/>
        </w:rPr>
        <w:t>（1）治理设施不符合要求企业达标成本</w:t>
      </w:r>
    </w:p>
    <w:p w14:paraId="33CDAC1D">
      <w:pPr>
        <w:keepNext/>
        <w:keepLines w:val="0"/>
        <w:pageBreakBefore w:val="0"/>
        <w:widowControl w:val="0"/>
        <w:kinsoku/>
        <w:wordWrap/>
        <w:autoSpaceDE/>
        <w:autoSpaceDN/>
        <w:bidi w:val="0"/>
        <w:rPr>
          <w:rFonts w:hint="eastAsia"/>
          <w:highlight w:val="none"/>
          <w:lang w:val="en-US" w:eastAsia="zh-CN"/>
        </w:rPr>
      </w:pPr>
      <w:r>
        <w:rPr>
          <w:rFonts w:hint="eastAsia"/>
          <w:highlight w:val="none"/>
          <w:lang w:val="en-US" w:eastAsia="zh-CN"/>
        </w:rPr>
        <w:t>根据</w:t>
      </w:r>
      <w:r>
        <w:rPr>
          <w:rFonts w:hint="default"/>
          <w:highlight w:val="none"/>
        </w:rPr>
        <w:t>202</w:t>
      </w:r>
      <w:r>
        <w:rPr>
          <w:rFonts w:hint="default"/>
          <w:highlight w:val="none"/>
          <w:lang w:val="en-US" w:eastAsia="zh-CN"/>
        </w:rPr>
        <w:t>3</w:t>
      </w:r>
      <w:r>
        <w:rPr>
          <w:rFonts w:hint="default"/>
          <w:highlight w:val="none"/>
        </w:rPr>
        <w:t>年四川省大气污染源排放清单调查，全省21市（州）涉VOCs喷涂的</w:t>
      </w:r>
      <w:r>
        <w:rPr>
          <w:rFonts w:hint="default"/>
          <w:highlight w:val="none"/>
          <w:lang w:eastAsia="zh-CN"/>
        </w:rPr>
        <w:t>汽车维修</w:t>
      </w:r>
      <w:r>
        <w:rPr>
          <w:rFonts w:hint="default"/>
          <w:highlight w:val="none"/>
        </w:rPr>
        <w:t>企业为4</w:t>
      </w:r>
      <w:r>
        <w:rPr>
          <w:rFonts w:hint="default"/>
          <w:highlight w:val="none"/>
          <w:lang w:val="en-US" w:eastAsia="zh-CN"/>
        </w:rPr>
        <w:t>188</w:t>
      </w:r>
      <w:r>
        <w:rPr>
          <w:rFonts w:hint="default"/>
          <w:highlight w:val="none"/>
        </w:rPr>
        <w:t>家，</w:t>
      </w:r>
      <w:r>
        <w:rPr>
          <w:rFonts w:hint="eastAsia"/>
          <w:highlight w:val="none"/>
          <w:lang w:val="en-US" w:eastAsia="zh-CN"/>
        </w:rPr>
        <w:t>其中17.9%（749家）的企业需更换或安装VOCs末端治理设施（</w:t>
      </w:r>
      <w:r>
        <w:rPr>
          <w:rFonts w:hint="default"/>
          <w:highlight w:val="none"/>
        </w:rPr>
        <w:t>16.3%采用光催化氧化处理技术，0.8%采用喷淋等其他技术，0.8%未上任何治理设施</w:t>
      </w:r>
      <w:r>
        <w:rPr>
          <w:rFonts w:hint="eastAsia"/>
          <w:highlight w:val="none"/>
          <w:lang w:val="en-US" w:eastAsia="zh-CN"/>
        </w:rPr>
        <w:t>），均为小微型企业，因此采用</w:t>
      </w:r>
      <w:r>
        <w:rPr>
          <w:rFonts w:hint="default"/>
          <w:highlight w:val="none"/>
        </w:rPr>
        <w:t>低VOCs含量涂料替代技术后加装活性炭吸附治理设施达标排放</w:t>
      </w:r>
      <w:r>
        <w:rPr>
          <w:rFonts w:hint="eastAsia"/>
          <w:highlight w:val="none"/>
          <w:lang w:eastAsia="zh-CN"/>
        </w:rPr>
        <w:t>，按表</w:t>
      </w:r>
      <w:r>
        <w:rPr>
          <w:rFonts w:hint="eastAsia"/>
          <w:highlight w:val="none"/>
          <w:lang w:val="en-US" w:eastAsia="zh-CN"/>
        </w:rPr>
        <w:t>8.2-1投资费用和运行费用计算，该类企业全省</w:t>
      </w:r>
      <w:r>
        <w:rPr>
          <w:rFonts w:hint="eastAsia"/>
          <w:highlight w:val="none"/>
          <w:lang w:eastAsia="zh-CN"/>
        </w:rPr>
        <w:t>设施投资费用为</w:t>
      </w:r>
      <w:r>
        <w:rPr>
          <w:rFonts w:hint="default"/>
          <w:highlight w:val="none"/>
          <w:lang w:val="en-US" w:eastAsia="zh-CN"/>
        </w:rPr>
        <w:t>1498~7490</w:t>
      </w:r>
      <w:r>
        <w:rPr>
          <w:rFonts w:hint="eastAsia"/>
          <w:highlight w:val="none"/>
          <w:lang w:val="en-US" w:eastAsia="zh-CN"/>
        </w:rPr>
        <w:t>万（平均约4500万），每年投入运行费用为</w:t>
      </w:r>
      <w:r>
        <w:rPr>
          <w:rFonts w:hint="default"/>
          <w:highlight w:val="none"/>
          <w:lang w:val="en-US" w:eastAsia="zh-CN"/>
        </w:rPr>
        <w:t>749~2247</w:t>
      </w:r>
      <w:r>
        <w:rPr>
          <w:rFonts w:hint="eastAsia"/>
          <w:highlight w:val="none"/>
          <w:lang w:val="en-US" w:eastAsia="zh-CN"/>
        </w:rPr>
        <w:t>万元（平均约1500万）。</w:t>
      </w:r>
    </w:p>
    <w:p w14:paraId="09773E59">
      <w:pPr>
        <w:keepNext/>
        <w:keepLines w:val="0"/>
        <w:pageBreakBefore w:val="0"/>
        <w:widowControl w:val="0"/>
        <w:kinsoku/>
        <w:wordWrap/>
        <w:autoSpaceDE/>
        <w:autoSpaceDN/>
        <w:bidi w:val="0"/>
        <w:rPr>
          <w:rFonts w:hint="eastAsia"/>
          <w:highlight w:val="none"/>
          <w:lang w:val="en-US" w:eastAsia="zh-CN"/>
        </w:rPr>
      </w:pPr>
      <w:r>
        <w:rPr>
          <w:rFonts w:hint="eastAsia"/>
          <w:highlight w:val="none"/>
          <w:lang w:val="en-US" w:eastAsia="zh-CN"/>
        </w:rPr>
        <w:t>（2）治理设施符合要求但排放浓度不达标企业达标成本</w:t>
      </w:r>
    </w:p>
    <w:p w14:paraId="369AC0B9">
      <w:pPr>
        <w:keepNext/>
        <w:keepLines w:val="0"/>
        <w:pageBreakBefore w:val="0"/>
        <w:widowControl w:val="0"/>
        <w:kinsoku/>
        <w:wordWrap/>
        <w:autoSpaceDE/>
        <w:autoSpaceDN/>
        <w:bidi w:val="0"/>
        <w:rPr>
          <w:rFonts w:hint="eastAsia"/>
          <w:highlight w:val="none"/>
          <w:lang w:val="en-US" w:eastAsia="zh-CN"/>
        </w:rPr>
      </w:pPr>
      <w:r>
        <w:rPr>
          <w:rFonts w:hint="eastAsia"/>
          <w:highlight w:val="none"/>
          <w:lang w:val="en-US" w:eastAsia="zh-CN"/>
        </w:rPr>
        <w:t>除上述治理设施不符要求的企业外，剩余的3400余家企业中，调研显示约有11%的排气筒非甲烷总烃浓度高于20 mg/m</w:t>
      </w:r>
      <w:r>
        <w:rPr>
          <w:rFonts w:hint="eastAsia"/>
          <w:highlight w:val="none"/>
          <w:vertAlign w:val="superscript"/>
          <w:lang w:val="en-US" w:eastAsia="zh-CN"/>
        </w:rPr>
        <w:t>3</w:t>
      </w:r>
      <w:r>
        <w:rPr>
          <w:rFonts w:hint="eastAsia"/>
          <w:highlight w:val="none"/>
          <w:lang w:val="en-US" w:eastAsia="zh-CN"/>
        </w:rPr>
        <w:t>，其中监测浓度在20~30 mg/m</w:t>
      </w:r>
      <w:r>
        <w:rPr>
          <w:rFonts w:hint="eastAsia"/>
          <w:highlight w:val="none"/>
          <w:vertAlign w:val="superscript"/>
          <w:lang w:val="en-US" w:eastAsia="zh-CN"/>
        </w:rPr>
        <w:t>3</w:t>
      </w:r>
      <w:r>
        <w:rPr>
          <w:rFonts w:hint="eastAsia"/>
          <w:highlight w:val="none"/>
          <w:lang w:val="en-US" w:eastAsia="zh-CN"/>
        </w:rPr>
        <w:t>的企业占2%，通过低VOCs源头替代即可基本实现达标排放，无需额外的成本投入；浓度大于30mg/m</w:t>
      </w:r>
      <w:r>
        <w:rPr>
          <w:rFonts w:hint="eastAsia"/>
          <w:highlight w:val="none"/>
          <w:vertAlign w:val="superscript"/>
          <w:lang w:val="en-US" w:eastAsia="zh-CN"/>
        </w:rPr>
        <w:t>3</w:t>
      </w:r>
      <w:r>
        <w:rPr>
          <w:rFonts w:hint="eastAsia"/>
          <w:highlight w:val="none"/>
          <w:lang w:val="en-US" w:eastAsia="zh-CN"/>
        </w:rPr>
        <w:t>的企业仅靠源头替代仍无法实现达标排放，</w:t>
      </w:r>
      <w:r>
        <w:rPr>
          <w:rFonts w:hint="eastAsia"/>
          <w:highlight w:val="none"/>
          <w:lang w:eastAsia="zh-CN"/>
        </w:rPr>
        <w:t>需进一步提高治理设施的治理效果或更换高效治理设施，这类企业数量</w:t>
      </w:r>
      <w:r>
        <w:rPr>
          <w:rFonts w:hint="eastAsia"/>
          <w:highlight w:val="none"/>
          <w:lang w:val="en-US" w:eastAsia="zh-CN"/>
        </w:rPr>
        <w:t>占比约为9%，按305家计。按企业构成比例推算，需进行整改的小微型和大中型汽修企业分别为300家和5家，其中小微型企业已采用活性炭或其他更高效治理设施，不需改造升级治理设施，仅需提高运行效果，根据5.1清单结果，扣除淘汰类或低效设施占比，活性炭设施占比为88%，燃烧法设施占比为12%，预计300家小微型企业每年增加运行费用为444~1080万</w:t>
      </w:r>
      <w:r>
        <w:rPr>
          <w:rStyle w:val="27"/>
          <w:rFonts w:hint="eastAsia" w:cs="Times New Roman"/>
          <w:highlight w:val="none"/>
          <w:lang w:val="en-US" w:eastAsia="zh-CN"/>
        </w:rPr>
        <w:footnoteReference w:id="0"/>
      </w:r>
      <w:r>
        <w:rPr>
          <w:rFonts w:hint="eastAsia"/>
          <w:highlight w:val="none"/>
          <w:lang w:val="en-US" w:eastAsia="zh-CN"/>
        </w:rPr>
        <w:t>；5家大中型汽修企业按全部进行设施升级为燃烧法估算，需增加一次性投入125~200万，每年运行费用投入25~40万。</w:t>
      </w:r>
    </w:p>
    <w:p w14:paraId="765F1980">
      <w:pPr>
        <w:keepNext/>
        <w:keepLines w:val="0"/>
        <w:pageBreakBefore w:val="0"/>
        <w:widowControl w:val="0"/>
        <w:kinsoku/>
        <w:wordWrap/>
        <w:autoSpaceDE/>
        <w:autoSpaceDN/>
        <w:bidi w:val="0"/>
        <w:rPr>
          <w:rFonts w:hint="default"/>
          <w:highlight w:val="none"/>
          <w:lang w:val="en-US" w:eastAsia="zh-CN"/>
        </w:rPr>
      </w:pPr>
      <w:r>
        <w:rPr>
          <w:rFonts w:hint="eastAsia"/>
          <w:highlight w:val="none"/>
          <w:lang w:val="en-US" w:eastAsia="zh-CN"/>
        </w:rPr>
        <w:t>以上费用合计，平均增加一次性投入约160万，每年运行费用投入约800万。</w:t>
      </w:r>
    </w:p>
    <w:p w14:paraId="779E1172">
      <w:pPr>
        <w:keepNext/>
        <w:keepLines w:val="0"/>
        <w:pageBreakBefore w:val="0"/>
        <w:widowControl w:val="0"/>
        <w:kinsoku/>
        <w:wordWrap/>
        <w:autoSpaceDE/>
        <w:autoSpaceDN/>
        <w:bidi w:val="0"/>
        <w:rPr>
          <w:rFonts w:hint="eastAsia"/>
          <w:highlight w:val="none"/>
          <w:lang w:val="en-US" w:eastAsia="zh-CN"/>
        </w:rPr>
      </w:pPr>
      <w:r>
        <w:rPr>
          <w:rFonts w:hint="eastAsia"/>
          <w:highlight w:val="none"/>
          <w:lang w:val="en-US" w:eastAsia="zh-CN"/>
        </w:rPr>
        <w:t>（3）其他费用</w:t>
      </w:r>
    </w:p>
    <w:p w14:paraId="6DC1E078">
      <w:pPr>
        <w:keepNext/>
        <w:keepLines w:val="0"/>
        <w:pageBreakBefore w:val="0"/>
        <w:widowControl w:val="0"/>
        <w:kinsoku/>
        <w:wordWrap/>
        <w:autoSpaceDE/>
        <w:autoSpaceDN/>
        <w:bidi w:val="0"/>
        <w:rPr>
          <w:rFonts w:hint="default"/>
          <w:highlight w:val="none"/>
          <w:lang w:val="en-US" w:eastAsia="zh-CN"/>
        </w:rPr>
      </w:pPr>
      <w:r>
        <w:rPr>
          <w:rFonts w:hint="eastAsia"/>
          <w:highlight w:val="none"/>
          <w:lang w:val="en-US" w:eastAsia="zh-CN"/>
        </w:rPr>
        <w:t>除VOCs末端治理排放要求外，本标准还对无组织排放及设施运行提出了更为严格的管理要求，预计每家企业需一次性投入1~2万的费用整改，全省</w:t>
      </w:r>
      <w:r>
        <w:rPr>
          <w:rFonts w:hint="default"/>
          <w:highlight w:val="none"/>
        </w:rPr>
        <w:t>4</w:t>
      </w:r>
      <w:r>
        <w:rPr>
          <w:rFonts w:hint="eastAsia"/>
          <w:highlight w:val="none"/>
          <w:lang w:val="en-US" w:eastAsia="zh-CN"/>
        </w:rPr>
        <w:t>000余家企业，预计平均投入费用约为6000万。</w:t>
      </w:r>
    </w:p>
    <w:p w14:paraId="198D44CA">
      <w:pPr>
        <w:keepNext/>
        <w:keepLines w:val="0"/>
        <w:pageBreakBefore w:val="0"/>
        <w:widowControl w:val="0"/>
        <w:kinsoku/>
        <w:wordWrap/>
        <w:autoSpaceDE/>
        <w:autoSpaceDN/>
        <w:bidi w:val="0"/>
        <w:rPr>
          <w:rFonts w:hint="eastAsia"/>
          <w:highlight w:val="none"/>
          <w:lang w:val="en-US" w:eastAsia="zh-CN"/>
        </w:rPr>
      </w:pPr>
      <w:r>
        <w:rPr>
          <w:rFonts w:hint="eastAsia"/>
          <w:highlight w:val="none"/>
          <w:lang w:val="en-US" w:eastAsia="zh-CN"/>
        </w:rPr>
        <w:t>（4）全省合计费用</w:t>
      </w:r>
    </w:p>
    <w:p w14:paraId="580F1AB3">
      <w:pPr>
        <w:keepNext/>
        <w:keepLines w:val="0"/>
        <w:pageBreakBefore w:val="0"/>
        <w:widowControl w:val="0"/>
        <w:kinsoku/>
        <w:wordWrap/>
        <w:autoSpaceDE/>
        <w:autoSpaceDN/>
        <w:bidi w:val="0"/>
        <w:rPr>
          <w:rFonts w:hint="eastAsia"/>
          <w:highlight w:val="none"/>
          <w:lang w:val="en-US" w:eastAsia="zh-CN"/>
        </w:rPr>
      </w:pPr>
      <w:r>
        <w:rPr>
          <w:rFonts w:hint="eastAsia"/>
          <w:highlight w:val="none"/>
          <w:lang w:val="en-US" w:eastAsia="zh-CN"/>
        </w:rPr>
        <w:t>以上全部费用加和，全省汽车维修企业标准实施的一次性投入费用预计约为1亿元，每年投入约2300万。</w:t>
      </w:r>
    </w:p>
    <w:p w14:paraId="685E7846">
      <w:pPr>
        <w:pStyle w:val="2"/>
        <w:keepNext/>
        <w:keepLines w:val="0"/>
        <w:pageBreakBefore w:val="0"/>
        <w:widowControl w:val="0"/>
        <w:numPr>
          <w:ilvl w:val="0"/>
          <w:numId w:val="1"/>
        </w:numPr>
        <w:kinsoku/>
        <w:wordWrap/>
        <w:autoSpaceDE/>
        <w:autoSpaceDN/>
        <w:bidi w:val="0"/>
        <w:rPr>
          <w:rFonts w:hint="default" w:ascii="Times New Roman" w:hAnsi="Times New Roman" w:cs="Times New Roman"/>
          <w:highlight w:val="none"/>
        </w:rPr>
      </w:pPr>
      <w:bookmarkStart w:id="187" w:name="_Toc17975"/>
      <w:bookmarkStart w:id="188" w:name="_Toc13988"/>
      <w:r>
        <w:rPr>
          <w:rFonts w:hint="eastAsia" w:cs="Times New Roman"/>
          <w:highlight w:val="none"/>
          <w:lang w:eastAsia="zh-CN"/>
        </w:rPr>
        <w:t>标</w:t>
      </w:r>
      <w:r>
        <w:rPr>
          <w:rFonts w:hint="default" w:ascii="Times New Roman" w:hAnsi="Times New Roman" w:cs="Times New Roman"/>
          <w:highlight w:val="none"/>
        </w:rPr>
        <w:t>准实施后的环境（减排）效益</w:t>
      </w:r>
      <w:bookmarkEnd w:id="187"/>
      <w:bookmarkEnd w:id="188"/>
    </w:p>
    <w:p w14:paraId="4F90A4FE">
      <w:pPr>
        <w:keepNext/>
        <w:keepLines w:val="0"/>
        <w:pageBreakBefore w:val="0"/>
        <w:widowControl w:val="0"/>
        <w:kinsoku/>
        <w:wordWrap/>
        <w:autoSpaceDE/>
        <w:autoSpaceDN/>
        <w:bidi w:val="0"/>
        <w:rPr>
          <w:rFonts w:hint="default"/>
          <w:highlight w:val="none"/>
        </w:rPr>
      </w:pPr>
      <w:r>
        <w:rPr>
          <w:rFonts w:hint="default"/>
          <w:highlight w:val="none"/>
        </w:rPr>
        <w:t>本标准实施能有效推动汽车维修行业全过程治理水平与环境管理水平，包括低VOCs涂料源头替代、无组织废气收集、末端治理设施升级改造等。根据202</w:t>
      </w:r>
      <w:r>
        <w:rPr>
          <w:rFonts w:hint="default"/>
          <w:highlight w:val="none"/>
          <w:lang w:val="en-US" w:eastAsia="zh-CN"/>
        </w:rPr>
        <w:t>3</w:t>
      </w:r>
      <w:r>
        <w:rPr>
          <w:rFonts w:hint="default"/>
          <w:highlight w:val="none"/>
        </w:rPr>
        <w:t>年四川省大气污染源排放清单结果，四川省</w:t>
      </w:r>
      <w:r>
        <w:rPr>
          <w:rFonts w:hint="default"/>
          <w:highlight w:val="none"/>
          <w:lang w:eastAsia="zh-CN"/>
        </w:rPr>
        <w:t>汽车维修</w:t>
      </w:r>
      <w:r>
        <w:rPr>
          <w:rFonts w:hint="default"/>
          <w:highlight w:val="none"/>
        </w:rPr>
        <w:t>行业共产生</w:t>
      </w:r>
      <w:r>
        <w:rPr>
          <w:rFonts w:hint="default"/>
          <w:highlight w:val="none"/>
          <w:lang w:val="en-US" w:eastAsia="zh-CN"/>
        </w:rPr>
        <w:t>2257</w:t>
      </w:r>
      <w:r>
        <w:rPr>
          <w:rFonts w:hint="default"/>
          <w:highlight w:val="none"/>
        </w:rPr>
        <w:t>吨</w:t>
      </w:r>
      <w:r>
        <w:rPr>
          <w:rFonts w:hint="default"/>
          <w:highlight w:val="none"/>
          <w:lang w:eastAsia="zh-CN"/>
        </w:rPr>
        <w:t>VOCs</w:t>
      </w:r>
      <w:r>
        <w:rPr>
          <w:rFonts w:hint="default"/>
          <w:highlight w:val="none"/>
        </w:rPr>
        <w:t>，</w:t>
      </w:r>
      <w:r>
        <w:rPr>
          <w:rFonts w:hint="default"/>
          <w:highlight w:val="none"/>
          <w:lang w:eastAsia="zh-CN"/>
        </w:rPr>
        <w:t>通过</w:t>
      </w:r>
      <w:r>
        <w:rPr>
          <w:rFonts w:hint="default"/>
          <w:highlight w:val="none"/>
        </w:rPr>
        <w:t>实施</w:t>
      </w:r>
      <w:r>
        <w:rPr>
          <w:rFonts w:hint="default"/>
          <w:highlight w:val="none"/>
          <w:lang w:eastAsia="zh-CN"/>
        </w:rPr>
        <w:t>低</w:t>
      </w:r>
      <w:r>
        <w:rPr>
          <w:rFonts w:hint="default"/>
          <w:highlight w:val="none"/>
          <w:lang w:val="en-US" w:eastAsia="zh-CN"/>
        </w:rPr>
        <w:t>VOCs涂料</w:t>
      </w:r>
      <w:r>
        <w:rPr>
          <w:rFonts w:hint="default"/>
          <w:highlight w:val="none"/>
        </w:rPr>
        <w:t>替代，</w:t>
      </w:r>
      <w:r>
        <w:rPr>
          <w:rFonts w:hint="default"/>
          <w:highlight w:val="none"/>
          <w:lang w:val="en-US" w:eastAsia="zh-CN"/>
        </w:rPr>
        <w:t>VOCs产生量可下降10%~30%</w:t>
      </w:r>
      <w:r>
        <w:rPr>
          <w:rFonts w:hint="default"/>
          <w:highlight w:val="none"/>
        </w:rPr>
        <w:t>，</w:t>
      </w:r>
      <w:r>
        <w:rPr>
          <w:rFonts w:hint="default"/>
          <w:highlight w:val="none"/>
          <w:lang w:eastAsia="zh-CN"/>
        </w:rPr>
        <w:t>减排量最高可达</w:t>
      </w:r>
      <w:r>
        <w:rPr>
          <w:rFonts w:hint="default"/>
          <w:highlight w:val="none"/>
          <w:lang w:val="en-US" w:eastAsia="zh-CN"/>
        </w:rPr>
        <w:t>6</w:t>
      </w:r>
      <w:r>
        <w:rPr>
          <w:rFonts w:hint="eastAsia"/>
          <w:highlight w:val="none"/>
          <w:lang w:val="en-US" w:eastAsia="zh-CN"/>
        </w:rPr>
        <w:t>77</w:t>
      </w:r>
      <w:r>
        <w:rPr>
          <w:rFonts w:hint="default"/>
          <w:highlight w:val="none"/>
          <w:lang w:val="en-US" w:eastAsia="zh-CN"/>
        </w:rPr>
        <w:t>吨；</w:t>
      </w:r>
      <w:r>
        <w:rPr>
          <w:rFonts w:hint="default"/>
          <w:highlight w:val="none"/>
        </w:rPr>
        <w:t>其次四川省目前汽车维修企业VOCs治理效率普遍较低，已有治理设施运行维护水平差，实施排放限值后，如企业VOCs实现达标排放，末端处理装置增设以及提升工艺及捕集效率，根据国家挥发性有机物核算技术指南，提高废气收集率，至少提档改造为活性炭（二级）、活性炭+光氧、吸附浓缩+催化燃烧等组合工艺效率整体至少提高25%（末端去除率15%＋废气收集率10%）去除效率，预计VOCs削减量约为550吨，所以我省依据标准进行</w:t>
      </w:r>
      <w:r>
        <w:rPr>
          <w:rFonts w:hint="default"/>
          <w:highlight w:val="none"/>
          <w:lang w:eastAsia="zh-CN"/>
        </w:rPr>
        <w:t>汽车维修</w:t>
      </w:r>
      <w:r>
        <w:rPr>
          <w:rFonts w:hint="default"/>
          <w:highlight w:val="none"/>
        </w:rPr>
        <w:t>行业整治可以削减</w:t>
      </w:r>
      <w:r>
        <w:rPr>
          <w:rFonts w:hint="default"/>
          <w:highlight w:val="none"/>
          <w:lang w:val="en-US" w:eastAsia="zh-CN"/>
        </w:rPr>
        <w:t>1200余</w:t>
      </w:r>
      <w:r>
        <w:rPr>
          <w:rFonts w:hint="default"/>
          <w:highlight w:val="none"/>
        </w:rPr>
        <w:t>吨VOCs排放，为总量削减做出贡献。</w:t>
      </w:r>
    </w:p>
    <w:p w14:paraId="0DD88B25">
      <w:pPr>
        <w:keepNext/>
        <w:keepLines w:val="0"/>
        <w:pageBreakBefore w:val="0"/>
        <w:widowControl w:val="0"/>
        <w:kinsoku/>
        <w:wordWrap/>
        <w:autoSpaceDE/>
        <w:autoSpaceDN/>
        <w:bidi w:val="0"/>
        <w:rPr>
          <w:rFonts w:hint="eastAsia"/>
          <w:highlight w:val="none"/>
          <w:lang w:val="en-US" w:eastAsia="zh-CN"/>
        </w:rPr>
      </w:pPr>
      <w:r>
        <w:rPr>
          <w:rFonts w:hint="default"/>
          <w:highlight w:val="none"/>
        </w:rPr>
        <w:t>依照本</w:t>
      </w:r>
      <w:r>
        <w:rPr>
          <w:rFonts w:hint="eastAsia"/>
          <w:highlight w:val="none"/>
          <w:lang w:val="en-US" w:eastAsia="zh-CN"/>
        </w:rPr>
        <w:t>文件</w:t>
      </w:r>
      <w:r>
        <w:rPr>
          <w:rFonts w:hint="default"/>
          <w:highlight w:val="none"/>
        </w:rPr>
        <w:t>的实施，部分生产工艺和装备落后、附加值低下、环保设施不到位的企业做不到达标排放，标准的实施将促进企业向规模化、专业化发展，有助于企业下定决心转型升级，改善汽车维修企业的竞争力和周边环境质量，对推动我省汽车维修行业的技术进步和可持续发展具有重要意义。</w:t>
      </w:r>
    </w:p>
    <w:bookmarkEnd w:id="183"/>
    <w:bookmarkEnd w:id="184"/>
    <w:p w14:paraId="2040D2F0">
      <w:pPr>
        <w:keepNext/>
        <w:keepLines w:val="0"/>
        <w:pageBreakBefore w:val="0"/>
        <w:widowControl w:val="0"/>
        <w:kinsoku/>
        <w:wordWrap/>
        <w:autoSpaceDE/>
        <w:autoSpaceDN/>
        <w:bidi w:val="0"/>
        <w:spacing w:line="360" w:lineRule="auto"/>
        <w:ind w:firstLine="480" w:firstLineChars="200"/>
        <w:rPr>
          <w:rFonts w:hint="default" w:ascii="Times New Roman" w:hAnsi="Times New Roman" w:cs="Times New Roman"/>
          <w:sz w:val="24"/>
          <w:highlight w:val="none"/>
        </w:rPr>
      </w:pPr>
    </w:p>
    <w:p w14:paraId="044A85B0">
      <w:pPr>
        <w:keepNext w:val="0"/>
        <w:keepLines w:val="0"/>
        <w:pageBreakBefore w:val="0"/>
        <w:widowControl/>
        <w:kinsoku/>
        <w:wordWrap/>
        <w:autoSpaceDE/>
        <w:autoSpaceDN/>
        <w:bidi w:val="0"/>
        <w:spacing w:line="360" w:lineRule="auto"/>
        <w:ind w:firstLine="480" w:firstLineChars="200"/>
        <w:rPr>
          <w:rFonts w:hint="default" w:ascii="Times New Roman" w:hAnsi="Times New Roman" w:cs="Times New Roman"/>
          <w:sz w:val="24"/>
          <w:highlight w:val="none"/>
        </w:rPr>
      </w:pPr>
    </w:p>
    <w:sectPr>
      <w:footerReference r:id="rId7" w:type="default"/>
      <w:pgSz w:w="11906" w:h="16838"/>
      <w:pgMar w:top="1440" w:right="1797" w:bottom="1440" w:left="1797" w:header="851" w:footer="992" w:gutter="0"/>
      <w:pgBorders>
        <w:top w:val="none" w:sz="0" w:space="0"/>
        <w:left w:val="none" w:sz="0" w:space="0"/>
        <w:bottom w:val="none" w:sz="0" w:space="0"/>
        <w:right w:val="none" w:sz="0" w:space="0"/>
      </w:pgBorders>
      <w:pgNumType w:fmt="decimal"/>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modern"/>
    <w:pitch w:val="default"/>
    <w:sig w:usb0="00000001" w:usb1="080E0000" w:usb2="00000000" w:usb3="00000000" w:csb0="00040000" w:csb1="00000000"/>
  </w:font>
  <w:font w:name="等线">
    <w:panose1 w:val="02010600030101010101"/>
    <w:charset w:val="86"/>
    <w:family w:val="auto"/>
    <w:pitch w:val="default"/>
    <w:sig w:usb0="A00002BF" w:usb1="38CF7CFA" w:usb2="00000016" w:usb3="00000000" w:csb0="0004000F" w:csb1="00000000"/>
  </w:font>
  <w:font w:name="Cambria Math">
    <w:panose1 w:val="02040503050406030204"/>
    <w:charset w:val="00"/>
    <w:family w:val="roman"/>
    <w:pitch w:val="default"/>
    <w:sig w:usb0="E00006FF" w:usb1="420024FF" w:usb2="02000000" w:usb3="00000000" w:csb0="2000019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106732779"/>
    </w:sdtPr>
    <w:sdtContent>
      <w:p w14:paraId="41C2E8BC">
        <w:pPr>
          <w:pStyle w:val="14"/>
          <w:jc w:val="center"/>
        </w:pPr>
        <w:r>
          <w:fldChar w:fldCharType="begin"/>
        </w:r>
        <w:r>
          <w:instrText xml:space="preserve">PAGE   \* MERGEFORMAT</w:instrText>
        </w:r>
        <w:r>
          <w:fldChar w:fldCharType="separate"/>
        </w:r>
        <w:r>
          <w:rPr>
            <w:lang w:val="zh-CN"/>
          </w:rPr>
          <w:t>2</w:t>
        </w:r>
        <w:r>
          <w:fldChar w:fldCharType="end"/>
        </w:r>
      </w:p>
    </w:sdtContent>
  </w:sdt>
  <w:p w14:paraId="28A2A08E">
    <w:pPr>
      <w:pStyle w:val="1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8C42317">
    <w:pPr>
      <w:pStyle w:val="14"/>
      <w:tabs>
        <w:tab w:val="left" w:pos="5657"/>
        <w:tab w:val="clear" w:pos="4153"/>
      </w:tabs>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31" name="文本框 3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806169A">
                          <w:pPr>
                            <w:pStyle w:val="14"/>
                          </w:pPr>
                          <w:r>
                            <w:fldChar w:fldCharType="begin"/>
                          </w:r>
                          <w:r>
                            <w:instrText xml:space="preserve"> PAGE  \* MERGEFORMAT </w:instrText>
                          </w:r>
                          <w:r>
                            <w:fldChar w:fldCharType="separate"/>
                          </w:r>
                          <w:r>
                            <w:t>43</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DWdvJywCAABXBAAADgAAAAAAAAABACAAAAAfAQAAZHJzL2Uyb0RvYy54bWxQSwUGAAAAAAYA&#10;BgBZAQAAvQUAAAAA&#10;">
              <v:fill on="f" focussize="0,0"/>
              <v:stroke on="f" weight="0.5pt"/>
              <v:imagedata o:title=""/>
              <o:lock v:ext="edit" aspectratio="f"/>
              <v:textbox inset="0mm,0mm,0mm,0mm" style="mso-fit-shape-to-text:t;">
                <w:txbxContent>
                  <w:p w14:paraId="1806169A">
                    <w:pPr>
                      <w:pStyle w:val="14"/>
                    </w:pPr>
                    <w:r>
                      <w:fldChar w:fldCharType="begin"/>
                    </w:r>
                    <w:r>
                      <w:instrText xml:space="preserve"> PAGE  \* MERGEFORMAT </w:instrText>
                    </w:r>
                    <w:r>
                      <w:fldChar w:fldCharType="separate"/>
                    </w:r>
                    <w:r>
                      <w:t>43</w:t>
                    </w:r>
                    <w:r>
                      <w:fldChar w:fldCharType="end"/>
                    </w:r>
                  </w:p>
                </w:txbxContent>
              </v:textbox>
            </v:shape>
          </w:pict>
        </mc:Fallback>
      </mc:AlternateContent>
    </w:r>
    <w:r>
      <w:rPr>
        <w:rFonts w:hint="eastAsia"/>
        <w:lang w:eastAsia="zh-CN"/>
      </w:rP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2462870">
    <w:pPr>
      <w:pStyle w:val="14"/>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5" name="文本框 4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2CAA0CC">
                          <w:pPr>
                            <w:pStyle w:val="14"/>
                          </w:pPr>
                          <w:r>
                            <w:fldChar w:fldCharType="begin"/>
                          </w:r>
                          <w:r>
                            <w:instrText xml:space="preserve"> PAGE  \* MERGEFORMAT </w:instrText>
                          </w:r>
                          <w:r>
                            <w:fldChar w:fldCharType="separate"/>
                          </w:r>
                          <w:r>
                            <w:t>74</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o2IpktAgAAVwQAAA4AAABkcnMvZTJvRG9jLnhtbK1UzY7TMBC+I/EO&#10;lu80aWFX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Mo2IpktAgAAVwQAAA4AAAAAAAAAAQAgAAAAHwEAAGRycy9lMm9Eb2MueG1sUEsFBgAAAAAG&#10;AAYAWQEAAL4FAAAAAA==&#10;">
              <v:fill on="f" focussize="0,0"/>
              <v:stroke on="f" weight="0.5pt"/>
              <v:imagedata o:title=""/>
              <o:lock v:ext="edit" aspectratio="f"/>
              <v:textbox inset="0mm,0mm,0mm,0mm" style="mso-fit-shape-to-text:t;">
                <w:txbxContent>
                  <w:p w14:paraId="42CAA0CC">
                    <w:pPr>
                      <w:pStyle w:val="14"/>
                    </w:pPr>
                    <w:r>
                      <w:fldChar w:fldCharType="begin"/>
                    </w:r>
                    <w:r>
                      <w:instrText xml:space="preserve"> PAGE  \* MERGEFORMAT </w:instrText>
                    </w:r>
                    <w:r>
                      <w:fldChar w:fldCharType="separate"/>
                    </w:r>
                    <w:r>
                      <w:t>74</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2">
    <w:p>
      <w:pPr>
        <w:spacing w:line="360" w:lineRule="auto"/>
        <w:ind w:firstLine="480"/>
      </w:pPr>
      <w:r>
        <w:separator/>
      </w:r>
    </w:p>
  </w:footnote>
  <w:footnote w:type="continuationSeparator" w:id="3">
    <w:p>
      <w:pPr>
        <w:spacing w:line="360" w:lineRule="auto"/>
        <w:ind w:firstLine="480"/>
      </w:pPr>
      <w:r>
        <w:continuationSeparator/>
      </w:r>
    </w:p>
  </w:footnote>
  <w:footnote w:id="0">
    <w:p w14:paraId="2F883BB9">
      <w:pPr>
        <w:pStyle w:val="17"/>
        <w:snapToGrid w:val="0"/>
        <w:rPr>
          <w:rFonts w:hint="default" w:eastAsia="宋体"/>
          <w:lang w:val="en-US" w:eastAsia="zh-CN"/>
        </w:rPr>
      </w:pPr>
      <w:r>
        <w:rPr>
          <w:rStyle w:val="27"/>
        </w:rPr>
        <w:footnoteRef/>
      </w:r>
      <w:r>
        <w:t xml:space="preserve"> </w:t>
      </w:r>
      <w:r>
        <w:rPr>
          <w:rFonts w:hint="eastAsia"/>
          <w:lang w:val="en-US" w:eastAsia="zh-CN"/>
        </w:rPr>
        <w:t>264家企业使用活性炭设施，增加运行费用为264~792万；36家企业使用燃烧类治理设施，增加运行费用为180~288万。</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7F69A3D"/>
    <w:multiLevelType w:val="singleLevel"/>
    <w:tmpl w:val="A7F69A3D"/>
    <w:lvl w:ilvl="0" w:tentative="0">
      <w:start w:val="1"/>
      <w:numFmt w:val="decimal"/>
      <w:suff w:val="space"/>
      <w:lvlText w:val="（%1）"/>
      <w:lvlJc w:val="left"/>
    </w:lvl>
  </w:abstractNum>
  <w:abstractNum w:abstractNumId="1">
    <w:nsid w:val="AAC5A1BF"/>
    <w:multiLevelType w:val="singleLevel"/>
    <w:tmpl w:val="AAC5A1BF"/>
    <w:lvl w:ilvl="0" w:tentative="0">
      <w:start w:val="4"/>
      <w:numFmt w:val="decimal"/>
      <w:suff w:val="nothing"/>
      <w:lvlText w:val="（%1）"/>
      <w:lvlJc w:val="left"/>
    </w:lvl>
  </w:abstractNum>
  <w:abstractNum w:abstractNumId="2">
    <w:nsid w:val="BFD58828"/>
    <w:multiLevelType w:val="singleLevel"/>
    <w:tmpl w:val="BFD58828"/>
    <w:lvl w:ilvl="0" w:tentative="0">
      <w:start w:val="1"/>
      <w:numFmt w:val="decimal"/>
      <w:suff w:val="space"/>
      <w:lvlText w:val="（%1）"/>
      <w:lvlJc w:val="left"/>
    </w:lvl>
  </w:abstractNum>
  <w:abstractNum w:abstractNumId="3">
    <w:nsid w:val="E9FE9D9F"/>
    <w:multiLevelType w:val="singleLevel"/>
    <w:tmpl w:val="E9FE9D9F"/>
    <w:lvl w:ilvl="0" w:tentative="0">
      <w:start w:val="1"/>
      <w:numFmt w:val="decimal"/>
      <w:lvlText w:val="%1)"/>
      <w:lvlJc w:val="left"/>
      <w:pPr>
        <w:ind w:left="425" w:hanging="425"/>
      </w:pPr>
      <w:rPr>
        <w:rFonts w:hint="default"/>
      </w:rPr>
    </w:lvl>
  </w:abstractNum>
  <w:abstractNum w:abstractNumId="4">
    <w:nsid w:val="F9C31D78"/>
    <w:multiLevelType w:val="singleLevel"/>
    <w:tmpl w:val="F9C31D78"/>
    <w:lvl w:ilvl="0" w:tentative="0">
      <w:start w:val="1"/>
      <w:numFmt w:val="decimal"/>
      <w:suff w:val="nothing"/>
      <w:lvlText w:val="（%1）"/>
      <w:lvlJc w:val="left"/>
    </w:lvl>
  </w:abstractNum>
  <w:abstractNum w:abstractNumId="5">
    <w:nsid w:val="03E3DC6F"/>
    <w:multiLevelType w:val="multilevel"/>
    <w:tmpl w:val="03E3DC6F"/>
    <w:lvl w:ilvl="0" w:tentative="0">
      <w:start w:val="1"/>
      <w:numFmt w:val="chineseCounting"/>
      <w:pStyle w:val="2"/>
      <w:lvlText w:val="%1、"/>
      <w:lvlJc w:val="left"/>
      <w:pPr>
        <w:ind w:left="432" w:hanging="432"/>
      </w:pPr>
      <w:rPr>
        <w:rFonts w:hint="eastAsia"/>
      </w:rPr>
    </w:lvl>
    <w:lvl w:ilvl="1" w:tentative="0">
      <w:start w:val="1"/>
      <w:numFmt w:val="decimal"/>
      <w:pStyle w:val="3"/>
      <w:isLgl/>
      <w:lvlText w:val="%1.%2."/>
      <w:lvlJc w:val="left"/>
      <w:pPr>
        <w:ind w:left="567" w:leftChars="0" w:hanging="567" w:firstLineChars="0"/>
      </w:pPr>
      <w:rPr>
        <w:rFonts w:hint="eastAsia"/>
      </w:rPr>
    </w:lvl>
    <w:lvl w:ilvl="2" w:tentative="0">
      <w:start w:val="1"/>
      <w:numFmt w:val="decimal"/>
      <w:pStyle w:val="4"/>
      <w:isLgl/>
      <w:lvlText w:val="%1.%2.%3."/>
      <w:lvlJc w:val="left"/>
      <w:pPr>
        <w:ind w:left="567" w:leftChars="0" w:hanging="567" w:firstLineChars="0"/>
      </w:pPr>
      <w:rPr>
        <w:rFonts w:hint="eastAsia"/>
      </w:rPr>
    </w:lvl>
    <w:lvl w:ilvl="3" w:tentative="0">
      <w:start w:val="1"/>
      <w:numFmt w:val="decimal"/>
      <w:pStyle w:val="5"/>
      <w:isLgl/>
      <w:lvlText w:val="%1.%2.%3.%4."/>
      <w:lvlJc w:val="left"/>
      <w:pPr>
        <w:ind w:left="864" w:hanging="864"/>
      </w:pPr>
      <w:rPr>
        <w:rFonts w:hint="eastAsia"/>
      </w:rPr>
    </w:lvl>
    <w:lvl w:ilvl="4" w:tentative="0">
      <w:start w:val="1"/>
      <w:numFmt w:val="decimal"/>
      <w:pStyle w:val="6"/>
      <w:lvlText w:val="%1.%2.%3.%4.%5."/>
      <w:lvlJc w:val="left"/>
      <w:pPr>
        <w:ind w:left="1008" w:hanging="1008"/>
      </w:pPr>
      <w:rPr>
        <w:rFonts w:hint="eastAsia"/>
      </w:rPr>
    </w:lvl>
    <w:lvl w:ilvl="5" w:tentative="0">
      <w:start w:val="1"/>
      <w:numFmt w:val="decimal"/>
      <w:pStyle w:val="7"/>
      <w:lvlText w:val="%1.%2.%3.%4.%5.%6."/>
      <w:lvlJc w:val="left"/>
      <w:pPr>
        <w:ind w:left="1151" w:hanging="1151"/>
      </w:pPr>
      <w:rPr>
        <w:rFonts w:hint="eastAsia"/>
      </w:rPr>
    </w:lvl>
    <w:lvl w:ilvl="6" w:tentative="0">
      <w:start w:val="1"/>
      <w:numFmt w:val="decimal"/>
      <w:pStyle w:val="8"/>
      <w:lvlText w:val="%1.%2.%3.%4.%5.%6.%7."/>
      <w:lvlJc w:val="left"/>
      <w:pPr>
        <w:ind w:left="1296" w:hanging="1296"/>
      </w:pPr>
      <w:rPr>
        <w:rFonts w:hint="eastAsia"/>
      </w:rPr>
    </w:lvl>
    <w:lvl w:ilvl="7" w:tentative="0">
      <w:start w:val="1"/>
      <w:numFmt w:val="decimal"/>
      <w:pStyle w:val="9"/>
      <w:lvlText w:val="%1.%2.%3.%4.%5.%6.%7.%8."/>
      <w:lvlJc w:val="left"/>
      <w:pPr>
        <w:ind w:left="1440" w:hanging="1440"/>
      </w:pPr>
      <w:rPr>
        <w:rFonts w:hint="eastAsia"/>
      </w:rPr>
    </w:lvl>
    <w:lvl w:ilvl="8" w:tentative="0">
      <w:start w:val="1"/>
      <w:numFmt w:val="decimal"/>
      <w:pStyle w:val="10"/>
      <w:lvlText w:val="%1.%2.%3.%4.%5.%6.%7.%8.%9."/>
      <w:lvlJc w:val="left"/>
      <w:pPr>
        <w:ind w:left="1583" w:hanging="1583"/>
      </w:pPr>
      <w:rPr>
        <w:rFonts w:hint="eastAsia"/>
      </w:rPr>
    </w:lvl>
  </w:abstractNum>
  <w:abstractNum w:abstractNumId="6">
    <w:nsid w:val="1F9A3489"/>
    <w:multiLevelType w:val="singleLevel"/>
    <w:tmpl w:val="1F9A3489"/>
    <w:lvl w:ilvl="0" w:tentative="0">
      <w:start w:val="1"/>
      <w:numFmt w:val="decimal"/>
      <w:suff w:val="nothing"/>
      <w:lvlText w:val="（%1）"/>
      <w:lvlJc w:val="left"/>
    </w:lvl>
  </w:abstractNum>
  <w:abstractNum w:abstractNumId="7">
    <w:nsid w:val="3015BA65"/>
    <w:multiLevelType w:val="singleLevel"/>
    <w:tmpl w:val="3015BA65"/>
    <w:lvl w:ilvl="0" w:tentative="0">
      <w:start w:val="1"/>
      <w:numFmt w:val="decimal"/>
      <w:suff w:val="space"/>
      <w:lvlText w:val="（%1）"/>
      <w:lvlJc w:val="left"/>
    </w:lvl>
  </w:abstractNum>
  <w:abstractNum w:abstractNumId="8">
    <w:nsid w:val="34FF1504"/>
    <w:multiLevelType w:val="singleLevel"/>
    <w:tmpl w:val="34FF1504"/>
    <w:lvl w:ilvl="0" w:tentative="0">
      <w:start w:val="1"/>
      <w:numFmt w:val="decimal"/>
      <w:suff w:val="space"/>
      <w:lvlText w:val="（%1）"/>
      <w:lvlJc w:val="left"/>
    </w:lvl>
  </w:abstractNum>
  <w:abstractNum w:abstractNumId="9">
    <w:nsid w:val="6167A50D"/>
    <w:multiLevelType w:val="singleLevel"/>
    <w:tmpl w:val="6167A50D"/>
    <w:lvl w:ilvl="0" w:tentative="0">
      <w:start w:val="1"/>
      <w:numFmt w:val="decimal"/>
      <w:suff w:val="space"/>
      <w:lvlText w:val="（%1）"/>
      <w:lvlJc w:val="left"/>
    </w:lvl>
  </w:abstractNum>
  <w:abstractNum w:abstractNumId="10">
    <w:nsid w:val="646260FA"/>
    <w:multiLevelType w:val="multilevel"/>
    <w:tmpl w:val="646260FA"/>
    <w:lvl w:ilvl="0" w:tentative="0">
      <w:start w:val="1"/>
      <w:numFmt w:val="decimal"/>
      <w:pStyle w:val="49"/>
      <w:suff w:val="nothing"/>
      <w:lvlText w:val="表%1　"/>
      <w:lvlJc w:val="left"/>
      <w:pPr>
        <w:ind w:left="3402" w:firstLine="0"/>
      </w:pPr>
      <w:rPr>
        <w:rFonts w:hint="eastAsia" w:ascii="黑体" w:hAnsi="Times New Roman" w:eastAsia="黑体"/>
        <w:b w:val="0"/>
        <w:i w:val="0"/>
        <w:sz w:val="21"/>
        <w:lang w:val="en-US"/>
      </w:rPr>
    </w:lvl>
    <w:lvl w:ilvl="1" w:tentative="0">
      <w:start w:val="1"/>
      <w:numFmt w:val="decimal"/>
      <w:lvlText w:val="%1.%2"/>
      <w:lvlJc w:val="left"/>
      <w:pPr>
        <w:tabs>
          <w:tab w:val="left" w:pos="4394"/>
        </w:tabs>
        <w:ind w:left="4394" w:hanging="567"/>
      </w:pPr>
      <w:rPr>
        <w:rFonts w:hint="eastAsia"/>
      </w:rPr>
    </w:lvl>
    <w:lvl w:ilvl="2" w:tentative="0">
      <w:start w:val="1"/>
      <w:numFmt w:val="decimal"/>
      <w:lvlText w:val="%1.%2.%3"/>
      <w:lvlJc w:val="left"/>
      <w:pPr>
        <w:tabs>
          <w:tab w:val="left" w:pos="4820"/>
        </w:tabs>
        <w:ind w:left="4820" w:hanging="567"/>
      </w:pPr>
      <w:rPr>
        <w:rFonts w:hint="eastAsia"/>
      </w:rPr>
    </w:lvl>
    <w:lvl w:ilvl="3" w:tentative="0">
      <w:start w:val="1"/>
      <w:numFmt w:val="decimal"/>
      <w:lvlText w:val="%1.%2.%3.%4"/>
      <w:lvlJc w:val="left"/>
      <w:pPr>
        <w:tabs>
          <w:tab w:val="left" w:pos="5386"/>
        </w:tabs>
        <w:ind w:left="5386" w:hanging="708"/>
      </w:pPr>
      <w:rPr>
        <w:rFonts w:hint="eastAsia"/>
      </w:rPr>
    </w:lvl>
    <w:lvl w:ilvl="4" w:tentative="0">
      <w:start w:val="1"/>
      <w:numFmt w:val="decimal"/>
      <w:lvlText w:val="%1.%2.%3.%4.%5"/>
      <w:lvlJc w:val="left"/>
      <w:pPr>
        <w:tabs>
          <w:tab w:val="left" w:pos="5953"/>
        </w:tabs>
        <w:ind w:left="5953" w:hanging="850"/>
      </w:pPr>
      <w:rPr>
        <w:rFonts w:hint="eastAsia"/>
      </w:rPr>
    </w:lvl>
    <w:lvl w:ilvl="5" w:tentative="0">
      <w:start w:val="1"/>
      <w:numFmt w:val="decimal"/>
      <w:lvlText w:val="%1.%2.%3.%4.%5.%6"/>
      <w:lvlJc w:val="left"/>
      <w:pPr>
        <w:tabs>
          <w:tab w:val="left" w:pos="6662"/>
        </w:tabs>
        <w:ind w:left="6662" w:hanging="1134"/>
      </w:pPr>
      <w:rPr>
        <w:rFonts w:hint="eastAsia"/>
      </w:rPr>
    </w:lvl>
    <w:lvl w:ilvl="6" w:tentative="0">
      <w:start w:val="1"/>
      <w:numFmt w:val="decimal"/>
      <w:lvlText w:val="%1.%2.%3.%4.%5.%6.%7"/>
      <w:lvlJc w:val="left"/>
      <w:pPr>
        <w:tabs>
          <w:tab w:val="left" w:pos="7229"/>
        </w:tabs>
        <w:ind w:left="7229" w:hanging="1276"/>
      </w:pPr>
      <w:rPr>
        <w:rFonts w:hint="eastAsia"/>
      </w:rPr>
    </w:lvl>
    <w:lvl w:ilvl="7" w:tentative="0">
      <w:start w:val="1"/>
      <w:numFmt w:val="decimal"/>
      <w:lvlText w:val="%1.%2.%3.%4.%5.%6.%7.%8"/>
      <w:lvlJc w:val="left"/>
      <w:pPr>
        <w:tabs>
          <w:tab w:val="left" w:pos="7796"/>
        </w:tabs>
        <w:ind w:left="7796" w:hanging="1418"/>
      </w:pPr>
      <w:rPr>
        <w:rFonts w:hint="eastAsia"/>
      </w:rPr>
    </w:lvl>
    <w:lvl w:ilvl="8" w:tentative="0">
      <w:start w:val="1"/>
      <w:numFmt w:val="decimal"/>
      <w:lvlText w:val="%1.%2.%3.%4.%5.%6.%7.%8.%9"/>
      <w:lvlJc w:val="left"/>
      <w:pPr>
        <w:tabs>
          <w:tab w:val="left" w:pos="8504"/>
        </w:tabs>
        <w:ind w:left="8504" w:hanging="1700"/>
      </w:pPr>
      <w:rPr>
        <w:rFonts w:hint="eastAsia"/>
      </w:rPr>
    </w:lvl>
  </w:abstractNum>
  <w:abstractNum w:abstractNumId="11">
    <w:nsid w:val="73489859"/>
    <w:multiLevelType w:val="singleLevel"/>
    <w:tmpl w:val="73489859"/>
    <w:lvl w:ilvl="0" w:tentative="0">
      <w:start w:val="4"/>
      <w:numFmt w:val="decimal"/>
      <w:suff w:val="nothing"/>
      <w:lvlText w:val="（%1）"/>
      <w:lvlJc w:val="left"/>
    </w:lvl>
  </w:abstractNum>
  <w:abstractNum w:abstractNumId="12">
    <w:nsid w:val="74C3E04B"/>
    <w:multiLevelType w:val="singleLevel"/>
    <w:tmpl w:val="74C3E04B"/>
    <w:lvl w:ilvl="0" w:tentative="0">
      <w:start w:val="1"/>
      <w:numFmt w:val="decimal"/>
      <w:suff w:val="space"/>
      <w:lvlText w:val="（%1）"/>
      <w:lvlJc w:val="left"/>
    </w:lvl>
  </w:abstractNum>
  <w:num w:numId="1">
    <w:abstractNumId w:val="5"/>
  </w:num>
  <w:num w:numId="2">
    <w:abstractNumId w:val="10"/>
  </w:num>
  <w:num w:numId="3">
    <w:abstractNumId w:val="4"/>
  </w:num>
  <w:num w:numId="4">
    <w:abstractNumId w:val="6"/>
  </w:num>
  <w:num w:numId="5">
    <w:abstractNumId w:val="1"/>
  </w:num>
  <w:num w:numId="6">
    <w:abstractNumId w:val="11"/>
  </w:num>
  <w:num w:numId="7">
    <w:abstractNumId w:val="3"/>
  </w:num>
  <w:num w:numId="8">
    <w:abstractNumId w:val="0"/>
  </w:num>
  <w:num w:numId="9">
    <w:abstractNumId w:val="12"/>
  </w:num>
  <w:num w:numId="10">
    <w:abstractNumId w:val="9"/>
  </w:num>
  <w:num w:numId="11">
    <w:abstractNumId w:val="7"/>
  </w:num>
  <w:num w:numId="12">
    <w:abstractNumId w:val="2"/>
  </w:num>
  <w:num w:numId="1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0"/>
  <w:bordersDoNotSurroundFooter w:val="0"/>
  <w:hideSpellingErrors/>
  <w:documentProtection w:enforcement="0"/>
  <w:defaultTabStop w:val="120"/>
  <w:drawingGridVerticalSpacing w:val="159"/>
  <w:displayHorizontalDrawingGridEvery w:val="1"/>
  <w:displayVerticalDrawingGridEvery w:val="1"/>
  <w:noPunctuationKerning w:val="1"/>
  <w:characterSpacingControl w:val="compressPunctuation"/>
  <w:footnotePr>
    <w:footnote w:id="2"/>
    <w:footnote w:id="3"/>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mEyZDAzNDAyMTMwYmU3NDQ2ZTI1NzNjYWQxZGE1NjgifQ=="/>
  </w:docVars>
  <w:rsids>
    <w:rsidRoot w:val="00E37989"/>
    <w:rsid w:val="00012DB6"/>
    <w:rsid w:val="00014884"/>
    <w:rsid w:val="00023566"/>
    <w:rsid w:val="00034258"/>
    <w:rsid w:val="000409AE"/>
    <w:rsid w:val="000542B6"/>
    <w:rsid w:val="00066891"/>
    <w:rsid w:val="00072B28"/>
    <w:rsid w:val="00085888"/>
    <w:rsid w:val="000B73A0"/>
    <w:rsid w:val="00102A4E"/>
    <w:rsid w:val="00116C52"/>
    <w:rsid w:val="001251A0"/>
    <w:rsid w:val="0013183C"/>
    <w:rsid w:val="00142DB9"/>
    <w:rsid w:val="00146E68"/>
    <w:rsid w:val="001631BF"/>
    <w:rsid w:val="001653E0"/>
    <w:rsid w:val="00180BA3"/>
    <w:rsid w:val="00187E0E"/>
    <w:rsid w:val="001921CD"/>
    <w:rsid w:val="001974A5"/>
    <w:rsid w:val="001B341C"/>
    <w:rsid w:val="001E1D12"/>
    <w:rsid w:val="001E742D"/>
    <w:rsid w:val="00201617"/>
    <w:rsid w:val="0020553F"/>
    <w:rsid w:val="00210728"/>
    <w:rsid w:val="00216B0A"/>
    <w:rsid w:val="00220B04"/>
    <w:rsid w:val="00230397"/>
    <w:rsid w:val="00240134"/>
    <w:rsid w:val="00240828"/>
    <w:rsid w:val="00254429"/>
    <w:rsid w:val="00261D73"/>
    <w:rsid w:val="00282BDC"/>
    <w:rsid w:val="00284B25"/>
    <w:rsid w:val="00286176"/>
    <w:rsid w:val="00287F8B"/>
    <w:rsid w:val="0029226E"/>
    <w:rsid w:val="002A69C1"/>
    <w:rsid w:val="002B3440"/>
    <w:rsid w:val="002B53CD"/>
    <w:rsid w:val="002C37B9"/>
    <w:rsid w:val="002D3018"/>
    <w:rsid w:val="002E2291"/>
    <w:rsid w:val="002F5A1F"/>
    <w:rsid w:val="003116D8"/>
    <w:rsid w:val="00312E2F"/>
    <w:rsid w:val="00316076"/>
    <w:rsid w:val="0032498E"/>
    <w:rsid w:val="00324EA6"/>
    <w:rsid w:val="00330B27"/>
    <w:rsid w:val="00331C3B"/>
    <w:rsid w:val="00344686"/>
    <w:rsid w:val="00352D4E"/>
    <w:rsid w:val="00364351"/>
    <w:rsid w:val="0039388B"/>
    <w:rsid w:val="003A6370"/>
    <w:rsid w:val="003A6BBE"/>
    <w:rsid w:val="003B180F"/>
    <w:rsid w:val="003C0A29"/>
    <w:rsid w:val="003E1915"/>
    <w:rsid w:val="003F2C0C"/>
    <w:rsid w:val="0040007F"/>
    <w:rsid w:val="00404433"/>
    <w:rsid w:val="00415284"/>
    <w:rsid w:val="00416B1C"/>
    <w:rsid w:val="00440C5A"/>
    <w:rsid w:val="004500C7"/>
    <w:rsid w:val="004679DB"/>
    <w:rsid w:val="00475C55"/>
    <w:rsid w:val="00494DAA"/>
    <w:rsid w:val="004A2E36"/>
    <w:rsid w:val="004C087D"/>
    <w:rsid w:val="004E3910"/>
    <w:rsid w:val="004E6A59"/>
    <w:rsid w:val="004F030A"/>
    <w:rsid w:val="00512F9E"/>
    <w:rsid w:val="00513216"/>
    <w:rsid w:val="00522F4E"/>
    <w:rsid w:val="00523E24"/>
    <w:rsid w:val="0052413D"/>
    <w:rsid w:val="005278E3"/>
    <w:rsid w:val="00544058"/>
    <w:rsid w:val="005502C7"/>
    <w:rsid w:val="005667D3"/>
    <w:rsid w:val="00570DC2"/>
    <w:rsid w:val="00575E0C"/>
    <w:rsid w:val="005806FE"/>
    <w:rsid w:val="0059598D"/>
    <w:rsid w:val="0059736E"/>
    <w:rsid w:val="005A14A6"/>
    <w:rsid w:val="005A7668"/>
    <w:rsid w:val="005B78C4"/>
    <w:rsid w:val="005C0630"/>
    <w:rsid w:val="005C2BFA"/>
    <w:rsid w:val="005C60F2"/>
    <w:rsid w:val="005E10F8"/>
    <w:rsid w:val="005E4222"/>
    <w:rsid w:val="005F09E1"/>
    <w:rsid w:val="005F1331"/>
    <w:rsid w:val="005F3BE5"/>
    <w:rsid w:val="005F7292"/>
    <w:rsid w:val="006003D6"/>
    <w:rsid w:val="006079E4"/>
    <w:rsid w:val="0062319B"/>
    <w:rsid w:val="00625541"/>
    <w:rsid w:val="006324A3"/>
    <w:rsid w:val="00654384"/>
    <w:rsid w:val="00654EC5"/>
    <w:rsid w:val="00671F85"/>
    <w:rsid w:val="0067350A"/>
    <w:rsid w:val="0067423C"/>
    <w:rsid w:val="00686C8F"/>
    <w:rsid w:val="006A2243"/>
    <w:rsid w:val="006B0EB2"/>
    <w:rsid w:val="006D248F"/>
    <w:rsid w:val="006D45EC"/>
    <w:rsid w:val="006F45EF"/>
    <w:rsid w:val="00713529"/>
    <w:rsid w:val="00734540"/>
    <w:rsid w:val="00735D32"/>
    <w:rsid w:val="00741884"/>
    <w:rsid w:val="00743B65"/>
    <w:rsid w:val="0075728F"/>
    <w:rsid w:val="00771405"/>
    <w:rsid w:val="007857D5"/>
    <w:rsid w:val="00791723"/>
    <w:rsid w:val="007A3343"/>
    <w:rsid w:val="007B0775"/>
    <w:rsid w:val="007B2C2E"/>
    <w:rsid w:val="007B5007"/>
    <w:rsid w:val="007B64E6"/>
    <w:rsid w:val="007C5E92"/>
    <w:rsid w:val="007D47EB"/>
    <w:rsid w:val="008103A2"/>
    <w:rsid w:val="00824E30"/>
    <w:rsid w:val="0082791C"/>
    <w:rsid w:val="00840F76"/>
    <w:rsid w:val="00845694"/>
    <w:rsid w:val="00847B13"/>
    <w:rsid w:val="00854C24"/>
    <w:rsid w:val="00863471"/>
    <w:rsid w:val="008675AC"/>
    <w:rsid w:val="00876518"/>
    <w:rsid w:val="0088777B"/>
    <w:rsid w:val="008B49B6"/>
    <w:rsid w:val="008B5993"/>
    <w:rsid w:val="008C2235"/>
    <w:rsid w:val="008E4D92"/>
    <w:rsid w:val="008E6711"/>
    <w:rsid w:val="008F6B9E"/>
    <w:rsid w:val="00933882"/>
    <w:rsid w:val="00940C15"/>
    <w:rsid w:val="00941667"/>
    <w:rsid w:val="00952D69"/>
    <w:rsid w:val="0096308C"/>
    <w:rsid w:val="009656D7"/>
    <w:rsid w:val="0097070F"/>
    <w:rsid w:val="00975E96"/>
    <w:rsid w:val="0098367E"/>
    <w:rsid w:val="0099286E"/>
    <w:rsid w:val="009A2E08"/>
    <w:rsid w:val="009A330E"/>
    <w:rsid w:val="009B0B76"/>
    <w:rsid w:val="009C499D"/>
    <w:rsid w:val="00A352AB"/>
    <w:rsid w:val="00A43C72"/>
    <w:rsid w:val="00A46B45"/>
    <w:rsid w:val="00A95E21"/>
    <w:rsid w:val="00A97C2E"/>
    <w:rsid w:val="00AB4F38"/>
    <w:rsid w:val="00AC1620"/>
    <w:rsid w:val="00AC4D0F"/>
    <w:rsid w:val="00AC5F26"/>
    <w:rsid w:val="00AD559F"/>
    <w:rsid w:val="00B17DD3"/>
    <w:rsid w:val="00B217EC"/>
    <w:rsid w:val="00B3369B"/>
    <w:rsid w:val="00B4270F"/>
    <w:rsid w:val="00B51F01"/>
    <w:rsid w:val="00B55EF8"/>
    <w:rsid w:val="00B60496"/>
    <w:rsid w:val="00B73549"/>
    <w:rsid w:val="00B770BF"/>
    <w:rsid w:val="00B84AD2"/>
    <w:rsid w:val="00B860AD"/>
    <w:rsid w:val="00B874A1"/>
    <w:rsid w:val="00B91F4B"/>
    <w:rsid w:val="00B94CAA"/>
    <w:rsid w:val="00BA189F"/>
    <w:rsid w:val="00BA561C"/>
    <w:rsid w:val="00BA6E6B"/>
    <w:rsid w:val="00BB17E2"/>
    <w:rsid w:val="00BD1309"/>
    <w:rsid w:val="00BD1EA6"/>
    <w:rsid w:val="00BD6438"/>
    <w:rsid w:val="00BD7BA1"/>
    <w:rsid w:val="00BE0E65"/>
    <w:rsid w:val="00C022A6"/>
    <w:rsid w:val="00C10F28"/>
    <w:rsid w:val="00C27AA1"/>
    <w:rsid w:val="00C330EA"/>
    <w:rsid w:val="00C508D6"/>
    <w:rsid w:val="00C73B0A"/>
    <w:rsid w:val="00CA7EC5"/>
    <w:rsid w:val="00CB5D9B"/>
    <w:rsid w:val="00CB7E31"/>
    <w:rsid w:val="00CC0265"/>
    <w:rsid w:val="00CF38FC"/>
    <w:rsid w:val="00CF5D46"/>
    <w:rsid w:val="00D02D4E"/>
    <w:rsid w:val="00D23777"/>
    <w:rsid w:val="00D30A92"/>
    <w:rsid w:val="00D33D67"/>
    <w:rsid w:val="00D52378"/>
    <w:rsid w:val="00D541B6"/>
    <w:rsid w:val="00D57BDD"/>
    <w:rsid w:val="00D742DC"/>
    <w:rsid w:val="00D75EC5"/>
    <w:rsid w:val="00D842F5"/>
    <w:rsid w:val="00DA43C6"/>
    <w:rsid w:val="00DB28DD"/>
    <w:rsid w:val="00DB41BB"/>
    <w:rsid w:val="00DC129E"/>
    <w:rsid w:val="00DC2987"/>
    <w:rsid w:val="00DF55AE"/>
    <w:rsid w:val="00E2039E"/>
    <w:rsid w:val="00E25CEC"/>
    <w:rsid w:val="00E37892"/>
    <w:rsid w:val="00E37989"/>
    <w:rsid w:val="00E44CE8"/>
    <w:rsid w:val="00E50285"/>
    <w:rsid w:val="00E57F75"/>
    <w:rsid w:val="00E73A13"/>
    <w:rsid w:val="00E77266"/>
    <w:rsid w:val="00E8377C"/>
    <w:rsid w:val="00E93FF9"/>
    <w:rsid w:val="00EB02ED"/>
    <w:rsid w:val="00EC0C0C"/>
    <w:rsid w:val="00EC3CE5"/>
    <w:rsid w:val="00EC5009"/>
    <w:rsid w:val="00ED65EB"/>
    <w:rsid w:val="00EE1A3A"/>
    <w:rsid w:val="00F02510"/>
    <w:rsid w:val="00F1392F"/>
    <w:rsid w:val="00F20AF7"/>
    <w:rsid w:val="00F20C9C"/>
    <w:rsid w:val="00F23247"/>
    <w:rsid w:val="00F23958"/>
    <w:rsid w:val="00F2635F"/>
    <w:rsid w:val="00F2789F"/>
    <w:rsid w:val="00F31DD9"/>
    <w:rsid w:val="00F4768E"/>
    <w:rsid w:val="00F61D67"/>
    <w:rsid w:val="00F627BF"/>
    <w:rsid w:val="00F709EB"/>
    <w:rsid w:val="00F95F09"/>
    <w:rsid w:val="00FB0A2D"/>
    <w:rsid w:val="00FD52BA"/>
    <w:rsid w:val="00FD61FA"/>
    <w:rsid w:val="00FE7C07"/>
    <w:rsid w:val="00FF7846"/>
    <w:rsid w:val="017F66DB"/>
    <w:rsid w:val="01A85D51"/>
    <w:rsid w:val="01B26B54"/>
    <w:rsid w:val="02117D9A"/>
    <w:rsid w:val="02294C9F"/>
    <w:rsid w:val="02647ECA"/>
    <w:rsid w:val="02C43119"/>
    <w:rsid w:val="02C7409E"/>
    <w:rsid w:val="03237263"/>
    <w:rsid w:val="03A52765"/>
    <w:rsid w:val="03C2759E"/>
    <w:rsid w:val="03D911C0"/>
    <w:rsid w:val="044529CD"/>
    <w:rsid w:val="049C1FBE"/>
    <w:rsid w:val="05143E2A"/>
    <w:rsid w:val="052C4023"/>
    <w:rsid w:val="0559183C"/>
    <w:rsid w:val="0591547A"/>
    <w:rsid w:val="05C56ED2"/>
    <w:rsid w:val="05D84445"/>
    <w:rsid w:val="05EB2641"/>
    <w:rsid w:val="05ED262B"/>
    <w:rsid w:val="067B01C3"/>
    <w:rsid w:val="06B06726"/>
    <w:rsid w:val="06E45A7E"/>
    <w:rsid w:val="073C1416"/>
    <w:rsid w:val="074D1F5B"/>
    <w:rsid w:val="077C092B"/>
    <w:rsid w:val="07A470EA"/>
    <w:rsid w:val="07FE4956"/>
    <w:rsid w:val="08B51480"/>
    <w:rsid w:val="0910290B"/>
    <w:rsid w:val="09503266"/>
    <w:rsid w:val="09697F47"/>
    <w:rsid w:val="097F268D"/>
    <w:rsid w:val="09A53B82"/>
    <w:rsid w:val="09D760A4"/>
    <w:rsid w:val="0AA572D2"/>
    <w:rsid w:val="0AAE43D8"/>
    <w:rsid w:val="0B1503C3"/>
    <w:rsid w:val="0B6E5916"/>
    <w:rsid w:val="0B7D54B0"/>
    <w:rsid w:val="0B966713"/>
    <w:rsid w:val="0BA80B53"/>
    <w:rsid w:val="0BE61950"/>
    <w:rsid w:val="0C1269F3"/>
    <w:rsid w:val="0CDA5C0D"/>
    <w:rsid w:val="0CFF2236"/>
    <w:rsid w:val="0D2941EA"/>
    <w:rsid w:val="0D2B64A6"/>
    <w:rsid w:val="0E6D78C1"/>
    <w:rsid w:val="0E981627"/>
    <w:rsid w:val="0F071277"/>
    <w:rsid w:val="10BE4C49"/>
    <w:rsid w:val="10C90FD6"/>
    <w:rsid w:val="10F662EB"/>
    <w:rsid w:val="111E393A"/>
    <w:rsid w:val="118D4F67"/>
    <w:rsid w:val="120F7E46"/>
    <w:rsid w:val="12146A8D"/>
    <w:rsid w:val="1251391B"/>
    <w:rsid w:val="125A79C1"/>
    <w:rsid w:val="12BE59BD"/>
    <w:rsid w:val="12CF3401"/>
    <w:rsid w:val="134358DA"/>
    <w:rsid w:val="13C94031"/>
    <w:rsid w:val="14795A57"/>
    <w:rsid w:val="14D013EF"/>
    <w:rsid w:val="15962005"/>
    <w:rsid w:val="16980C95"/>
    <w:rsid w:val="16B0772A"/>
    <w:rsid w:val="170F26A3"/>
    <w:rsid w:val="172A45E8"/>
    <w:rsid w:val="174E5EAD"/>
    <w:rsid w:val="175B611B"/>
    <w:rsid w:val="17C76AD9"/>
    <w:rsid w:val="1827473D"/>
    <w:rsid w:val="183B1275"/>
    <w:rsid w:val="1909330E"/>
    <w:rsid w:val="191012EE"/>
    <w:rsid w:val="192D13F5"/>
    <w:rsid w:val="196A0F8F"/>
    <w:rsid w:val="19877AF0"/>
    <w:rsid w:val="198C76C5"/>
    <w:rsid w:val="19AC0A62"/>
    <w:rsid w:val="19BC3245"/>
    <w:rsid w:val="19D07C7C"/>
    <w:rsid w:val="1A21735E"/>
    <w:rsid w:val="1A58344F"/>
    <w:rsid w:val="1AEE00E0"/>
    <w:rsid w:val="1AFC2B69"/>
    <w:rsid w:val="1B340CCD"/>
    <w:rsid w:val="1B486183"/>
    <w:rsid w:val="1BBE6445"/>
    <w:rsid w:val="1C515A75"/>
    <w:rsid w:val="1C9A2B20"/>
    <w:rsid w:val="1CA03176"/>
    <w:rsid w:val="1CA93E95"/>
    <w:rsid w:val="1CE25E06"/>
    <w:rsid w:val="1CFD598E"/>
    <w:rsid w:val="1D386C64"/>
    <w:rsid w:val="1DB573D4"/>
    <w:rsid w:val="1DDB5418"/>
    <w:rsid w:val="1E041C28"/>
    <w:rsid w:val="1E1F23E0"/>
    <w:rsid w:val="1E964F9F"/>
    <w:rsid w:val="1F0345F7"/>
    <w:rsid w:val="1F0F78AE"/>
    <w:rsid w:val="1F157F48"/>
    <w:rsid w:val="1F3F2093"/>
    <w:rsid w:val="1F7A64E9"/>
    <w:rsid w:val="1F916C4C"/>
    <w:rsid w:val="1FA871F0"/>
    <w:rsid w:val="1FF06E34"/>
    <w:rsid w:val="20295584"/>
    <w:rsid w:val="20BD2964"/>
    <w:rsid w:val="20C70FBB"/>
    <w:rsid w:val="21007C59"/>
    <w:rsid w:val="215D1378"/>
    <w:rsid w:val="218A3F2C"/>
    <w:rsid w:val="219E6825"/>
    <w:rsid w:val="22936CD5"/>
    <w:rsid w:val="22C83CB9"/>
    <w:rsid w:val="22D20209"/>
    <w:rsid w:val="237877C6"/>
    <w:rsid w:val="243046A7"/>
    <w:rsid w:val="243D2232"/>
    <w:rsid w:val="249F0C15"/>
    <w:rsid w:val="24C7700E"/>
    <w:rsid w:val="24D80578"/>
    <w:rsid w:val="24F02A5F"/>
    <w:rsid w:val="2554405C"/>
    <w:rsid w:val="257818C4"/>
    <w:rsid w:val="25B12FE0"/>
    <w:rsid w:val="25D84DF6"/>
    <w:rsid w:val="2623722B"/>
    <w:rsid w:val="264C733D"/>
    <w:rsid w:val="26543C2E"/>
    <w:rsid w:val="26F633CC"/>
    <w:rsid w:val="270D0FE0"/>
    <w:rsid w:val="27133386"/>
    <w:rsid w:val="271651FE"/>
    <w:rsid w:val="27332CA6"/>
    <w:rsid w:val="2738348F"/>
    <w:rsid w:val="275A4503"/>
    <w:rsid w:val="276B56D3"/>
    <w:rsid w:val="27C923FA"/>
    <w:rsid w:val="283B7EEC"/>
    <w:rsid w:val="28932606"/>
    <w:rsid w:val="28A01C28"/>
    <w:rsid w:val="28AD5878"/>
    <w:rsid w:val="29084A1E"/>
    <w:rsid w:val="290B259E"/>
    <w:rsid w:val="293308FC"/>
    <w:rsid w:val="29403EAF"/>
    <w:rsid w:val="298073FB"/>
    <w:rsid w:val="29840F84"/>
    <w:rsid w:val="298A5BB9"/>
    <w:rsid w:val="298D0E15"/>
    <w:rsid w:val="29A361F2"/>
    <w:rsid w:val="2A0240FC"/>
    <w:rsid w:val="2A060B36"/>
    <w:rsid w:val="2A070FB7"/>
    <w:rsid w:val="2A6D3871"/>
    <w:rsid w:val="2AA90981"/>
    <w:rsid w:val="2B36135D"/>
    <w:rsid w:val="2B63537C"/>
    <w:rsid w:val="2BE02640"/>
    <w:rsid w:val="2C2422F5"/>
    <w:rsid w:val="2C5A613E"/>
    <w:rsid w:val="2DE85CEA"/>
    <w:rsid w:val="2E503FC9"/>
    <w:rsid w:val="2E674331"/>
    <w:rsid w:val="2E7143FB"/>
    <w:rsid w:val="2E8B48DA"/>
    <w:rsid w:val="2E8C61C4"/>
    <w:rsid w:val="2EA63BAA"/>
    <w:rsid w:val="2EDF4825"/>
    <w:rsid w:val="2F3272B8"/>
    <w:rsid w:val="2F367505"/>
    <w:rsid w:val="2F4A02C4"/>
    <w:rsid w:val="2F5B03DF"/>
    <w:rsid w:val="2F5F2810"/>
    <w:rsid w:val="2FD712C8"/>
    <w:rsid w:val="302B2669"/>
    <w:rsid w:val="30772F3D"/>
    <w:rsid w:val="30900EB5"/>
    <w:rsid w:val="309A247B"/>
    <w:rsid w:val="311470CC"/>
    <w:rsid w:val="3126266B"/>
    <w:rsid w:val="31725842"/>
    <w:rsid w:val="32024E86"/>
    <w:rsid w:val="32080F0A"/>
    <w:rsid w:val="32817054"/>
    <w:rsid w:val="330A3281"/>
    <w:rsid w:val="330C6CD3"/>
    <w:rsid w:val="339A748D"/>
    <w:rsid w:val="33A42160"/>
    <w:rsid w:val="33B33963"/>
    <w:rsid w:val="34086058"/>
    <w:rsid w:val="3432060E"/>
    <w:rsid w:val="34454314"/>
    <w:rsid w:val="34AD0177"/>
    <w:rsid w:val="35244761"/>
    <w:rsid w:val="3554359E"/>
    <w:rsid w:val="35942299"/>
    <w:rsid w:val="367B007B"/>
    <w:rsid w:val="36DF2CDF"/>
    <w:rsid w:val="37541DC8"/>
    <w:rsid w:val="377B46F5"/>
    <w:rsid w:val="37D274FE"/>
    <w:rsid w:val="38085A24"/>
    <w:rsid w:val="383511CC"/>
    <w:rsid w:val="38415FDC"/>
    <w:rsid w:val="385E4584"/>
    <w:rsid w:val="38A70B9D"/>
    <w:rsid w:val="38FE5C7B"/>
    <w:rsid w:val="39330DBA"/>
    <w:rsid w:val="39684404"/>
    <w:rsid w:val="39E40217"/>
    <w:rsid w:val="3A3C484A"/>
    <w:rsid w:val="3A4C6CEA"/>
    <w:rsid w:val="3A4E7D43"/>
    <w:rsid w:val="3A916DA7"/>
    <w:rsid w:val="3B070E17"/>
    <w:rsid w:val="3B07350D"/>
    <w:rsid w:val="3B243DDC"/>
    <w:rsid w:val="3B2B3E12"/>
    <w:rsid w:val="3B381AA7"/>
    <w:rsid w:val="3B5D5BFB"/>
    <w:rsid w:val="3C172A2D"/>
    <w:rsid w:val="3C317A05"/>
    <w:rsid w:val="3C430575"/>
    <w:rsid w:val="3C485B8B"/>
    <w:rsid w:val="3D0E5556"/>
    <w:rsid w:val="3D472B15"/>
    <w:rsid w:val="3DD10BDB"/>
    <w:rsid w:val="3E9A5FF3"/>
    <w:rsid w:val="3EC447DC"/>
    <w:rsid w:val="3FC3765A"/>
    <w:rsid w:val="3FCD2074"/>
    <w:rsid w:val="404752E1"/>
    <w:rsid w:val="408F3B68"/>
    <w:rsid w:val="40EF3CF2"/>
    <w:rsid w:val="412071E1"/>
    <w:rsid w:val="416223EE"/>
    <w:rsid w:val="41FA1643"/>
    <w:rsid w:val="423254A6"/>
    <w:rsid w:val="42716443"/>
    <w:rsid w:val="42760499"/>
    <w:rsid w:val="431A22BF"/>
    <w:rsid w:val="437E4BE0"/>
    <w:rsid w:val="43842848"/>
    <w:rsid w:val="438A4CDB"/>
    <w:rsid w:val="43DE177B"/>
    <w:rsid w:val="43F403A7"/>
    <w:rsid w:val="446B0669"/>
    <w:rsid w:val="448C798B"/>
    <w:rsid w:val="44900788"/>
    <w:rsid w:val="44E93C84"/>
    <w:rsid w:val="45107462"/>
    <w:rsid w:val="452A22D2"/>
    <w:rsid w:val="452D3B70"/>
    <w:rsid w:val="45410B17"/>
    <w:rsid w:val="45573EC5"/>
    <w:rsid w:val="45C60123"/>
    <w:rsid w:val="45CD562A"/>
    <w:rsid w:val="45F00CF2"/>
    <w:rsid w:val="46B42A0C"/>
    <w:rsid w:val="46C61A2D"/>
    <w:rsid w:val="47A6109B"/>
    <w:rsid w:val="47D658D0"/>
    <w:rsid w:val="47E0136E"/>
    <w:rsid w:val="4802772D"/>
    <w:rsid w:val="48AB79E0"/>
    <w:rsid w:val="48AF6E11"/>
    <w:rsid w:val="49014194"/>
    <w:rsid w:val="495029D4"/>
    <w:rsid w:val="49784BF0"/>
    <w:rsid w:val="498B355B"/>
    <w:rsid w:val="499140BE"/>
    <w:rsid w:val="499313BC"/>
    <w:rsid w:val="49973CAE"/>
    <w:rsid w:val="49AC14B9"/>
    <w:rsid w:val="49B4189A"/>
    <w:rsid w:val="49C34AA3"/>
    <w:rsid w:val="4A396B13"/>
    <w:rsid w:val="4A6F69D9"/>
    <w:rsid w:val="4A7F4DC3"/>
    <w:rsid w:val="4AC434C7"/>
    <w:rsid w:val="4AF869CF"/>
    <w:rsid w:val="4AFF5B9C"/>
    <w:rsid w:val="4B0207F0"/>
    <w:rsid w:val="4B5A09B8"/>
    <w:rsid w:val="4B8649B1"/>
    <w:rsid w:val="4BF63BFF"/>
    <w:rsid w:val="4C73547C"/>
    <w:rsid w:val="4CC11B25"/>
    <w:rsid w:val="4CC96874"/>
    <w:rsid w:val="4CD16ADD"/>
    <w:rsid w:val="4CE75671"/>
    <w:rsid w:val="4D5D32C9"/>
    <w:rsid w:val="4DF9301E"/>
    <w:rsid w:val="4DFC2E11"/>
    <w:rsid w:val="4EB52FB9"/>
    <w:rsid w:val="4EF456FF"/>
    <w:rsid w:val="4F0D5C5C"/>
    <w:rsid w:val="50013DC5"/>
    <w:rsid w:val="503F4636"/>
    <w:rsid w:val="508D6F87"/>
    <w:rsid w:val="5099030C"/>
    <w:rsid w:val="50A82C45"/>
    <w:rsid w:val="50BC44D3"/>
    <w:rsid w:val="51735001"/>
    <w:rsid w:val="517A638F"/>
    <w:rsid w:val="518C0715"/>
    <w:rsid w:val="52123059"/>
    <w:rsid w:val="521B0D24"/>
    <w:rsid w:val="52D63B4F"/>
    <w:rsid w:val="52FA4B6A"/>
    <w:rsid w:val="53372EFB"/>
    <w:rsid w:val="534D5F28"/>
    <w:rsid w:val="53657C3A"/>
    <w:rsid w:val="53B5119E"/>
    <w:rsid w:val="53C913B6"/>
    <w:rsid w:val="5405673F"/>
    <w:rsid w:val="54646E83"/>
    <w:rsid w:val="54817A35"/>
    <w:rsid w:val="54B21203"/>
    <w:rsid w:val="559D2FA9"/>
    <w:rsid w:val="55B45CED"/>
    <w:rsid w:val="55BC3A58"/>
    <w:rsid w:val="55C713B9"/>
    <w:rsid w:val="55D81C4F"/>
    <w:rsid w:val="55DA38A0"/>
    <w:rsid w:val="55EC5382"/>
    <w:rsid w:val="55FA72D0"/>
    <w:rsid w:val="5601019C"/>
    <w:rsid w:val="5679693A"/>
    <w:rsid w:val="56B80490"/>
    <w:rsid w:val="56C47577"/>
    <w:rsid w:val="574B002F"/>
    <w:rsid w:val="57C245EC"/>
    <w:rsid w:val="57EE07B9"/>
    <w:rsid w:val="580A439F"/>
    <w:rsid w:val="580E4C14"/>
    <w:rsid w:val="583D3C73"/>
    <w:rsid w:val="58785308"/>
    <w:rsid w:val="58B77EC9"/>
    <w:rsid w:val="58B91D2A"/>
    <w:rsid w:val="58CD149A"/>
    <w:rsid w:val="596C2261"/>
    <w:rsid w:val="59BB12F3"/>
    <w:rsid w:val="59C3464B"/>
    <w:rsid w:val="5A0709DC"/>
    <w:rsid w:val="5A43294D"/>
    <w:rsid w:val="5A615BD7"/>
    <w:rsid w:val="5A952D06"/>
    <w:rsid w:val="5AA02365"/>
    <w:rsid w:val="5AF67A72"/>
    <w:rsid w:val="5B3F2EA3"/>
    <w:rsid w:val="5BDB3A4B"/>
    <w:rsid w:val="5BF061C1"/>
    <w:rsid w:val="5C245A74"/>
    <w:rsid w:val="5C732359"/>
    <w:rsid w:val="5CD5497F"/>
    <w:rsid w:val="5D580312"/>
    <w:rsid w:val="5D9718EE"/>
    <w:rsid w:val="5E40626B"/>
    <w:rsid w:val="5E6E6E6F"/>
    <w:rsid w:val="5EDB4968"/>
    <w:rsid w:val="5F120B02"/>
    <w:rsid w:val="5F6E2A8C"/>
    <w:rsid w:val="5FBF589C"/>
    <w:rsid w:val="5FD126E9"/>
    <w:rsid w:val="5FD74FD6"/>
    <w:rsid w:val="60BA30C8"/>
    <w:rsid w:val="6142610A"/>
    <w:rsid w:val="6170131A"/>
    <w:rsid w:val="618456D3"/>
    <w:rsid w:val="61EB7A76"/>
    <w:rsid w:val="622B0FE0"/>
    <w:rsid w:val="62A30CCB"/>
    <w:rsid w:val="62A56FE4"/>
    <w:rsid w:val="62E130F8"/>
    <w:rsid w:val="631F664E"/>
    <w:rsid w:val="63FA3360"/>
    <w:rsid w:val="64357965"/>
    <w:rsid w:val="646D7847"/>
    <w:rsid w:val="64F4589E"/>
    <w:rsid w:val="65293EFC"/>
    <w:rsid w:val="66011408"/>
    <w:rsid w:val="6607461E"/>
    <w:rsid w:val="66473AAF"/>
    <w:rsid w:val="66620AF0"/>
    <w:rsid w:val="66DD69B5"/>
    <w:rsid w:val="66EE3D45"/>
    <w:rsid w:val="675F4E6C"/>
    <w:rsid w:val="67851192"/>
    <w:rsid w:val="679B3170"/>
    <w:rsid w:val="689332D5"/>
    <w:rsid w:val="68BD01E2"/>
    <w:rsid w:val="69766AEE"/>
    <w:rsid w:val="69922A5E"/>
    <w:rsid w:val="699252DE"/>
    <w:rsid w:val="69F742E0"/>
    <w:rsid w:val="6A3273AF"/>
    <w:rsid w:val="6A3C265A"/>
    <w:rsid w:val="6A977E7B"/>
    <w:rsid w:val="6B50549E"/>
    <w:rsid w:val="6B5415A7"/>
    <w:rsid w:val="6BCE0FA4"/>
    <w:rsid w:val="6BD03521"/>
    <w:rsid w:val="6C904543"/>
    <w:rsid w:val="6CD26C28"/>
    <w:rsid w:val="6CE74DAA"/>
    <w:rsid w:val="6D0B2D6F"/>
    <w:rsid w:val="6D4711A0"/>
    <w:rsid w:val="6D474F2D"/>
    <w:rsid w:val="6D5317CF"/>
    <w:rsid w:val="6D7D1DA3"/>
    <w:rsid w:val="6E0A3B8F"/>
    <w:rsid w:val="6E1617DB"/>
    <w:rsid w:val="6E3446B0"/>
    <w:rsid w:val="6F3C3CD1"/>
    <w:rsid w:val="6F5143A5"/>
    <w:rsid w:val="6FA622F1"/>
    <w:rsid w:val="6FCA4CE8"/>
    <w:rsid w:val="700A492A"/>
    <w:rsid w:val="706856AE"/>
    <w:rsid w:val="706B4458"/>
    <w:rsid w:val="70AE52B6"/>
    <w:rsid w:val="70C058E3"/>
    <w:rsid w:val="71162630"/>
    <w:rsid w:val="712170AA"/>
    <w:rsid w:val="72063A42"/>
    <w:rsid w:val="726D0EE0"/>
    <w:rsid w:val="732E0EAE"/>
    <w:rsid w:val="733A2AE6"/>
    <w:rsid w:val="73686F64"/>
    <w:rsid w:val="737C2514"/>
    <w:rsid w:val="73C53042"/>
    <w:rsid w:val="73D567E6"/>
    <w:rsid w:val="7421413B"/>
    <w:rsid w:val="747376DF"/>
    <w:rsid w:val="748578F2"/>
    <w:rsid w:val="74F14AE8"/>
    <w:rsid w:val="75041948"/>
    <w:rsid w:val="75423EAC"/>
    <w:rsid w:val="759C7511"/>
    <w:rsid w:val="75A66EA3"/>
    <w:rsid w:val="75E84419"/>
    <w:rsid w:val="76B543C0"/>
    <w:rsid w:val="76F374B5"/>
    <w:rsid w:val="7729095C"/>
    <w:rsid w:val="7731279D"/>
    <w:rsid w:val="77456248"/>
    <w:rsid w:val="776C2ACE"/>
    <w:rsid w:val="776D3467"/>
    <w:rsid w:val="77FD4090"/>
    <w:rsid w:val="78313CAB"/>
    <w:rsid w:val="78941235"/>
    <w:rsid w:val="791F0551"/>
    <w:rsid w:val="793B462E"/>
    <w:rsid w:val="797F5A41"/>
    <w:rsid w:val="79DD09BD"/>
    <w:rsid w:val="7A1B68CA"/>
    <w:rsid w:val="7A7051EE"/>
    <w:rsid w:val="7AAD1D00"/>
    <w:rsid w:val="7B734F88"/>
    <w:rsid w:val="7B7E3DFA"/>
    <w:rsid w:val="7B8A05C8"/>
    <w:rsid w:val="7B9E1FB8"/>
    <w:rsid w:val="7BAB2992"/>
    <w:rsid w:val="7C023217"/>
    <w:rsid w:val="7C62624C"/>
    <w:rsid w:val="7C6E2670"/>
    <w:rsid w:val="7CAD4FBB"/>
    <w:rsid w:val="7CED44EC"/>
    <w:rsid w:val="7D28206F"/>
    <w:rsid w:val="7D2B47C9"/>
    <w:rsid w:val="7DF1608E"/>
    <w:rsid w:val="7E4B05E8"/>
    <w:rsid w:val="7F057A45"/>
    <w:rsid w:val="7F3F47A0"/>
    <w:rsid w:val="7F7248A5"/>
    <w:rsid w:val="7FC62D32"/>
    <w:rsid w:val="7FE234B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iPriority="0" w:semiHidden="0" w:name="heading 3"/>
    <w:lsdException w:qFormat="1" w:uiPriority="9"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qFormat="1"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qFormat="1"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iPriority="0" w:name="Balloon Text"/>
    <w:lsdException w:qFormat="1" w:unhideWhenUsed="0" w:uiPriority="3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ind w:firstLine="720" w:firstLineChars="200"/>
      <w:jc w:val="both"/>
    </w:pPr>
    <w:rPr>
      <w:rFonts w:ascii="Times New Roman" w:hAnsi="Times New Roman" w:eastAsia="宋体" w:cs="Times New Roman"/>
      <w:kern w:val="2"/>
      <w:sz w:val="24"/>
      <w:szCs w:val="24"/>
      <w:lang w:val="en-US" w:eastAsia="zh-CN" w:bidi="ar-SA"/>
    </w:rPr>
  </w:style>
  <w:style w:type="paragraph" w:styleId="2">
    <w:name w:val="heading 1"/>
    <w:basedOn w:val="1"/>
    <w:next w:val="1"/>
    <w:qFormat/>
    <w:uiPriority w:val="9"/>
    <w:pPr>
      <w:keepNext/>
      <w:keepLines/>
      <w:numPr>
        <w:ilvl w:val="0"/>
        <w:numId w:val="1"/>
      </w:numPr>
      <w:spacing w:before="30" w:after="30" w:line="240" w:lineRule="auto"/>
      <w:ind w:left="431" w:leftChars="0" w:hanging="431" w:firstLineChars="0"/>
      <w:outlineLvl w:val="0"/>
    </w:pPr>
    <w:rPr>
      <w:b/>
      <w:bCs/>
      <w:kern w:val="44"/>
      <w:sz w:val="32"/>
      <w:szCs w:val="44"/>
      <w:lang w:val="zh-CN"/>
    </w:rPr>
  </w:style>
  <w:style w:type="paragraph" w:styleId="3">
    <w:name w:val="heading 2"/>
    <w:basedOn w:val="1"/>
    <w:next w:val="1"/>
    <w:autoRedefine/>
    <w:qFormat/>
    <w:uiPriority w:val="9"/>
    <w:pPr>
      <w:keepNext/>
      <w:keepLines/>
      <w:numPr>
        <w:ilvl w:val="1"/>
        <w:numId w:val="1"/>
      </w:numPr>
      <w:spacing w:before="20" w:after="20" w:line="240" w:lineRule="auto"/>
      <w:ind w:left="567" w:hanging="567" w:firstLineChars="0"/>
      <w:outlineLvl w:val="1"/>
    </w:pPr>
    <w:rPr>
      <w:b/>
      <w:bCs/>
      <w:color w:val="000000"/>
      <w:sz w:val="28"/>
      <w:szCs w:val="32"/>
    </w:rPr>
  </w:style>
  <w:style w:type="paragraph" w:styleId="4">
    <w:name w:val="heading 3"/>
    <w:basedOn w:val="1"/>
    <w:next w:val="1"/>
    <w:unhideWhenUsed/>
    <w:qFormat/>
    <w:uiPriority w:val="0"/>
    <w:pPr>
      <w:keepNext/>
      <w:keepLines/>
      <w:numPr>
        <w:ilvl w:val="2"/>
        <w:numId w:val="1"/>
      </w:numPr>
      <w:spacing w:before="20" w:after="20" w:line="360" w:lineRule="auto"/>
      <w:ind w:left="567" w:hanging="567" w:firstLineChars="0"/>
      <w:outlineLvl w:val="2"/>
    </w:pPr>
    <w:rPr>
      <w:b/>
    </w:rPr>
  </w:style>
  <w:style w:type="paragraph" w:styleId="5">
    <w:name w:val="heading 4"/>
    <w:basedOn w:val="1"/>
    <w:next w:val="1"/>
    <w:link w:val="34"/>
    <w:autoRedefine/>
    <w:unhideWhenUsed/>
    <w:qFormat/>
    <w:uiPriority w:val="9"/>
    <w:pPr>
      <w:keepNext/>
      <w:keepLines/>
      <w:numPr>
        <w:ilvl w:val="3"/>
        <w:numId w:val="1"/>
      </w:numPr>
      <w:spacing w:line="360" w:lineRule="auto"/>
      <w:ind w:left="0" w:firstLine="0" w:firstLineChars="0"/>
      <w:outlineLvl w:val="3"/>
    </w:pPr>
    <w:rPr>
      <w:rFonts w:ascii="Times New Roman" w:hAnsi="Times New Roman" w:eastAsia="宋体"/>
      <w:b/>
    </w:rPr>
  </w:style>
  <w:style w:type="paragraph" w:styleId="6">
    <w:name w:val="heading 5"/>
    <w:basedOn w:val="1"/>
    <w:next w:val="1"/>
    <w:semiHidden/>
    <w:unhideWhenUsed/>
    <w:qFormat/>
    <w:uiPriority w:val="0"/>
    <w:pPr>
      <w:keepNext/>
      <w:keepLines/>
      <w:numPr>
        <w:ilvl w:val="4"/>
        <w:numId w:val="1"/>
      </w:numPr>
      <w:spacing w:before="280" w:beforeLines="0" w:beforeAutospacing="0" w:after="290" w:afterLines="0" w:afterAutospacing="0" w:line="372" w:lineRule="auto"/>
      <w:ind w:left="1008" w:hanging="1008" w:firstLineChars="0"/>
      <w:outlineLvl w:val="4"/>
    </w:pPr>
    <w:rPr>
      <w:b/>
      <w:sz w:val="28"/>
    </w:rPr>
  </w:style>
  <w:style w:type="paragraph" w:styleId="7">
    <w:name w:val="heading 6"/>
    <w:basedOn w:val="1"/>
    <w:next w:val="1"/>
    <w:autoRedefine/>
    <w:semiHidden/>
    <w:unhideWhenUsed/>
    <w:qFormat/>
    <w:uiPriority w:val="0"/>
    <w:pPr>
      <w:keepNext/>
      <w:keepLines/>
      <w:numPr>
        <w:ilvl w:val="5"/>
        <w:numId w:val="1"/>
      </w:numPr>
      <w:spacing w:before="240" w:beforeLines="0" w:beforeAutospacing="0" w:after="64" w:afterLines="0" w:afterAutospacing="0" w:line="317" w:lineRule="auto"/>
      <w:ind w:left="1151" w:hanging="1151" w:firstLineChars="0"/>
      <w:outlineLvl w:val="5"/>
    </w:pPr>
    <w:rPr>
      <w:rFonts w:ascii="Arial" w:hAnsi="Arial" w:eastAsia="黑体"/>
      <w:b/>
      <w:sz w:val="24"/>
    </w:rPr>
  </w:style>
  <w:style w:type="paragraph" w:styleId="8">
    <w:name w:val="heading 7"/>
    <w:basedOn w:val="1"/>
    <w:next w:val="1"/>
    <w:autoRedefine/>
    <w:semiHidden/>
    <w:unhideWhenUsed/>
    <w:qFormat/>
    <w:uiPriority w:val="0"/>
    <w:pPr>
      <w:keepNext/>
      <w:keepLines/>
      <w:numPr>
        <w:ilvl w:val="6"/>
        <w:numId w:val="1"/>
      </w:numPr>
      <w:spacing w:before="240" w:beforeLines="0" w:beforeAutospacing="0" w:after="64" w:afterLines="0" w:afterAutospacing="0" w:line="317" w:lineRule="auto"/>
      <w:ind w:left="1296" w:hanging="1296" w:firstLineChars="0"/>
      <w:outlineLvl w:val="6"/>
    </w:pPr>
    <w:rPr>
      <w:b/>
      <w:sz w:val="24"/>
    </w:rPr>
  </w:style>
  <w:style w:type="paragraph" w:styleId="9">
    <w:name w:val="heading 8"/>
    <w:basedOn w:val="1"/>
    <w:next w:val="1"/>
    <w:semiHidden/>
    <w:unhideWhenUsed/>
    <w:qFormat/>
    <w:uiPriority w:val="0"/>
    <w:pPr>
      <w:keepNext/>
      <w:keepLines/>
      <w:numPr>
        <w:ilvl w:val="7"/>
        <w:numId w:val="1"/>
      </w:numPr>
      <w:spacing w:before="240" w:beforeLines="0" w:beforeAutospacing="0" w:after="64" w:afterLines="0" w:afterAutospacing="0" w:line="317" w:lineRule="auto"/>
      <w:ind w:left="1440" w:hanging="1440" w:firstLineChars="0"/>
      <w:outlineLvl w:val="7"/>
    </w:pPr>
    <w:rPr>
      <w:rFonts w:ascii="Arial" w:hAnsi="Arial" w:eastAsia="黑体"/>
      <w:sz w:val="24"/>
    </w:rPr>
  </w:style>
  <w:style w:type="paragraph" w:styleId="10">
    <w:name w:val="heading 9"/>
    <w:basedOn w:val="1"/>
    <w:next w:val="1"/>
    <w:autoRedefine/>
    <w:semiHidden/>
    <w:unhideWhenUsed/>
    <w:qFormat/>
    <w:uiPriority w:val="0"/>
    <w:pPr>
      <w:keepNext/>
      <w:keepLines/>
      <w:numPr>
        <w:ilvl w:val="8"/>
        <w:numId w:val="1"/>
      </w:numPr>
      <w:spacing w:before="240" w:beforeLines="0" w:beforeAutospacing="0" w:after="64" w:afterLines="0" w:afterAutospacing="0" w:line="317" w:lineRule="auto"/>
      <w:ind w:left="1583" w:hanging="1583" w:firstLineChars="0"/>
      <w:outlineLvl w:val="8"/>
    </w:pPr>
    <w:rPr>
      <w:rFonts w:ascii="Arial" w:hAnsi="Arial" w:eastAsia="黑体"/>
      <w:sz w:val="21"/>
    </w:rPr>
  </w:style>
  <w:style w:type="character" w:default="1" w:styleId="23">
    <w:name w:val="Default Paragraph Font"/>
    <w:autoRedefine/>
    <w:semiHidden/>
    <w:unhideWhenUsed/>
    <w:qFormat/>
    <w:uiPriority w:val="1"/>
  </w:style>
  <w:style w:type="table" w:default="1" w:styleId="21">
    <w:name w:val="Normal Table"/>
    <w:autoRedefine/>
    <w:semiHidden/>
    <w:unhideWhenUsed/>
    <w:qFormat/>
    <w:uiPriority w:val="99"/>
    <w:tblPr>
      <w:tblCellMar>
        <w:top w:w="0" w:type="dxa"/>
        <w:left w:w="108" w:type="dxa"/>
        <w:bottom w:w="0" w:type="dxa"/>
        <w:right w:w="108" w:type="dxa"/>
      </w:tblCellMar>
    </w:tblPr>
  </w:style>
  <w:style w:type="paragraph" w:styleId="11">
    <w:name w:val="annotation text"/>
    <w:basedOn w:val="1"/>
    <w:link w:val="42"/>
    <w:autoRedefine/>
    <w:qFormat/>
    <w:uiPriority w:val="0"/>
    <w:pPr>
      <w:jc w:val="left"/>
    </w:pPr>
  </w:style>
  <w:style w:type="paragraph" w:styleId="12">
    <w:name w:val="Body Text"/>
    <w:basedOn w:val="1"/>
    <w:semiHidden/>
    <w:qFormat/>
    <w:uiPriority w:val="0"/>
    <w:rPr>
      <w:rFonts w:ascii="黑体" w:hAnsi="黑体" w:eastAsia="黑体" w:cs="黑体"/>
      <w:sz w:val="28"/>
      <w:szCs w:val="28"/>
    </w:rPr>
  </w:style>
  <w:style w:type="paragraph" w:styleId="13">
    <w:name w:val="toc 3"/>
    <w:basedOn w:val="1"/>
    <w:next w:val="1"/>
    <w:qFormat/>
    <w:uiPriority w:val="39"/>
    <w:pPr>
      <w:ind w:left="840" w:leftChars="400"/>
    </w:pPr>
  </w:style>
  <w:style w:type="paragraph" w:styleId="14">
    <w:name w:val="footer"/>
    <w:basedOn w:val="1"/>
    <w:link w:val="33"/>
    <w:qFormat/>
    <w:uiPriority w:val="99"/>
    <w:pPr>
      <w:tabs>
        <w:tab w:val="center" w:pos="4153"/>
        <w:tab w:val="right" w:pos="8306"/>
      </w:tabs>
      <w:snapToGrid w:val="0"/>
      <w:jc w:val="left"/>
    </w:pPr>
    <w:rPr>
      <w:sz w:val="18"/>
    </w:rPr>
  </w:style>
  <w:style w:type="paragraph" w:styleId="15">
    <w:name w:val="header"/>
    <w:basedOn w:val="1"/>
    <w:link w:val="32"/>
    <w:autoRedefine/>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16">
    <w:name w:val="toc 1"/>
    <w:basedOn w:val="1"/>
    <w:next w:val="1"/>
    <w:autoRedefine/>
    <w:qFormat/>
    <w:uiPriority w:val="39"/>
  </w:style>
  <w:style w:type="paragraph" w:styleId="17">
    <w:name w:val="footnote text"/>
    <w:basedOn w:val="1"/>
    <w:qFormat/>
    <w:uiPriority w:val="0"/>
    <w:pPr>
      <w:snapToGrid w:val="0"/>
      <w:jc w:val="left"/>
    </w:pPr>
    <w:rPr>
      <w:sz w:val="18"/>
    </w:rPr>
  </w:style>
  <w:style w:type="paragraph" w:styleId="18">
    <w:name w:val="toc 2"/>
    <w:basedOn w:val="1"/>
    <w:next w:val="1"/>
    <w:autoRedefine/>
    <w:qFormat/>
    <w:uiPriority w:val="39"/>
    <w:pPr>
      <w:ind w:left="420" w:leftChars="200"/>
    </w:pPr>
  </w:style>
  <w:style w:type="paragraph" w:styleId="19">
    <w:name w:val="Normal (Web)"/>
    <w:basedOn w:val="1"/>
    <w:autoRedefine/>
    <w:qFormat/>
    <w:uiPriority w:val="0"/>
    <w:pPr>
      <w:spacing w:before="0" w:beforeAutospacing="1" w:after="0" w:afterAutospacing="1"/>
      <w:ind w:left="0" w:right="0"/>
      <w:jc w:val="left"/>
    </w:pPr>
    <w:rPr>
      <w:kern w:val="0"/>
      <w:sz w:val="24"/>
      <w:lang w:val="en-US" w:eastAsia="zh-CN" w:bidi="ar"/>
    </w:rPr>
  </w:style>
  <w:style w:type="paragraph" w:styleId="20">
    <w:name w:val="annotation subject"/>
    <w:basedOn w:val="11"/>
    <w:next w:val="11"/>
    <w:link w:val="43"/>
    <w:autoRedefine/>
    <w:semiHidden/>
    <w:unhideWhenUsed/>
    <w:qFormat/>
    <w:uiPriority w:val="0"/>
    <w:rPr>
      <w:b/>
      <w:bCs/>
    </w:rPr>
  </w:style>
  <w:style w:type="table" w:styleId="22">
    <w:name w:val="Table Grid"/>
    <w:basedOn w:val="21"/>
    <w:autoRedefine/>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4">
    <w:name w:val="FollowedHyperlink"/>
    <w:basedOn w:val="23"/>
    <w:autoRedefine/>
    <w:qFormat/>
    <w:uiPriority w:val="0"/>
    <w:rPr>
      <w:color w:val="954F72" w:themeColor="followedHyperlink"/>
      <w:u w:val="single"/>
      <w14:textFill>
        <w14:solidFill>
          <w14:schemeClr w14:val="folHlink"/>
        </w14:solidFill>
      </w14:textFill>
    </w:rPr>
  </w:style>
  <w:style w:type="character" w:styleId="25">
    <w:name w:val="Hyperlink"/>
    <w:basedOn w:val="23"/>
    <w:autoRedefine/>
    <w:unhideWhenUsed/>
    <w:qFormat/>
    <w:uiPriority w:val="99"/>
    <w:rPr>
      <w:color w:val="0563C1" w:themeColor="hyperlink"/>
      <w:u w:val="single"/>
      <w14:textFill>
        <w14:solidFill>
          <w14:schemeClr w14:val="hlink"/>
        </w14:solidFill>
      </w14:textFill>
    </w:rPr>
  </w:style>
  <w:style w:type="character" w:styleId="26">
    <w:name w:val="annotation reference"/>
    <w:basedOn w:val="23"/>
    <w:autoRedefine/>
    <w:qFormat/>
    <w:uiPriority w:val="0"/>
    <w:rPr>
      <w:sz w:val="21"/>
      <w:szCs w:val="21"/>
    </w:rPr>
  </w:style>
  <w:style w:type="character" w:styleId="27">
    <w:name w:val="footnote reference"/>
    <w:basedOn w:val="23"/>
    <w:autoRedefine/>
    <w:qFormat/>
    <w:uiPriority w:val="0"/>
    <w:rPr>
      <w:vertAlign w:val="superscript"/>
    </w:rPr>
  </w:style>
  <w:style w:type="paragraph" w:styleId="28">
    <w:name w:val="List Paragraph"/>
    <w:basedOn w:val="1"/>
    <w:autoRedefine/>
    <w:qFormat/>
    <w:uiPriority w:val="34"/>
    <w:pPr>
      <w:ind w:firstLine="420" w:firstLineChars="200"/>
    </w:pPr>
  </w:style>
  <w:style w:type="paragraph" w:customStyle="1" w:styleId="29">
    <w:name w:val="WPSOffice手动目录 1"/>
    <w:autoRedefine/>
    <w:qFormat/>
    <w:uiPriority w:val="0"/>
    <w:rPr>
      <w:rFonts w:asciiTheme="minorHAnsi" w:hAnsiTheme="minorHAnsi" w:eastAsiaTheme="minorEastAsia" w:cstheme="minorBidi"/>
      <w:lang w:val="en-US" w:eastAsia="zh-CN" w:bidi="ar-SA"/>
    </w:rPr>
  </w:style>
  <w:style w:type="paragraph" w:customStyle="1" w:styleId="30">
    <w:name w:val="WPSOffice手动目录 2"/>
    <w:autoRedefine/>
    <w:qFormat/>
    <w:uiPriority w:val="0"/>
    <w:pPr>
      <w:ind w:left="200" w:leftChars="200"/>
    </w:pPr>
    <w:rPr>
      <w:rFonts w:asciiTheme="minorHAnsi" w:hAnsiTheme="minorHAnsi" w:eastAsiaTheme="minorEastAsia" w:cstheme="minorBidi"/>
      <w:lang w:val="en-US" w:eastAsia="zh-CN" w:bidi="ar-SA"/>
    </w:rPr>
  </w:style>
  <w:style w:type="paragraph" w:customStyle="1" w:styleId="31">
    <w:name w:val="WPSOffice手动目录 3"/>
    <w:autoRedefine/>
    <w:qFormat/>
    <w:uiPriority w:val="0"/>
    <w:pPr>
      <w:ind w:left="400" w:leftChars="400"/>
    </w:pPr>
    <w:rPr>
      <w:rFonts w:asciiTheme="minorHAnsi" w:hAnsiTheme="minorHAnsi" w:eastAsiaTheme="minorEastAsia" w:cstheme="minorBidi"/>
      <w:lang w:val="en-US" w:eastAsia="zh-CN" w:bidi="ar-SA"/>
    </w:rPr>
  </w:style>
  <w:style w:type="character" w:customStyle="1" w:styleId="32">
    <w:name w:val="页眉 字符"/>
    <w:basedOn w:val="23"/>
    <w:link w:val="15"/>
    <w:qFormat/>
    <w:uiPriority w:val="0"/>
    <w:rPr>
      <w:kern w:val="2"/>
      <w:sz w:val="18"/>
      <w:szCs w:val="24"/>
    </w:rPr>
  </w:style>
  <w:style w:type="character" w:customStyle="1" w:styleId="33">
    <w:name w:val="页脚 字符"/>
    <w:basedOn w:val="23"/>
    <w:link w:val="14"/>
    <w:autoRedefine/>
    <w:qFormat/>
    <w:uiPriority w:val="99"/>
    <w:rPr>
      <w:kern w:val="2"/>
      <w:sz w:val="18"/>
      <w:szCs w:val="24"/>
    </w:rPr>
  </w:style>
  <w:style w:type="character" w:customStyle="1" w:styleId="34">
    <w:name w:val="标题 4 字符"/>
    <w:basedOn w:val="23"/>
    <w:link w:val="5"/>
    <w:autoRedefine/>
    <w:qFormat/>
    <w:uiPriority w:val="9"/>
    <w:rPr>
      <w:rFonts w:ascii="Times New Roman" w:hAnsi="Times New Roman" w:eastAsia="宋体"/>
      <w:b/>
      <w:kern w:val="2"/>
      <w:sz w:val="24"/>
      <w:szCs w:val="24"/>
    </w:rPr>
  </w:style>
  <w:style w:type="paragraph" w:customStyle="1" w:styleId="35">
    <w:name w:val="Default"/>
    <w:qFormat/>
    <w:uiPriority w:val="0"/>
    <w:pPr>
      <w:widowControl w:val="0"/>
      <w:autoSpaceDE w:val="0"/>
      <w:autoSpaceDN w:val="0"/>
      <w:adjustRightInd w:val="0"/>
    </w:pPr>
    <w:rPr>
      <w:rFonts w:ascii="宋体" w:hAnsi="Calibri" w:eastAsia="宋体" w:cs="宋体"/>
      <w:color w:val="000000"/>
      <w:sz w:val="24"/>
      <w:szCs w:val="24"/>
      <w:lang w:val="en-US" w:eastAsia="zh-CN" w:bidi="ar-SA"/>
    </w:rPr>
  </w:style>
  <w:style w:type="paragraph" w:customStyle="1" w:styleId="36">
    <w:name w:val="题注1"/>
    <w:basedOn w:val="1"/>
    <w:autoRedefine/>
    <w:qFormat/>
    <w:uiPriority w:val="0"/>
    <w:pPr>
      <w:spacing w:line="360" w:lineRule="auto"/>
      <w:jc w:val="center"/>
    </w:pPr>
    <w:rPr>
      <w:rFonts w:eastAsia="黑体"/>
      <w:szCs w:val="21"/>
    </w:rPr>
  </w:style>
  <w:style w:type="character" w:customStyle="1" w:styleId="37">
    <w:name w:val="font11"/>
    <w:basedOn w:val="23"/>
    <w:autoRedefine/>
    <w:qFormat/>
    <w:uiPriority w:val="0"/>
    <w:rPr>
      <w:rFonts w:hint="eastAsia" w:ascii="宋体" w:hAnsi="宋体" w:eastAsia="宋体" w:cs="宋体"/>
      <w:color w:val="000000"/>
      <w:sz w:val="21"/>
      <w:szCs w:val="21"/>
      <w:u w:val="none"/>
    </w:rPr>
  </w:style>
  <w:style w:type="character" w:customStyle="1" w:styleId="38">
    <w:name w:val="font21"/>
    <w:basedOn w:val="23"/>
    <w:qFormat/>
    <w:uiPriority w:val="0"/>
    <w:rPr>
      <w:rFonts w:hint="default" w:ascii="Times New Roman" w:hAnsi="Times New Roman" w:cs="Times New Roman"/>
      <w:color w:val="000000"/>
      <w:sz w:val="21"/>
      <w:szCs w:val="21"/>
      <w:u w:val="none"/>
    </w:rPr>
  </w:style>
  <w:style w:type="character" w:customStyle="1" w:styleId="39">
    <w:name w:val="font31"/>
    <w:basedOn w:val="23"/>
    <w:autoRedefine/>
    <w:qFormat/>
    <w:uiPriority w:val="0"/>
    <w:rPr>
      <w:rFonts w:hint="eastAsia" w:ascii="宋体" w:hAnsi="宋体" w:eastAsia="宋体" w:cs="宋体"/>
      <w:b/>
      <w:bCs/>
      <w:color w:val="000000"/>
      <w:sz w:val="21"/>
      <w:szCs w:val="21"/>
      <w:u w:val="none"/>
    </w:rPr>
  </w:style>
  <w:style w:type="character" w:customStyle="1" w:styleId="40">
    <w:name w:val="font41"/>
    <w:basedOn w:val="23"/>
    <w:autoRedefine/>
    <w:qFormat/>
    <w:uiPriority w:val="0"/>
    <w:rPr>
      <w:rFonts w:hint="default" w:ascii="Times New Roman" w:hAnsi="Times New Roman" w:cs="Times New Roman"/>
      <w:b/>
      <w:bCs/>
      <w:color w:val="000000"/>
      <w:sz w:val="21"/>
      <w:szCs w:val="21"/>
      <w:u w:val="none"/>
    </w:rPr>
  </w:style>
  <w:style w:type="paragraph" w:customStyle="1" w:styleId="41">
    <w:name w:val="Revision"/>
    <w:hidden/>
    <w:unhideWhenUsed/>
    <w:qFormat/>
    <w:uiPriority w:val="99"/>
    <w:rPr>
      <w:rFonts w:ascii="Times New Roman" w:hAnsi="Times New Roman" w:eastAsia="宋体" w:cs="Times New Roman"/>
      <w:kern w:val="2"/>
      <w:sz w:val="21"/>
      <w:szCs w:val="24"/>
      <w:lang w:val="en-US" w:eastAsia="zh-CN" w:bidi="ar-SA"/>
    </w:rPr>
  </w:style>
  <w:style w:type="character" w:customStyle="1" w:styleId="42">
    <w:name w:val="批注文字 字符"/>
    <w:basedOn w:val="23"/>
    <w:link w:val="11"/>
    <w:autoRedefine/>
    <w:qFormat/>
    <w:uiPriority w:val="0"/>
    <w:rPr>
      <w:kern w:val="2"/>
      <w:sz w:val="21"/>
      <w:szCs w:val="24"/>
    </w:rPr>
  </w:style>
  <w:style w:type="character" w:customStyle="1" w:styleId="43">
    <w:name w:val="批注主题 字符"/>
    <w:basedOn w:val="42"/>
    <w:link w:val="20"/>
    <w:autoRedefine/>
    <w:semiHidden/>
    <w:qFormat/>
    <w:uiPriority w:val="0"/>
    <w:rPr>
      <w:b/>
      <w:bCs/>
      <w:kern w:val="2"/>
      <w:sz w:val="21"/>
      <w:szCs w:val="24"/>
    </w:rPr>
  </w:style>
  <w:style w:type="character" w:customStyle="1" w:styleId="44">
    <w:name w:val="Unresolved Mention"/>
    <w:basedOn w:val="23"/>
    <w:autoRedefine/>
    <w:semiHidden/>
    <w:unhideWhenUsed/>
    <w:qFormat/>
    <w:uiPriority w:val="99"/>
    <w:rPr>
      <w:color w:val="605E5C"/>
      <w:shd w:val="clear" w:color="auto" w:fill="E1DFDD"/>
    </w:rPr>
  </w:style>
  <w:style w:type="paragraph" w:customStyle="1" w:styleId="45">
    <w:name w:val="列出段落1"/>
    <w:basedOn w:val="1"/>
    <w:autoRedefine/>
    <w:qFormat/>
    <w:uiPriority w:val="99"/>
    <w:pPr>
      <w:ind w:firstLine="420" w:firstLineChars="200"/>
    </w:pPr>
  </w:style>
  <w:style w:type="character" w:customStyle="1" w:styleId="46">
    <w:name w:val="font51"/>
    <w:basedOn w:val="23"/>
    <w:autoRedefine/>
    <w:qFormat/>
    <w:uiPriority w:val="0"/>
    <w:rPr>
      <w:rFonts w:hint="default" w:ascii="Times New Roman" w:hAnsi="Times New Roman" w:cs="Times New Roman"/>
      <w:color w:val="000000"/>
      <w:sz w:val="21"/>
      <w:szCs w:val="21"/>
      <w:u w:val="none"/>
    </w:rPr>
  </w:style>
  <w:style w:type="character" w:customStyle="1" w:styleId="47">
    <w:name w:val="font61"/>
    <w:basedOn w:val="23"/>
    <w:autoRedefine/>
    <w:qFormat/>
    <w:uiPriority w:val="0"/>
    <w:rPr>
      <w:rFonts w:hint="default" w:ascii="Times New Roman" w:hAnsi="Times New Roman" w:cs="Times New Roman"/>
      <w:b/>
      <w:bCs/>
      <w:color w:val="000000"/>
      <w:sz w:val="21"/>
      <w:szCs w:val="21"/>
      <w:u w:val="none"/>
    </w:rPr>
  </w:style>
  <w:style w:type="paragraph" w:customStyle="1" w:styleId="48">
    <w:name w:val="段"/>
    <w:autoRedefine/>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lang w:val="en-US" w:eastAsia="zh-CN" w:bidi="ar-SA"/>
    </w:rPr>
  </w:style>
  <w:style w:type="paragraph" w:customStyle="1" w:styleId="49">
    <w:name w:val="正文表标题"/>
    <w:next w:val="48"/>
    <w:autoRedefine/>
    <w:qFormat/>
    <w:uiPriority w:val="0"/>
    <w:pPr>
      <w:numPr>
        <w:ilvl w:val="0"/>
        <w:numId w:val="2"/>
      </w:numPr>
      <w:spacing w:before="156" w:beforeLines="50" w:after="156" w:afterLines="50"/>
      <w:jc w:val="center"/>
    </w:pPr>
    <w:rPr>
      <w:rFonts w:ascii="黑体" w:hAnsi="Times New Roman" w:eastAsia="黑体" w:cs="Times New Roman"/>
      <w:sz w:val="21"/>
      <w:lang w:val="en-US" w:eastAsia="zh-CN" w:bidi="ar-SA"/>
    </w:rPr>
  </w:style>
  <w:style w:type="character" w:customStyle="1" w:styleId="50">
    <w:name w:val="font01"/>
    <w:basedOn w:val="23"/>
    <w:autoRedefine/>
    <w:qFormat/>
    <w:uiPriority w:val="0"/>
    <w:rPr>
      <w:rFonts w:hint="eastAsia" w:ascii="宋体" w:hAnsi="宋体" w:eastAsia="宋体" w:cs="宋体"/>
      <w:color w:val="000000"/>
      <w:sz w:val="22"/>
      <w:szCs w:val="22"/>
      <w:u w:val="none"/>
    </w:rPr>
  </w:style>
  <w:style w:type="character" w:customStyle="1" w:styleId="51">
    <w:name w:val="font81"/>
    <w:basedOn w:val="23"/>
    <w:autoRedefine/>
    <w:qFormat/>
    <w:uiPriority w:val="0"/>
    <w:rPr>
      <w:rFonts w:hint="eastAsia" w:ascii="宋体" w:hAnsi="宋体" w:eastAsia="宋体" w:cs="宋体"/>
      <w:b/>
      <w:bCs/>
      <w:color w:val="000000"/>
      <w:sz w:val="22"/>
      <w:szCs w:val="22"/>
      <w:u w:val="none"/>
    </w:rPr>
  </w:style>
  <w:style w:type="paragraph" w:customStyle="1" w:styleId="52">
    <w:name w:val="公式"/>
    <w:basedOn w:val="1"/>
    <w:qFormat/>
    <w:uiPriority w:val="0"/>
    <w:pPr>
      <w:tabs>
        <w:tab w:val="center" w:pos="4150"/>
        <w:tab w:val="right" w:pos="8505"/>
        <w:tab w:val="right" w:pos="9072"/>
        <w:tab w:val="right" w:pos="9526"/>
        <w:tab w:val="right" w:pos="9639"/>
        <w:tab w:val="right" w:pos="9923"/>
        <w:tab w:val="right" w:pos="10104"/>
        <w:tab w:val="right" w:pos="10206"/>
      </w:tabs>
      <w:spacing w:line="360" w:lineRule="auto"/>
    </w:pPr>
    <w:rPr>
      <w:rFonts w:ascii="黑体" w:hAnsi="黑体" w:eastAsia="黑体" w:cs="黑体"/>
      <w:spacing w:val="3"/>
      <w:position w:val="1"/>
      <w:sz w:val="20"/>
      <w:szCs w:val="20"/>
    </w:rPr>
  </w:style>
  <w:style w:type="table" w:customStyle="1" w:styleId="53">
    <w:name w:val="Table Normal"/>
    <w:semiHidden/>
    <w:unhideWhenUsed/>
    <w:qFormat/>
    <w:uiPriority w:val="0"/>
    <w:tblPr>
      <w:tblCellMar>
        <w:top w:w="0" w:type="dxa"/>
        <w:left w:w="0" w:type="dxa"/>
        <w:bottom w:w="0" w:type="dxa"/>
        <w:right w:w="0" w:type="dxa"/>
      </w:tblCellMar>
    </w:tblPr>
  </w:style>
  <w:style w:type="character" w:customStyle="1" w:styleId="54">
    <w:name w:val="font71"/>
    <w:basedOn w:val="23"/>
    <w:qFormat/>
    <w:uiPriority w:val="0"/>
    <w:rPr>
      <w:rFonts w:hint="default" w:ascii="Times New Roman" w:hAnsi="Times New Roman" w:cs="Times New Roman"/>
      <w:b/>
      <w:bCs/>
      <w:color w:val="000000"/>
      <w:sz w:val="21"/>
      <w:szCs w:val="21"/>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footer" Target="footer2.xml"/><Relationship Id="rId53" Type="http://schemas.openxmlformats.org/officeDocument/2006/relationships/fontTable" Target="fontTable.xml"/><Relationship Id="rId52" Type="http://schemas.openxmlformats.org/officeDocument/2006/relationships/customXml" Target="../customXml/item2.xml"/><Relationship Id="rId51" Type="http://schemas.openxmlformats.org/officeDocument/2006/relationships/numbering" Target="numbering.xml"/><Relationship Id="rId50" Type="http://schemas.openxmlformats.org/officeDocument/2006/relationships/customXml" Target="../customXml/item1.xml"/><Relationship Id="rId5" Type="http://schemas.openxmlformats.org/officeDocument/2006/relationships/footer" Target="footer1.xml"/><Relationship Id="rId49" Type="http://schemas.openxmlformats.org/officeDocument/2006/relationships/chart" Target="charts/chart13.xml"/><Relationship Id="rId48" Type="http://schemas.openxmlformats.org/officeDocument/2006/relationships/chart" Target="charts/chart12.xml"/><Relationship Id="rId47" Type="http://schemas.openxmlformats.org/officeDocument/2006/relationships/chart" Target="charts/chart11.xml"/><Relationship Id="rId46" Type="http://schemas.openxmlformats.org/officeDocument/2006/relationships/chart" Target="charts/chart10.xml"/><Relationship Id="rId45" Type="http://schemas.openxmlformats.org/officeDocument/2006/relationships/chart" Target="charts/chart9.xml"/><Relationship Id="rId44" Type="http://schemas.openxmlformats.org/officeDocument/2006/relationships/chart" Target="charts/chart8.xml"/><Relationship Id="rId43" Type="http://schemas.openxmlformats.org/officeDocument/2006/relationships/chart" Target="charts/chart7.xml"/><Relationship Id="rId42" Type="http://schemas.openxmlformats.org/officeDocument/2006/relationships/chart" Target="charts/chart6.xml"/><Relationship Id="rId41" Type="http://schemas.openxmlformats.org/officeDocument/2006/relationships/image" Target="media/image28.png"/><Relationship Id="rId40" Type="http://schemas.openxmlformats.org/officeDocument/2006/relationships/chart" Target="charts/chart5.xml"/><Relationship Id="rId4" Type="http://schemas.openxmlformats.org/officeDocument/2006/relationships/endnotes" Target="endnotes.xml"/><Relationship Id="rId39" Type="http://schemas.openxmlformats.org/officeDocument/2006/relationships/image" Target="media/image27.jpeg"/><Relationship Id="rId38" Type="http://schemas.openxmlformats.org/officeDocument/2006/relationships/image" Target="media/image26.jpeg"/><Relationship Id="rId37" Type="http://schemas.openxmlformats.org/officeDocument/2006/relationships/image" Target="media/image25.jpeg"/><Relationship Id="rId36" Type="http://schemas.openxmlformats.org/officeDocument/2006/relationships/image" Target="media/image24.jpeg"/><Relationship Id="rId35" Type="http://schemas.openxmlformats.org/officeDocument/2006/relationships/image" Target="media/image23.jpeg"/><Relationship Id="rId34" Type="http://schemas.openxmlformats.org/officeDocument/2006/relationships/image" Target="media/image22.jpeg"/><Relationship Id="rId33" Type="http://schemas.openxmlformats.org/officeDocument/2006/relationships/image" Target="media/image21.jpeg"/><Relationship Id="rId32" Type="http://schemas.openxmlformats.org/officeDocument/2006/relationships/image" Target="media/image20.jpeg"/><Relationship Id="rId31" Type="http://schemas.openxmlformats.org/officeDocument/2006/relationships/image" Target="media/image19.jpeg"/><Relationship Id="rId30" Type="http://schemas.openxmlformats.org/officeDocument/2006/relationships/image" Target="media/image18.jpeg"/><Relationship Id="rId3" Type="http://schemas.openxmlformats.org/officeDocument/2006/relationships/footnotes" Target="footnotes.xml"/><Relationship Id="rId29" Type="http://schemas.openxmlformats.org/officeDocument/2006/relationships/image" Target="media/image17.jpeg"/><Relationship Id="rId28" Type="http://schemas.openxmlformats.org/officeDocument/2006/relationships/image" Target="media/image16.jpeg"/><Relationship Id="rId27" Type="http://schemas.openxmlformats.org/officeDocument/2006/relationships/image" Target="media/image15.jpeg"/><Relationship Id="rId26" Type="http://schemas.openxmlformats.org/officeDocument/2006/relationships/image" Target="media/image14.jpeg"/><Relationship Id="rId25" Type="http://schemas.openxmlformats.org/officeDocument/2006/relationships/image" Target="media/image13.jpeg"/><Relationship Id="rId24" Type="http://schemas.openxmlformats.org/officeDocument/2006/relationships/image" Target="media/image12.jpeg"/><Relationship Id="rId23" Type="http://schemas.openxmlformats.org/officeDocument/2006/relationships/chart" Target="charts/chart4.xml"/><Relationship Id="rId22" Type="http://schemas.openxmlformats.org/officeDocument/2006/relationships/chart" Target="charts/chart3.xml"/><Relationship Id="rId21" Type="http://schemas.openxmlformats.org/officeDocument/2006/relationships/chart" Target="charts/chart2.xml"/><Relationship Id="rId20" Type="http://schemas.openxmlformats.org/officeDocument/2006/relationships/chart" Target="charts/chart1.xml"/><Relationship Id="rId2" Type="http://schemas.openxmlformats.org/officeDocument/2006/relationships/settings" Target="settings.xml"/><Relationship Id="rId19" Type="http://schemas.openxmlformats.org/officeDocument/2006/relationships/image" Target="media/image11.jpeg"/><Relationship Id="rId18" Type="http://schemas.openxmlformats.org/officeDocument/2006/relationships/image" Target="media/image10.jpeg"/><Relationship Id="rId17" Type="http://schemas.openxmlformats.org/officeDocument/2006/relationships/image" Target="media/image9.jpeg"/><Relationship Id="rId16" Type="http://schemas.openxmlformats.org/officeDocument/2006/relationships/image" Target="media/image8.png"/><Relationship Id="rId15" Type="http://schemas.openxmlformats.org/officeDocument/2006/relationships/image" Target="media/image7.jpe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jpe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charts/_rels/chart1.xml.rels><?xml version="1.0" encoding="UTF-8" standalone="yes"?>
<Relationships xmlns="http://schemas.openxmlformats.org/package/2006/relationships"><Relationship Id="rId3" Type="http://schemas.microsoft.com/office/2011/relationships/chartColorStyle" Target="colors12.xml"/><Relationship Id="rId2" Type="http://schemas.microsoft.com/office/2011/relationships/chartStyle" Target="style12.xml"/><Relationship Id="rId1" Type="http://schemas.openxmlformats.org/officeDocument/2006/relationships/package" Target="../embeddings/Workbook1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Workbook12.xlsx"/></Relationships>
</file>

<file path=word/charts/_rels/chart3.xml.rels><?xml version="1.0" encoding="UTF-8" standalone="yes"?>
<Relationships xmlns="http://schemas.openxmlformats.org/package/2006/relationships"><Relationship Id="rId3" Type="http://schemas.microsoft.com/office/2011/relationships/chartColorStyle" Target="colors11.xml"/><Relationship Id="rId2" Type="http://schemas.microsoft.com/office/2011/relationships/chartStyle" Target="style11.xml"/><Relationship Id="rId1" Type="http://schemas.openxmlformats.org/officeDocument/2006/relationships/package" Target="../embeddings/Workbook10.xlsx"/></Relationships>
</file>

<file path=word/charts/_rels/chart4.xml.rels><?xml version="1.0" encoding="UTF-8" standalone="yes"?>
<Relationships xmlns="http://schemas.openxmlformats.org/package/2006/relationships"><Relationship Id="rId3" Type="http://schemas.microsoft.com/office/2011/relationships/chartColorStyle" Target="colors10.xml"/><Relationship Id="rId2" Type="http://schemas.microsoft.com/office/2011/relationships/chartStyle" Target="style10.xml"/><Relationship Id="rId1" Type="http://schemas.openxmlformats.org/officeDocument/2006/relationships/oleObject" Target="file:///E:\&#22235;&#24029;&#30465;&#29615;&#31185;&#38498;\&#39033;&#30446;\2021&#24180;\&#30465;&#21381;&#26381;&#21153;\&#27773;&#20462;&#26631;&#20934;&#30456;&#20851;\&#29616;&#22330;&#35843;&#30740;&#36164;&#26009;\&#27773;&#20462;&#34892;&#19994;&#26631;&#20934;&#35843;&#26597;&#32467;&#26524;&#27719;&#24635;1204.xlsx" TargetMode="External"/></Relationships>
</file>

<file path=word/charts/_rels/chart5.xml.rels><?xml version="1.0" encoding="UTF-8" standalone="yes"?>
<Relationships xmlns="http://schemas.openxmlformats.org/package/2006/relationships"><Relationship Id="rId3" Type="http://schemas.microsoft.com/office/2011/relationships/chartColorStyle" Target="colors9.xml"/><Relationship Id="rId2" Type="http://schemas.microsoft.com/office/2011/relationships/chartStyle" Target="style9.xml"/><Relationship Id="rId1" Type="http://schemas.openxmlformats.org/officeDocument/2006/relationships/package" Target="../embeddings/Workbook9.xlsx"/></Relationships>
</file>

<file path=word/charts/_rels/chart6.xml.rels><?xml version="1.0" encoding="UTF-8" standalone="yes"?>
<Relationships xmlns="http://schemas.openxmlformats.org/package/2006/relationships"><Relationship Id="rId3" Type="http://schemas.microsoft.com/office/2011/relationships/chartColorStyle" Target="colors7.xml"/><Relationship Id="rId2" Type="http://schemas.microsoft.com/office/2011/relationships/chartStyle" Target="style7.xml"/><Relationship Id="rId1" Type="http://schemas.openxmlformats.org/officeDocument/2006/relationships/package" Target="../embeddings/Workbook7.xlsx"/></Relationships>
</file>

<file path=word/charts/_rels/chart7.xml.rels><?xml version="1.0" encoding="UTF-8" standalone="yes"?>
<Relationships xmlns="http://schemas.openxmlformats.org/package/2006/relationships"><Relationship Id="rId3" Type="http://schemas.microsoft.com/office/2011/relationships/chartColorStyle" Target="colors3.xml"/><Relationship Id="rId2" Type="http://schemas.microsoft.com/office/2011/relationships/chartStyle" Target="style3.xml"/><Relationship Id="rId1" Type="http://schemas.openxmlformats.org/officeDocument/2006/relationships/package" Target="../embeddings/Workbook3.xlsx"/></Relationships>
</file>

<file path=word/charts/_rels/chart8.xml.rels><?xml version="1.0" encoding="UTF-8" standalone="yes"?>
<Relationships xmlns="http://schemas.openxmlformats.org/package/2006/relationships"><Relationship Id="rId3" Type="http://schemas.microsoft.com/office/2011/relationships/chartColorStyle" Target="colors4.xml"/><Relationship Id="rId2" Type="http://schemas.microsoft.com/office/2011/relationships/chartStyle" Target="style4.xml"/><Relationship Id="rId1" Type="http://schemas.openxmlformats.org/officeDocument/2006/relationships/package" Target="../embeddings/Workbook4.xlsx"/></Relationships>
</file>

<file path=word/charts/_rels/chart9.xml.rels><?xml version="1.0" encoding="UTF-8" standalone="yes"?>
<Relationships xmlns="http://schemas.openxmlformats.org/package/2006/relationships"><Relationship Id="rId3" Type="http://schemas.microsoft.com/office/2011/relationships/chartColorStyle" Target="colors2.xml"/><Relationship Id="rId2" Type="http://schemas.microsoft.com/office/2011/relationships/chartStyle" Target="style2.xml"/><Relationship Id="rId1" Type="http://schemas.openxmlformats.org/officeDocument/2006/relationships/package" Target="../embeddings/Workbook2.xlsx"/></Relationships>
</file>

<file path=word/charts/_rels/chart10.xml.rels><?xml version="1.0" encoding="UTF-8" standalone="yes"?>
<Relationships xmlns="http://schemas.openxmlformats.org/package/2006/relationships"><Relationship Id="rId3" Type="http://schemas.microsoft.com/office/2011/relationships/chartColorStyle" Target="colors1.xml"/><Relationship Id="rId2" Type="http://schemas.microsoft.com/office/2011/relationships/chartStyle" Target="style1.xml"/><Relationship Id="rId1" Type="http://schemas.openxmlformats.org/officeDocument/2006/relationships/package" Target="../embeddings/Workbook1.xlsx"/></Relationships>
</file>

<file path=word/charts/_rels/chart11.xml.rels><?xml version="1.0" encoding="UTF-8" standalone="yes"?>
<Relationships xmlns="http://schemas.openxmlformats.org/package/2006/relationships"><Relationship Id="rId3" Type="http://schemas.microsoft.com/office/2011/relationships/chartColorStyle" Target="colors8.xml"/><Relationship Id="rId2" Type="http://schemas.microsoft.com/office/2011/relationships/chartStyle" Target="style8.xml"/><Relationship Id="rId1" Type="http://schemas.openxmlformats.org/officeDocument/2006/relationships/package" Target="../embeddings/Workbook8.xlsx"/></Relationships>
</file>

<file path=word/charts/_rels/chart12.xml.rels><?xml version="1.0" encoding="UTF-8" standalone="yes"?>
<Relationships xmlns="http://schemas.openxmlformats.org/package/2006/relationships"><Relationship Id="rId3" Type="http://schemas.microsoft.com/office/2011/relationships/chartColorStyle" Target="colors5.xml"/><Relationship Id="rId2" Type="http://schemas.microsoft.com/office/2011/relationships/chartStyle" Target="style5.xml"/><Relationship Id="rId1" Type="http://schemas.openxmlformats.org/officeDocument/2006/relationships/package" Target="../embeddings/Workbook5.xlsx"/></Relationships>
</file>

<file path=word/charts/_rels/chart13.xml.rels><?xml version="1.0" encoding="UTF-8" standalone="yes"?>
<Relationships xmlns="http://schemas.openxmlformats.org/package/2006/relationships"><Relationship Id="rId3" Type="http://schemas.microsoft.com/office/2011/relationships/chartColorStyle" Target="colors6.xml"/><Relationship Id="rId2" Type="http://schemas.microsoft.com/office/2011/relationships/chartStyle" Target="style6.xml"/><Relationship Id="rId1" Type="http://schemas.openxmlformats.org/officeDocument/2006/relationships/package" Target="../embeddings/Workbook6.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tx>
            <c:strRef>
              <c:f>Sheet1!$B$1</c:f>
              <c:strCache>
                <c:ptCount val="1"/>
                <c:pt idx="0">
                  <c:v>销售额</c:v>
                </c:pt>
              </c:strCache>
            </c:strRef>
          </c:tx>
          <c:spPr/>
          <c:explosion val="0"/>
          <c:dPt>
            <c:idx val="0"/>
            <c:bubble3D val="0"/>
            <c:spPr>
              <a:solidFill>
                <a:schemeClr val="accent1"/>
              </a:solidFill>
              <a:ln>
                <a:solidFill>
                  <a:schemeClr val="bg1"/>
                </a:solidFill>
              </a:ln>
              <a:effectLst/>
            </c:spPr>
          </c:dPt>
          <c:dPt>
            <c:idx val="1"/>
            <c:bubble3D val="0"/>
            <c:spPr>
              <a:solidFill>
                <a:schemeClr val="accent2"/>
              </a:solidFill>
              <a:ln>
                <a:solidFill>
                  <a:schemeClr val="bg1"/>
                </a:solidFill>
              </a:ln>
              <a:effectLst/>
            </c:spPr>
          </c:dPt>
          <c:dPt>
            <c:idx val="2"/>
            <c:bubble3D val="0"/>
            <c:spPr>
              <a:solidFill>
                <a:schemeClr val="accent3"/>
              </a:solidFill>
              <a:ln>
                <a:solidFill>
                  <a:schemeClr val="bg1"/>
                </a:solidFill>
              </a:ln>
              <a:effectLst/>
            </c:spPr>
          </c:dPt>
          <c:dLbls>
            <c:dLbl>
              <c:idx val="0"/>
              <c:layout/>
              <c:numFmt formatCode="General" sourceLinked="1"/>
              <c:spPr>
                <a:noFill/>
                <a:ln>
                  <a:noFill/>
                </a:ln>
                <a:effectLst/>
              </c:spPr>
              <c:txPr>
                <a:bodyPr rot="0" spcFirstLastPara="0" vertOverflow="ellipsis" vert="horz" wrap="square" lIns="38100" tIns="19050" rIns="38100" bIns="19050" anchor="ctr" anchorCtr="1"/>
                <a:lstStyle/>
                <a:p>
                  <a:pPr>
                    <a:defRPr lang="zh-CN" sz="1000" b="1" i="0" u="none" strike="noStrike" kern="1200" spc="0" baseline="0">
                      <a:solidFill>
                        <a:schemeClr val="accent1"/>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outEnd"/>
              <c:showLegendKey val="0"/>
              <c:showVal val="0"/>
              <c:showCatName val="1"/>
              <c:showSerName val="0"/>
              <c:showPercent val="1"/>
              <c:showBubbleSize val="0"/>
              <c:separator>
</c:separator>
              <c:extLst>
                <c:ext xmlns:c15="http://schemas.microsoft.com/office/drawing/2012/chart" uri="{CE6537A1-D6FC-4f65-9D91-7224C49458BB}"/>
              </c:extLst>
            </c:dLbl>
            <c:dLbl>
              <c:idx val="1"/>
              <c:layout/>
              <c:numFmt formatCode="General" sourceLinked="1"/>
              <c:spPr>
                <a:noFill/>
                <a:ln>
                  <a:noFill/>
                </a:ln>
                <a:effectLst/>
              </c:spPr>
              <c:txPr>
                <a:bodyPr rot="0" spcFirstLastPara="0" vertOverflow="ellipsis" vert="horz" wrap="square" lIns="38100" tIns="19050" rIns="38100" bIns="19050" anchor="ctr" anchorCtr="1"/>
                <a:lstStyle/>
                <a:p>
                  <a:pPr>
                    <a:defRPr lang="zh-CN" sz="1000" b="1" i="0" u="none" strike="noStrike" kern="1200" spc="0" baseline="0">
                      <a:solidFill>
                        <a:schemeClr val="accent2"/>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outEnd"/>
              <c:showLegendKey val="0"/>
              <c:showVal val="0"/>
              <c:showCatName val="1"/>
              <c:showSerName val="0"/>
              <c:showPercent val="1"/>
              <c:showBubbleSize val="0"/>
              <c:separator>
</c:separator>
              <c:extLst>
                <c:ext xmlns:c15="http://schemas.microsoft.com/office/drawing/2012/chart" uri="{CE6537A1-D6FC-4f65-9D91-7224C49458BB}"/>
              </c:extLst>
            </c:dLbl>
            <c:dLbl>
              <c:idx val="2"/>
              <c:layout/>
              <c:numFmt formatCode="General" sourceLinked="1"/>
              <c:spPr>
                <a:noFill/>
                <a:ln>
                  <a:noFill/>
                </a:ln>
                <a:effectLst/>
              </c:spPr>
              <c:txPr>
                <a:bodyPr rot="0" spcFirstLastPara="0" vertOverflow="ellipsis" vert="horz" wrap="square" lIns="38100" tIns="19050" rIns="38100" bIns="19050" anchor="ctr" anchorCtr="1"/>
                <a:lstStyle/>
                <a:p>
                  <a:pPr>
                    <a:defRPr lang="zh-CN" sz="1000" b="1" i="0" u="none" strike="noStrike" kern="1200" spc="0" baseline="0">
                      <a:solidFill>
                        <a:schemeClr val="accent3"/>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outEnd"/>
              <c:showLegendKey val="0"/>
              <c:showVal val="0"/>
              <c:showCatName val="1"/>
              <c:showSerName val="0"/>
              <c:showPercent val="1"/>
              <c:showBubbleSize val="0"/>
              <c:separator>
</c:separator>
              <c:extLst>
                <c:ext xmlns:c15="http://schemas.microsoft.com/office/drawing/2012/chart" uri="{CE6537A1-D6FC-4f65-9D91-7224C49458BB}"/>
              </c:extLst>
            </c:dLbl>
            <c:spPr>
              <a:noFill/>
              <a:ln>
                <a:noFill/>
              </a:ln>
              <a:effectLst/>
            </c:spPr>
            <c:txPr>
              <a:bodyPr rot="0" spcFirstLastPara="0" vertOverflow="ellipsis" vert="horz" wrap="square" lIns="38100" tIns="19050" rIns="38100" bIns="19050" anchor="ctr" anchorCtr="1"/>
              <a:lstStyle/>
              <a:p>
                <a:pPr>
                  <a:defRPr lang="zh-CN" sz="1000" b="1" i="0" u="none" strike="noStrike" kern="1200" spc="0" baseline="0">
                    <a:solidFill>
                      <a:schemeClr val="accent1"/>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outEnd"/>
            <c:showLegendKey val="0"/>
            <c:showVal val="0"/>
            <c:showCatName val="1"/>
            <c:showSerName val="0"/>
            <c:showPercent val="1"/>
            <c:showBubbleSize val="0"/>
            <c:showLeaderLines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Sheet1!$A$2:$A$4</c:f>
              <c:strCache>
                <c:ptCount val="3"/>
                <c:pt idx="0">
                  <c:v>一类</c:v>
                </c:pt>
                <c:pt idx="1">
                  <c:v>二类</c:v>
                </c:pt>
                <c:pt idx="2">
                  <c:v>三类</c:v>
                </c:pt>
              </c:strCache>
            </c:strRef>
          </c:cat>
          <c:val>
            <c:numRef>
              <c:f>Sheet1!$B$2:$B$4</c:f>
              <c:numCache>
                <c:formatCode>General</c:formatCode>
                <c:ptCount val="3"/>
                <c:pt idx="0">
                  <c:v>606</c:v>
                </c:pt>
                <c:pt idx="1">
                  <c:v>2409</c:v>
                </c:pt>
                <c:pt idx="2">
                  <c:v>1290</c:v>
                </c:pt>
              </c:numCache>
            </c:numRef>
          </c:val>
        </c:ser>
        <c:dLbls>
          <c:showLegendKey val="0"/>
          <c:showVal val="0"/>
          <c:showCatName val="1"/>
          <c:showSerName val="0"/>
          <c:showPercent val="0"/>
          <c:showBubbleSize val="0"/>
          <c:showLeaderLines val="1"/>
        </c:dLbls>
        <c:firstSliceAng val="0"/>
      </c:pieChart>
      <c:spPr>
        <a:noFill/>
        <a:ln>
          <a:noFill/>
        </a:ln>
        <a:effectLst/>
      </c:spPr>
    </c:plotArea>
    <c:plotVisOnly val="1"/>
    <c:dispBlanksAs val="gap"/>
    <c:showDLblsOverMax val="0"/>
    <c:extLst>
      <c:ext uri="{0b15fc19-7d7d-44ad-8c2d-2c3a37ce22c3}">
        <chartProps xmlns="https://web.wps.cn/et/2018/main" chartId="{8fc2c5ec-df6c-4c52-8ed8-bc3691351426}"/>
      </c:ext>
    </c:extLst>
  </c:chart>
  <c:spPr>
    <a:solidFill>
      <a:schemeClr val="bg1"/>
    </a:solidFill>
    <a:ln w="9525" cap="flat" cmpd="sng" algn="ctr">
      <a:solidFill>
        <a:schemeClr val="tx1">
          <a:lumMod val="15000"/>
          <a:lumOff val="85000"/>
        </a:schemeClr>
      </a:solidFill>
      <a:round/>
    </a:ln>
    <a:effectLst/>
  </c:spPr>
  <c:txPr>
    <a:bodyPr/>
    <a:lstStyle/>
    <a:p>
      <a:pPr>
        <a:defRPr lang="zh-CN">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ofPieChart>
        <c:ofPieType val="bar"/>
        <c:varyColors val="1"/>
        <c:ser>
          <c:idx val="0"/>
          <c:order val="0"/>
          <c:tx>
            <c:strRef>
              <c:f>Sheet1!$B$1</c:f>
              <c:strCache>
                <c:ptCount val="1"/>
                <c:pt idx="0">
                  <c:v>销售额</c:v>
                </c:pt>
              </c:strCache>
            </c:strRef>
          </c:tx>
          <c:explosion val="0"/>
          <c:dPt>
            <c:idx val="0"/>
            <c:bubble3D val="0"/>
            <c:spPr>
              <a:solidFill>
                <a:schemeClr val="accent1"/>
              </a:solidFill>
              <a:ln w="9525">
                <a:solidFill>
                  <a:schemeClr val="bg1"/>
                </a:solidFill>
              </a:ln>
              <a:effectLst/>
            </c:spPr>
          </c:dPt>
          <c:dPt>
            <c:idx val="1"/>
            <c:bubble3D val="0"/>
            <c:spPr>
              <a:solidFill>
                <a:schemeClr val="accent2"/>
              </a:solidFill>
              <a:ln w="9525">
                <a:solidFill>
                  <a:schemeClr val="bg1"/>
                </a:solidFill>
              </a:ln>
              <a:effectLst/>
            </c:spPr>
          </c:dPt>
          <c:dPt>
            <c:idx val="2"/>
            <c:bubble3D val="0"/>
            <c:spPr>
              <a:solidFill>
                <a:schemeClr val="accent3"/>
              </a:solidFill>
              <a:ln w="9525">
                <a:solidFill>
                  <a:schemeClr val="bg1"/>
                </a:solidFill>
              </a:ln>
              <a:effectLst/>
            </c:spPr>
          </c:dPt>
          <c:dPt>
            <c:idx val="3"/>
            <c:bubble3D val="0"/>
            <c:spPr>
              <a:solidFill>
                <a:schemeClr val="accent4"/>
              </a:solidFill>
              <a:ln w="9525">
                <a:solidFill>
                  <a:schemeClr val="bg1"/>
                </a:solidFill>
              </a:ln>
              <a:effectLst/>
            </c:spPr>
          </c:dPt>
          <c:dPt>
            <c:idx val="4"/>
            <c:bubble3D val="0"/>
            <c:spPr>
              <a:solidFill>
                <a:schemeClr val="accent5"/>
              </a:solidFill>
              <a:ln w="9525">
                <a:solidFill>
                  <a:schemeClr val="bg1"/>
                </a:solidFill>
              </a:ln>
              <a:effectLst/>
            </c:spPr>
          </c:dPt>
          <c:dPt>
            <c:idx val="5"/>
            <c:bubble3D val="0"/>
            <c:spPr>
              <a:solidFill>
                <a:schemeClr val="accent6"/>
              </a:solidFill>
              <a:ln w="9525">
                <a:solidFill>
                  <a:schemeClr val="bg1"/>
                </a:solidFill>
              </a:ln>
              <a:effectLst/>
            </c:spPr>
          </c:dPt>
          <c:dPt>
            <c:idx val="6"/>
            <c:bubble3D val="0"/>
            <c:spPr>
              <a:solidFill>
                <a:schemeClr val="accent1">
                  <a:lumMod val="60000"/>
                </a:schemeClr>
              </a:solidFill>
              <a:ln w="9525">
                <a:solidFill>
                  <a:schemeClr val="bg1"/>
                </a:solidFill>
              </a:ln>
              <a:effectLst/>
            </c:spPr>
          </c:dPt>
          <c:dPt>
            <c:idx val="7"/>
            <c:bubble3D val="0"/>
            <c:spPr>
              <a:solidFill>
                <a:schemeClr val="accent2">
                  <a:lumMod val="60000"/>
                </a:schemeClr>
              </a:solidFill>
              <a:ln w="9525">
                <a:solidFill>
                  <a:schemeClr val="bg1"/>
                </a:solidFill>
              </a:ln>
              <a:effectLst/>
            </c:spPr>
          </c:dPt>
          <c:dPt>
            <c:idx val="8"/>
            <c:bubble3D val="0"/>
            <c:spPr>
              <a:solidFill>
                <a:schemeClr val="accent3">
                  <a:lumMod val="60000"/>
                </a:schemeClr>
              </a:solidFill>
              <a:ln w="9525">
                <a:solidFill>
                  <a:schemeClr val="bg1"/>
                </a:solidFill>
              </a:ln>
              <a:effectLst/>
            </c:spPr>
          </c:dPt>
          <c:dPt>
            <c:idx val="9"/>
            <c:bubble3D val="0"/>
            <c:spPr>
              <a:solidFill>
                <a:schemeClr val="accent4">
                  <a:lumMod val="60000"/>
                </a:schemeClr>
              </a:solidFill>
              <a:ln w="9525">
                <a:solidFill>
                  <a:schemeClr val="bg1"/>
                </a:solidFill>
              </a:ln>
              <a:effectLst/>
            </c:spPr>
          </c:dPt>
          <c:dPt>
            <c:idx val="10"/>
            <c:bubble3D val="0"/>
            <c:spPr>
              <a:solidFill>
                <a:schemeClr val="accent5">
                  <a:lumMod val="60000"/>
                </a:schemeClr>
              </a:solidFill>
              <a:ln w="9525">
                <a:solidFill>
                  <a:schemeClr val="bg1"/>
                </a:solidFill>
              </a:ln>
              <a:effectLst/>
            </c:spPr>
          </c:dPt>
          <c:dLbls>
            <c:dLbl>
              <c:idx val="0"/>
              <c:layout>
                <c:manualLayout>
                  <c:x val="-0.108856088560886"/>
                  <c:y val="-0.0998011209546194"/>
                </c:manualLayout>
              </c:layout>
              <c:dLblPos val="bestFit"/>
              <c:showLegendKey val="0"/>
              <c:showVal val="0"/>
              <c:showCatName val="1"/>
              <c:showSerName val="0"/>
              <c:showPercent val="1"/>
              <c:showBubbleSize val="0"/>
              <c:separator>
</c:separator>
              <c:extLst>
                <c:ext xmlns:c15="http://schemas.microsoft.com/office/drawing/2012/chart" uri="{CE6537A1-D6FC-4f65-9D91-7224C49458BB}">
                  <c15:layout/>
                </c:ext>
              </c:extLst>
            </c:dLbl>
            <c:dLbl>
              <c:idx val="1"/>
              <c:layout/>
              <c:numFmt formatCode="0.0%" sourceLinked="0"/>
              <c:spPr>
                <a:noFill/>
                <a:ln>
                  <a:noFill/>
                </a:ln>
                <a:effectLst/>
              </c:spPr>
              <c:txPr>
                <a:bodyPr rot="0" spcFirstLastPara="0" vertOverflow="ellipsis" vert="horz" wrap="square" lIns="38100" tIns="19050" rIns="38100" bIns="19050" anchor="ctr" anchorCtr="1"/>
                <a:lstStyle/>
                <a:p>
                  <a:pPr>
                    <a:defRPr lang="zh-CN" sz="1000" b="1" i="0" u="none" strike="noStrike" kern="1200" spc="0" baseline="0">
                      <a:solidFill>
                        <a:schemeClr val="accent2"/>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outEnd"/>
              <c:showLegendKey val="0"/>
              <c:showVal val="0"/>
              <c:showCatName val="1"/>
              <c:showSerName val="0"/>
              <c:showPercent val="1"/>
              <c:showBubbleSize val="0"/>
              <c:separator>
</c:separator>
              <c:extLst>
                <c:ext xmlns:c15="http://schemas.microsoft.com/office/drawing/2012/chart" uri="{CE6537A1-D6FC-4f65-9D91-7224C49458BB}"/>
              </c:extLst>
            </c:dLbl>
            <c:dLbl>
              <c:idx val="2"/>
              <c:layout>
                <c:manualLayout>
                  <c:x val="0.0202952029520295"/>
                  <c:y val="-0.221298137768939"/>
                </c:manualLayout>
              </c:layout>
              <c:numFmt formatCode="0.0%" sourceLinked="0"/>
              <c:spPr>
                <a:noFill/>
                <a:ln>
                  <a:noFill/>
                </a:ln>
                <a:effectLst/>
              </c:spPr>
              <c:txPr>
                <a:bodyPr rot="0" spcFirstLastPara="0" vertOverflow="ellipsis" vert="horz" wrap="square" lIns="38100" tIns="19050" rIns="38100" bIns="19050" anchor="ctr" anchorCtr="1"/>
                <a:lstStyle/>
                <a:p>
                  <a:pPr>
                    <a:defRPr lang="zh-CN" sz="1000" b="1" i="0" u="none" strike="noStrike" kern="1200" spc="0" baseline="0">
                      <a:solidFill>
                        <a:schemeClr val="accent3"/>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bestFit"/>
              <c:showLegendKey val="0"/>
              <c:showVal val="0"/>
              <c:showCatName val="1"/>
              <c:showSerName val="0"/>
              <c:showPercent val="1"/>
              <c:showBubbleSize val="0"/>
              <c:separator>
</c:separator>
              <c:extLst>
                <c:ext xmlns:c15="http://schemas.microsoft.com/office/drawing/2012/chart" uri="{CE6537A1-D6FC-4f65-9D91-7224C49458BB}">
                  <c15:layout/>
                </c:ext>
              </c:extLst>
            </c:dLbl>
            <c:dLbl>
              <c:idx val="3"/>
              <c:layout/>
              <c:numFmt formatCode="0.0%" sourceLinked="0"/>
              <c:spPr>
                <a:noFill/>
                <a:ln>
                  <a:noFill/>
                </a:ln>
                <a:effectLst/>
              </c:spPr>
              <c:txPr>
                <a:bodyPr rot="0" spcFirstLastPara="0" vertOverflow="ellipsis" vert="horz" wrap="square" lIns="38100" tIns="19050" rIns="38100" bIns="19050" anchor="ctr" anchorCtr="1"/>
                <a:lstStyle/>
                <a:p>
                  <a:pPr>
                    <a:defRPr lang="zh-CN" sz="1000" b="1" i="0" u="none" strike="noStrike" kern="1200" spc="0" baseline="0">
                      <a:solidFill>
                        <a:schemeClr val="accent4"/>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outEnd"/>
              <c:showLegendKey val="0"/>
              <c:showVal val="0"/>
              <c:showCatName val="1"/>
              <c:showSerName val="0"/>
              <c:showPercent val="1"/>
              <c:showBubbleSize val="0"/>
              <c:separator>
</c:separator>
              <c:extLst>
                <c:ext xmlns:c15="http://schemas.microsoft.com/office/drawing/2012/chart" uri="{CE6537A1-D6FC-4f65-9D91-7224C49458BB}"/>
              </c:extLst>
            </c:dLbl>
            <c:dLbl>
              <c:idx val="4"/>
              <c:layout>
                <c:manualLayout>
                  <c:x val="-0.0867158671586716"/>
                  <c:y val="-0.130175375158199"/>
                </c:manualLayout>
              </c:layout>
              <c:numFmt formatCode="0.0%" sourceLinked="0"/>
              <c:spPr>
                <a:noFill/>
                <a:ln>
                  <a:noFill/>
                </a:ln>
                <a:effectLst/>
              </c:spPr>
              <c:txPr>
                <a:bodyPr rot="0" spcFirstLastPara="0" vertOverflow="ellipsis" vert="horz" wrap="square" lIns="38100" tIns="19050" rIns="38100" bIns="19050" anchor="ctr" anchorCtr="1"/>
                <a:lstStyle/>
                <a:p>
                  <a:pPr>
                    <a:defRPr lang="zh-CN" sz="1000" b="1" i="0" u="none" strike="noStrike" kern="1200" spc="0" baseline="0">
                      <a:solidFill>
                        <a:schemeClr val="accent5"/>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bestFit"/>
              <c:showLegendKey val="0"/>
              <c:showVal val="0"/>
              <c:showCatName val="1"/>
              <c:showSerName val="0"/>
              <c:showPercent val="1"/>
              <c:showBubbleSize val="0"/>
              <c:separator>
</c:separator>
              <c:extLst>
                <c:ext xmlns:c15="http://schemas.microsoft.com/office/drawing/2012/chart" uri="{CE6537A1-D6FC-4f65-9D91-7224C49458BB}">
                  <c15:layout/>
                </c:ext>
              </c:extLst>
            </c:dLbl>
            <c:dLbl>
              <c:idx val="5"/>
              <c:layout>
                <c:manualLayout>
                  <c:x val="-0.03690036900369"/>
                  <c:y val="-0.0368830229614898"/>
                </c:manualLayout>
              </c:layout>
              <c:numFmt formatCode="0.0%" sourceLinked="0"/>
              <c:spPr>
                <a:noFill/>
                <a:ln>
                  <a:noFill/>
                </a:ln>
                <a:effectLst/>
              </c:spPr>
              <c:txPr>
                <a:bodyPr rot="0" spcFirstLastPara="0" vertOverflow="ellipsis" vert="horz" wrap="square" lIns="38100" tIns="19050" rIns="38100" bIns="19050" anchor="ctr" anchorCtr="1"/>
                <a:lstStyle/>
                <a:p>
                  <a:pPr>
                    <a:defRPr lang="zh-CN" sz="1000" b="1" i="0" u="none" strike="noStrike" kern="1200" spc="0" baseline="0">
                      <a:solidFill>
                        <a:schemeClr val="accent6"/>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bestFit"/>
              <c:showLegendKey val="0"/>
              <c:showVal val="0"/>
              <c:showCatName val="1"/>
              <c:showSerName val="0"/>
              <c:showPercent val="1"/>
              <c:showBubbleSize val="0"/>
              <c:separator>
</c:separator>
              <c:extLst>
                <c:ext xmlns:c15="http://schemas.microsoft.com/office/drawing/2012/chart" uri="{CE6537A1-D6FC-4f65-9D91-7224C49458BB}">
                  <c15:layout/>
                </c:ext>
              </c:extLst>
            </c:dLbl>
            <c:dLbl>
              <c:idx val="6"/>
              <c:layout>
                <c:manualLayout>
                  <c:x val="0.0018450184501845"/>
                  <c:y val="-0.158380039775809"/>
                </c:manualLayout>
              </c:layout>
              <c:numFmt formatCode="0.0%" sourceLinked="0"/>
              <c:spPr>
                <a:noFill/>
                <a:ln>
                  <a:noFill/>
                </a:ln>
                <a:effectLst/>
              </c:spPr>
              <c:txPr>
                <a:bodyPr rot="0" spcFirstLastPara="0" vertOverflow="ellipsis" vert="horz" wrap="square" lIns="38100" tIns="19050" rIns="38100" bIns="19050" anchor="ctr" anchorCtr="1"/>
                <a:lstStyle/>
                <a:p>
                  <a:pPr>
                    <a:defRPr lang="zh-CN" sz="1000" b="1" i="0" u="none" strike="noStrike" kern="1200" spc="0" baseline="0">
                      <a:solidFill>
                        <a:schemeClr val="accent1">
                          <a:lumMod val="60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bestFit"/>
              <c:showLegendKey val="0"/>
              <c:showVal val="0"/>
              <c:showCatName val="1"/>
              <c:showSerName val="0"/>
              <c:showPercent val="1"/>
              <c:showBubbleSize val="0"/>
              <c:separator>
</c:separator>
              <c:extLst>
                <c:ext xmlns:c15="http://schemas.microsoft.com/office/drawing/2012/chart" uri="{CE6537A1-D6FC-4f65-9D91-7224C49458BB}">
                  <c15:layout/>
                </c:ext>
              </c:extLst>
            </c:dLbl>
            <c:dLbl>
              <c:idx val="7"/>
              <c:layout>
                <c:manualLayout>
                  <c:x val="0"/>
                  <c:y val="-0.0412222021334298"/>
                </c:manualLayout>
              </c:layout>
              <c:numFmt formatCode="0.0%" sourceLinked="0"/>
              <c:spPr>
                <a:noFill/>
                <a:ln>
                  <a:noFill/>
                </a:ln>
                <a:effectLst/>
              </c:spPr>
              <c:txPr>
                <a:bodyPr rot="0" spcFirstLastPara="0" vertOverflow="ellipsis" vert="horz" wrap="square" lIns="38100" tIns="19050" rIns="38100" bIns="19050" anchor="ctr" anchorCtr="1"/>
                <a:lstStyle/>
                <a:p>
                  <a:pPr>
                    <a:defRPr lang="zh-CN" sz="1000" b="1" i="0" u="none" strike="noStrike" kern="1200" spc="0" baseline="0">
                      <a:solidFill>
                        <a:schemeClr val="accent2">
                          <a:lumMod val="60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bestFit"/>
              <c:showLegendKey val="0"/>
              <c:showVal val="0"/>
              <c:showCatName val="1"/>
              <c:showSerName val="0"/>
              <c:showPercent val="1"/>
              <c:showBubbleSize val="0"/>
              <c:separator>
</c:separator>
              <c:extLst>
                <c:ext xmlns:c15="http://schemas.microsoft.com/office/drawing/2012/chart" uri="{CE6537A1-D6FC-4f65-9D91-7224C49458BB}">
                  <c15:layout>
                    <c:manualLayout>
                      <c:w val="0.0914821648216482"/>
                      <c:h val="0.194720665340806"/>
                    </c:manualLayout>
                  </c15:layout>
                </c:ext>
              </c:extLst>
            </c:dLbl>
            <c:dLbl>
              <c:idx val="8"/>
              <c:layout/>
              <c:numFmt formatCode="0.0%" sourceLinked="0"/>
              <c:spPr>
                <a:noFill/>
                <a:ln>
                  <a:noFill/>
                </a:ln>
                <a:effectLst/>
              </c:spPr>
              <c:txPr>
                <a:bodyPr rot="0" spcFirstLastPara="0" vertOverflow="ellipsis" vert="horz" wrap="square" lIns="38100" tIns="19050" rIns="38100" bIns="19050" anchor="ctr" anchorCtr="1"/>
                <a:lstStyle/>
                <a:p>
                  <a:pPr>
                    <a:defRPr lang="zh-CN" sz="1000" b="1" i="0" u="none" strike="noStrike" kern="1200" spc="0" baseline="0">
                      <a:solidFill>
                        <a:schemeClr val="accent3">
                          <a:lumMod val="60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outEnd"/>
              <c:showLegendKey val="0"/>
              <c:showVal val="0"/>
              <c:showCatName val="1"/>
              <c:showSerName val="0"/>
              <c:showPercent val="1"/>
              <c:showBubbleSize val="0"/>
              <c:separator>
</c:separator>
              <c:extLst>
                <c:ext xmlns:c15="http://schemas.microsoft.com/office/drawing/2012/chart" uri="{CE6537A1-D6FC-4f65-9D91-7224C49458BB}">
                  <c15:layout>
                    <c:manualLayout>
                      <c:w val="0.0859471094710947"/>
                      <c:h val="0.195624661001627"/>
                    </c:manualLayout>
                  </c15:layout>
                </c:ext>
              </c:extLst>
            </c:dLbl>
            <c:dLbl>
              <c:idx val="9"/>
              <c:layout>
                <c:manualLayout>
                  <c:x val="-0.0904059040590406"/>
                  <c:y val="0.0802748146808895"/>
                </c:manualLayout>
              </c:layout>
              <c:numFmt formatCode="0.0%" sourceLinked="0"/>
              <c:spPr>
                <a:noFill/>
                <a:ln>
                  <a:noFill/>
                </a:ln>
                <a:effectLst/>
              </c:spPr>
              <c:txPr>
                <a:bodyPr rot="0" spcFirstLastPara="0" vertOverflow="ellipsis" vert="horz" wrap="square" lIns="38100" tIns="19050" rIns="38100" bIns="19050" anchor="ctr" anchorCtr="1"/>
                <a:lstStyle/>
                <a:p>
                  <a:pPr>
                    <a:defRPr lang="zh-CN" sz="1000" b="1" i="0" u="none" strike="noStrike" kern="1200" spc="0" baseline="0">
                      <a:solidFill>
                        <a:schemeClr val="accent4">
                          <a:lumMod val="60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bestFit"/>
              <c:showLegendKey val="0"/>
              <c:showVal val="0"/>
              <c:showCatName val="1"/>
              <c:showSerName val="0"/>
              <c:showPercent val="1"/>
              <c:showBubbleSize val="0"/>
              <c:separator>
</c:separator>
              <c:extLst>
                <c:ext xmlns:c15="http://schemas.microsoft.com/office/drawing/2012/chart" uri="{CE6537A1-D6FC-4f65-9D91-7224C49458BB}">
                  <c15:layout/>
                </c:ext>
              </c:extLst>
            </c:dLbl>
            <c:dLbl>
              <c:idx val="10"/>
              <c:layout>
                <c:manualLayout>
                  <c:x val="-0.011070110701107"/>
                  <c:y val="0.0303742542035798"/>
                </c:manualLayout>
              </c:layout>
              <c:tx>
                <c:rich>
                  <a:bodyPr rot="0" spcFirstLastPara="0" vertOverflow="ellipsis" vert="horz" wrap="square" lIns="38100" tIns="19050" rIns="38100" bIns="19050" anchor="ctr" anchorCtr="1"/>
                  <a:lstStyle/>
                  <a:p>
                    <a:pPr defTabSz="914400">
                      <a:defRPr lang="zh-CN" sz="1000" b="1" i="0" u="none" strike="noStrike" kern="1200" spc="0" baseline="0">
                        <a:solidFill>
                          <a:schemeClr val="accent5">
                            <a:lumMod val="60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r>
                      <a:rPr lang="zh-CN" altLang="en-US">
                        <a:latin typeface="Times New Roman" panose="02020603050405020304" charset="0"/>
                        <a:ea typeface="Times New Roman" panose="02020603050405020304" charset="0"/>
                        <a:cs typeface="Times New Roman" panose="02020603050405020304" charset="0"/>
                        <a:sym typeface="Times New Roman" panose="02020603050405020304" charset="0"/>
                      </a:rPr>
                      <a:t>燃烧法</a:t>
                    </a:r>
                    <a:r>
                      <a:rPr lang="en-US" altLang="zh-CN">
                        <a:latin typeface="Times New Roman" panose="02020603050405020304" charset="0"/>
                        <a:ea typeface="Times New Roman" panose="02020603050405020304" charset="0"/>
                        <a:cs typeface="Times New Roman" panose="02020603050405020304" charset="0"/>
                        <a:sym typeface="Times New Roman" panose="02020603050405020304" charset="0"/>
                      </a:rPr>
                      <a:t>10.2%</a:t>
                    </a:r>
                    <a:endParaRPr lang="en-US" altLang="zh-CN">
                      <a:latin typeface="Times New Roman" panose="02020603050405020304" charset="0"/>
                      <a:ea typeface="Times New Roman" panose="02020603050405020304" charset="0"/>
                      <a:cs typeface="Times New Roman" panose="02020603050405020304" charset="0"/>
                      <a:sym typeface="Times New Roman" panose="02020603050405020304" charset="0"/>
                    </a:endParaRPr>
                  </a:p>
                </c:rich>
              </c:tx>
              <c:numFmt formatCode="0.0%" sourceLinked="0"/>
              <c:spPr>
                <a:noFill/>
                <a:ln>
                  <a:noFill/>
                </a:ln>
                <a:effectLst/>
              </c:spPr>
              <c:txPr>
                <a:bodyPr rot="0" spcFirstLastPara="0" vertOverflow="ellipsis" vert="horz" wrap="square" lIns="38100" tIns="19050" rIns="38100" bIns="19050" anchor="ctr" anchorCtr="1"/>
                <a:lstStyle/>
                <a:p>
                  <a:pPr>
                    <a:defRPr lang="zh-CN" sz="1000" b="1" i="0" u="none" strike="noStrike" kern="1200" spc="0" baseline="0">
                      <a:solidFill>
                        <a:schemeClr val="accent5">
                          <a:lumMod val="60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bestFit"/>
              <c:showLegendKey val="0"/>
              <c:showVal val="0"/>
              <c:showCatName val="1"/>
              <c:showSerName val="0"/>
              <c:showPercent val="1"/>
              <c:showBubbleSize val="0"/>
              <c:separator>
</c:separator>
              <c:extLst>
                <c:ext xmlns:c15="http://schemas.microsoft.com/office/drawing/2012/chart" uri="{CE6537A1-D6FC-4f65-9D91-7224C49458BB}">
                  <c15:layout>
                    <c:manualLayout>
                      <c:w val="0.107472324723247"/>
                      <c:h val="0.152052070150063"/>
                    </c:manualLayout>
                  </c15:layout>
                </c:ext>
              </c:extLst>
            </c:dLbl>
            <c:numFmt formatCode="0.0%" sourceLinked="0"/>
            <c:spPr>
              <a:noFill/>
              <a:ln>
                <a:noFill/>
              </a:ln>
              <a:effectLst/>
            </c:spPr>
            <c:txPr>
              <a:bodyPr rot="0" spcFirstLastPara="0" vertOverflow="ellipsis" vert="horz" wrap="square" lIns="38100" tIns="19050" rIns="38100" bIns="19050" anchor="ctr" anchorCtr="1"/>
              <a:lstStyle/>
              <a:p>
                <a:pPr>
                  <a:defRPr lang="zh-CN" sz="1000" b="1" i="0" u="none" strike="noStrike" kern="1200" spc="0" baseline="0">
                    <a:solidFill>
                      <a:schemeClr val="accent1"/>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outEnd"/>
            <c:showLegendKey val="0"/>
            <c:showVal val="0"/>
            <c:showCatName val="1"/>
            <c:showSerName val="0"/>
            <c:showPercent val="1"/>
            <c:showBubbleSize val="0"/>
            <c:showLeaderLines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prstDash val="solid"/>
                      <a:round/>
                    </a:ln>
                    <a:effectLst/>
                  </c:spPr>
                </c15:leaderLines>
              </c:ext>
            </c:extLst>
          </c:dLbls>
          <c:cat>
            <c:strRef>
              <c:f>Sheet1!$A$2:$A$11</c:f>
              <c:strCache>
                <c:ptCount val="10"/>
                <c:pt idx="0">
                  <c:v>催化燃烧</c:v>
                </c:pt>
                <c:pt idx="1">
                  <c:v>光解/光催化+活性炭</c:v>
                </c:pt>
                <c:pt idx="2">
                  <c:v>光催化/光解/氧化</c:v>
                </c:pt>
                <c:pt idx="3">
                  <c:v>活性炭</c:v>
                </c:pt>
                <c:pt idx="4">
                  <c:v>喷淋</c:v>
                </c:pt>
                <c:pt idx="5">
                  <c:v>其他</c:v>
                </c:pt>
                <c:pt idx="6">
                  <c:v>无</c:v>
                </c:pt>
                <c:pt idx="7">
                  <c:v>蓄热催化燃烧</c:v>
                </c:pt>
                <c:pt idx="8">
                  <c:v>蓄热燃烧</c:v>
                </c:pt>
                <c:pt idx="9">
                  <c:v>直接燃烧</c:v>
                </c:pt>
              </c:strCache>
            </c:strRef>
          </c:cat>
          <c:val>
            <c:numRef>
              <c:f>Sheet1!$B$2:$B$11</c:f>
              <c:numCache>
                <c:formatCode>General</c:formatCode>
                <c:ptCount val="10"/>
                <c:pt idx="0">
                  <c:v>112</c:v>
                </c:pt>
                <c:pt idx="1">
                  <c:v>1589</c:v>
                </c:pt>
                <c:pt idx="2">
                  <c:v>675</c:v>
                </c:pt>
                <c:pt idx="3">
                  <c:v>1380</c:v>
                </c:pt>
                <c:pt idx="4">
                  <c:v>19</c:v>
                </c:pt>
                <c:pt idx="5">
                  <c:v>14</c:v>
                </c:pt>
                <c:pt idx="6">
                  <c:v>33</c:v>
                </c:pt>
                <c:pt idx="7">
                  <c:v>76</c:v>
                </c:pt>
                <c:pt idx="8">
                  <c:v>169</c:v>
                </c:pt>
                <c:pt idx="9">
                  <c:v>65</c:v>
                </c:pt>
              </c:numCache>
            </c:numRef>
          </c:val>
        </c:ser>
        <c:dLbls>
          <c:showLegendKey val="0"/>
          <c:showVal val="0"/>
          <c:showCatName val="1"/>
          <c:showSerName val="0"/>
          <c:showPercent val="1"/>
          <c:showBubbleSize val="0"/>
          <c:showLeaderLines val="1"/>
        </c:dLbls>
        <c:gapWidth val="100"/>
        <c:splitType val="cust"/>
        <c:custSplit>
          <c:secondPiePt val="0"/>
          <c:secondPiePt val="7"/>
          <c:secondPiePt val="8"/>
          <c:secondPiePt val="9"/>
        </c:custSplit>
        <c:splitPos val="0"/>
        <c:secondPieSize val="75"/>
        <c:serLines>
          <c:spPr>
            <a:ln w="9525" cap="flat" cmpd="sng" algn="ctr">
              <a:solidFill>
                <a:schemeClr val="tx1">
                  <a:lumMod val="35000"/>
                  <a:lumOff val="65000"/>
                </a:schemeClr>
              </a:solidFill>
              <a:prstDash val="solid"/>
              <a:round/>
            </a:ln>
            <a:effectLst/>
          </c:spPr>
        </c:serLines>
      </c:ofPieChart>
      <c:spPr>
        <a:noFill/>
        <a:ln>
          <a:noFill/>
        </a:ln>
        <a:effectLst/>
      </c:spPr>
    </c:plotArea>
    <c:plotVisOnly val="1"/>
    <c:dispBlanksAs val="gap"/>
    <c:showDLblsOverMax val="0"/>
    <c:extLst>
      <c:ext uri="{0b15fc19-7d7d-44ad-8c2d-2c3a37ce22c3}">
        <chartProps xmlns="https://web.wps.cn/et/2018/main" chartId="{73d11e6d-9d0c-4aa6-8c70-9b6117dd3258}"/>
      </c:ext>
    </c:extLst>
  </c:chart>
  <c:spPr>
    <a:solidFill>
      <a:schemeClr val="bg1"/>
    </a:solidFill>
    <a:ln w="9525" cap="flat" cmpd="sng" algn="ctr">
      <a:solidFill>
        <a:schemeClr val="tx1">
          <a:lumMod val="15000"/>
          <a:lumOff val="85000"/>
        </a:schemeClr>
      </a:solidFill>
      <a:prstDash val="solid"/>
      <a:round/>
    </a:ln>
    <a:effectLst/>
  </c:spPr>
  <c:txPr>
    <a:bodyPr/>
    <a:lstStyle/>
    <a:p>
      <a:pPr>
        <a:defRPr lang="zh-CN"/>
      </a:pPr>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Sheet1!$B$1</c:f>
              <c:strCache>
                <c:ptCount val="1"/>
                <c:pt idx="0">
                  <c:v>系列 1</c:v>
                </c:pt>
              </c:strCache>
            </c:strRef>
          </c:tx>
          <c:spPr>
            <a:solidFill>
              <a:schemeClr val="accent1"/>
            </a:solidFill>
            <a:ln>
              <a:noFill/>
            </a:ln>
            <a:effectLst/>
          </c:spPr>
          <c:invertIfNegative val="0"/>
          <c:dLbls>
            <c:spPr>
              <a:noFill/>
              <a:ln>
                <a:noFill/>
              </a:ln>
              <a:effectLst/>
            </c:spPr>
            <c:txPr>
              <a:bodyPr rot="0" spcFirstLastPara="0" vertOverflow="ellipsis" vert="horz" wrap="square" lIns="38100" tIns="19050" rIns="38100" bIns="19050" anchor="ctr" anchorCtr="1"/>
              <a:lstStyle/>
              <a:p>
                <a:pPr>
                  <a:defRPr lang="zh-CN" sz="500" b="0" i="0" u="none" strike="noStrike" kern="1200" baseline="0">
                    <a:solidFill>
                      <a:schemeClr val="tx1">
                        <a:lumMod val="75000"/>
                        <a:lumOff val="2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Sheet1!$A$2:$A$22</c:f>
              <c:strCache>
                <c:ptCount val="21"/>
                <c:pt idx="0">
                  <c:v>成都市</c:v>
                </c:pt>
                <c:pt idx="1">
                  <c:v>自贡市</c:v>
                </c:pt>
                <c:pt idx="2">
                  <c:v>攀枝花市</c:v>
                </c:pt>
                <c:pt idx="3">
                  <c:v>泸州市</c:v>
                </c:pt>
                <c:pt idx="4">
                  <c:v>德阳市</c:v>
                </c:pt>
                <c:pt idx="5">
                  <c:v>绵阳市</c:v>
                </c:pt>
                <c:pt idx="6">
                  <c:v>广元市</c:v>
                </c:pt>
                <c:pt idx="7">
                  <c:v>遂宁市</c:v>
                </c:pt>
                <c:pt idx="8">
                  <c:v>内江市</c:v>
                </c:pt>
                <c:pt idx="9">
                  <c:v>乐山市</c:v>
                </c:pt>
                <c:pt idx="10">
                  <c:v>南充市</c:v>
                </c:pt>
                <c:pt idx="11">
                  <c:v>宜宾市</c:v>
                </c:pt>
                <c:pt idx="12">
                  <c:v>广安市</c:v>
                </c:pt>
                <c:pt idx="13">
                  <c:v>达州市</c:v>
                </c:pt>
                <c:pt idx="14">
                  <c:v>巴中市</c:v>
                </c:pt>
                <c:pt idx="15">
                  <c:v>雅安市</c:v>
                </c:pt>
                <c:pt idx="16">
                  <c:v>眉山市</c:v>
                </c:pt>
                <c:pt idx="17">
                  <c:v>资阳市</c:v>
                </c:pt>
                <c:pt idx="18">
                  <c:v>阿坝州</c:v>
                </c:pt>
                <c:pt idx="19">
                  <c:v>甘孜州</c:v>
                </c:pt>
                <c:pt idx="20">
                  <c:v>凉山州</c:v>
                </c:pt>
              </c:strCache>
            </c:strRef>
          </c:cat>
          <c:val>
            <c:numRef>
              <c:f>Sheet1!$B$2:$B$22</c:f>
              <c:numCache>
                <c:formatCode>General</c:formatCode>
                <c:ptCount val="21"/>
                <c:pt idx="0">
                  <c:v>950.31</c:v>
                </c:pt>
                <c:pt idx="1">
                  <c:v>23.74</c:v>
                </c:pt>
                <c:pt idx="2">
                  <c:v>90.61</c:v>
                </c:pt>
                <c:pt idx="3">
                  <c:v>33.94</c:v>
                </c:pt>
                <c:pt idx="4">
                  <c:v>123.06</c:v>
                </c:pt>
                <c:pt idx="5">
                  <c:v>131.28</c:v>
                </c:pt>
                <c:pt idx="6">
                  <c:v>65.25</c:v>
                </c:pt>
                <c:pt idx="7">
                  <c:v>50.33</c:v>
                </c:pt>
                <c:pt idx="8">
                  <c:v>38.48</c:v>
                </c:pt>
                <c:pt idx="9">
                  <c:v>67.56</c:v>
                </c:pt>
                <c:pt idx="10">
                  <c:v>107.91</c:v>
                </c:pt>
                <c:pt idx="11">
                  <c:v>101.99</c:v>
                </c:pt>
                <c:pt idx="12">
                  <c:v>50.42</c:v>
                </c:pt>
                <c:pt idx="13">
                  <c:v>97.51</c:v>
                </c:pt>
                <c:pt idx="14">
                  <c:v>16.06</c:v>
                </c:pt>
                <c:pt idx="15">
                  <c:v>58.73</c:v>
                </c:pt>
                <c:pt idx="16">
                  <c:v>105.96</c:v>
                </c:pt>
                <c:pt idx="17">
                  <c:v>23.48</c:v>
                </c:pt>
                <c:pt idx="18">
                  <c:v>39.09</c:v>
                </c:pt>
                <c:pt idx="19">
                  <c:v>28.79</c:v>
                </c:pt>
                <c:pt idx="20">
                  <c:v>52.92</c:v>
                </c:pt>
              </c:numCache>
            </c:numRef>
          </c:val>
        </c:ser>
        <c:dLbls>
          <c:showLegendKey val="0"/>
          <c:showVal val="0"/>
          <c:showCatName val="0"/>
          <c:showSerName val="0"/>
          <c:showPercent val="0"/>
          <c:showBubbleSize val="0"/>
        </c:dLbls>
        <c:gapWidth val="246"/>
        <c:overlap val="-28"/>
        <c:axId val="172938372"/>
        <c:axId val="908650527"/>
      </c:barChart>
      <c:catAx>
        <c:axId val="172938372"/>
        <c:scaling>
          <c:orientation val="minMax"/>
        </c:scaling>
        <c:delete val="0"/>
        <c:axPos val="b"/>
        <c:majorTickMark val="none"/>
        <c:minorTickMark val="none"/>
        <c:tickLblPos val="nextTo"/>
        <c:spPr>
          <a:noFill/>
          <a:ln w="9525" cap="flat" cmpd="sng" algn="ctr">
            <a:solidFill>
              <a:schemeClr val="tx1"/>
            </a:solidFill>
            <a:round/>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crossAx val="908650527"/>
        <c:crosses val="autoZero"/>
        <c:auto val="1"/>
        <c:lblAlgn val="ctr"/>
        <c:lblOffset val="100"/>
        <c:noMultiLvlLbl val="0"/>
      </c:catAx>
      <c:valAx>
        <c:axId val="908650527"/>
        <c:scaling>
          <c:orientation val="minMax"/>
        </c:scaling>
        <c:delete val="0"/>
        <c:axPos val="l"/>
        <c:majorGridlines>
          <c:spPr>
            <a:ln w="9525" cap="flat" cmpd="sng" algn="ctr">
              <a:solidFill>
                <a:schemeClr val="bg1"/>
              </a:solidFill>
              <a:round/>
            </a:ln>
            <a:effectLst/>
          </c:spPr>
        </c:majorGridlines>
        <c:title>
          <c:tx>
            <c:rich>
              <a:bodyPr rot="-5400000" spcFirstLastPara="0" vertOverflow="ellipsis" vert="horz" wrap="square" anchor="ctr" anchorCtr="1"/>
              <a:lstStyle/>
              <a:p>
                <a:pPr defTabSz="914400">
                  <a:defRPr lang="zh-CN" sz="10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r>
                  <a:t>排放量（吨）</a:t>
                </a:r>
              </a:p>
            </c:rich>
          </c:tx>
          <c:layout/>
          <c:overlay val="0"/>
          <c:spPr>
            <a:noFill/>
            <a:ln>
              <a:noFill/>
            </a:ln>
            <a:effectLst/>
          </c:spPr>
        </c:title>
        <c:numFmt formatCode="General" sourceLinked="1"/>
        <c:majorTickMark val="none"/>
        <c:minorTickMark val="none"/>
        <c:tickLblPos val="nextTo"/>
        <c:spPr>
          <a:noFill/>
          <a:ln>
            <a:noFill/>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crossAx val="172938372"/>
        <c:crosses val="autoZero"/>
        <c:crossBetween val="between"/>
      </c:valAx>
      <c:spPr>
        <a:noFill/>
        <a:ln w="12700" cmpd="sng">
          <a:solidFill>
            <a:schemeClr val="tx1"/>
          </a:solidFill>
          <a:prstDash val="solid"/>
        </a:ln>
        <a:effectLst/>
      </c:spPr>
    </c:plotArea>
    <c:plotVisOnly val="1"/>
    <c:dispBlanksAs val="gap"/>
    <c:showDLblsOverMax val="0"/>
    <c:extLst>
      <c:ext uri="{0b15fc19-7d7d-44ad-8c2d-2c3a37ce22c3}">
        <chartProps xmlns="https://web.wps.cn/et/2018/main" chartId="{fe0a1311-bf0e-45af-a81c-5711fd52c035}"/>
      </c:ext>
    </c:extLst>
  </c:chart>
  <c:spPr>
    <a:solidFill>
      <a:schemeClr val="bg1"/>
    </a:solidFill>
    <a:ln w="9525" cap="flat" cmpd="sng" algn="ctr">
      <a:solidFill>
        <a:schemeClr val="tx1">
          <a:lumMod val="15000"/>
          <a:lumOff val="85000"/>
        </a:schemeClr>
      </a:solidFill>
      <a:round/>
    </a:ln>
    <a:effectLst/>
  </c:spPr>
  <c:txPr>
    <a:bodyPr/>
    <a:lstStyle/>
    <a:p>
      <a:pPr>
        <a:defRPr lang="zh-CN">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3317284545017"/>
          <c:y val="0.0301310043668122"/>
          <c:w val="0.862469908521907"/>
          <c:h val="0.657729257641921"/>
        </c:manualLayout>
      </c:layout>
      <c:barChart>
        <c:barDir val="col"/>
        <c:grouping val="clustered"/>
        <c:varyColors val="0"/>
        <c:ser>
          <c:idx val="0"/>
          <c:order val="0"/>
          <c:tx>
            <c:strRef>
              <c:f>[汽修行业标准调查结果汇总1204.xlsx]分环节VOCs产生量和溶剂用量统计!$AJ$84</c:f>
              <c:strCache>
                <c:ptCount val="1"/>
                <c:pt idx="0">
                  <c:v>一类</c:v>
                </c:pt>
              </c:strCache>
            </c:strRef>
          </c:tx>
          <c:spPr>
            <a:solidFill>
              <a:schemeClr val="accent1"/>
            </a:solidFill>
            <a:ln>
              <a:noFill/>
            </a:ln>
            <a:effectLst/>
          </c:spPr>
          <c:invertIfNegative val="0"/>
          <c:dLbls>
            <c:delete val="1"/>
          </c:dLbls>
          <c:errBars>
            <c:errBarType val="both"/>
            <c:errValType val="cust"/>
            <c:noEndCap val="0"/>
            <c:plus>
              <c:numRef>
                <c:f>[汽修行业标准调查结果汇总1204.xlsx]分环节VOCs产生量和溶剂用量统计!$AL$88:$AQ$88</c:f>
                <c:numCache>
                  <c:formatCode>General</c:formatCode>
                  <c:ptCount val="6"/>
                  <c:pt idx="0">
                    <c:v>209.933358473588</c:v>
                  </c:pt>
                  <c:pt idx="1">
                    <c:v>452.289962105538</c:v>
                  </c:pt>
                  <c:pt idx="2">
                    <c:v>483.233107424472</c:v>
                  </c:pt>
                  <c:pt idx="3">
                    <c:v>674.385016619606</c:v>
                  </c:pt>
                  <c:pt idx="4">
                    <c:v>526.417342212259</c:v>
                  </c:pt>
                  <c:pt idx="5">
                    <c:v>1793.14260954945</c:v>
                  </c:pt>
                </c:numCache>
              </c:numRef>
            </c:plus>
            <c:minus>
              <c:numRef>
                <c:f>[汽修行业标准调查结果汇总1204.xlsx]分环节VOCs产生量和溶剂用量统计!$AL$88:$AQ$88</c:f>
                <c:numCache>
                  <c:formatCode>General</c:formatCode>
                  <c:ptCount val="6"/>
                  <c:pt idx="0">
                    <c:v>209.933358473588</c:v>
                  </c:pt>
                  <c:pt idx="1">
                    <c:v>452.289962105538</c:v>
                  </c:pt>
                  <c:pt idx="2">
                    <c:v>483.233107424472</c:v>
                  </c:pt>
                  <c:pt idx="3">
                    <c:v>674.385016619606</c:v>
                  </c:pt>
                  <c:pt idx="4">
                    <c:v>526.417342212259</c:v>
                  </c:pt>
                  <c:pt idx="5">
                    <c:v>1793.14260954945</c:v>
                  </c:pt>
                </c:numCache>
              </c:numRef>
            </c:minus>
            <c:spPr>
              <a:noFill/>
              <a:ln w="9525" cap="flat" cmpd="sng" algn="ctr">
                <a:solidFill>
                  <a:schemeClr val="tx1">
                    <a:lumMod val="65000"/>
                    <a:lumOff val="35000"/>
                  </a:schemeClr>
                </a:solidFill>
                <a:round/>
              </a:ln>
              <a:effectLst/>
            </c:spPr>
          </c:errBars>
          <c:cat>
            <c:strRef>
              <c:f>[汽修行业标准调查结果汇总1204.xlsx]分环节VOCs产生量和溶剂用量统计!$AL$83:$AQ$83</c:f>
              <c:strCache>
                <c:ptCount val="6"/>
                <c:pt idx="0">
                  <c:v>底漆/中涂</c:v>
                </c:pt>
                <c:pt idx="1">
                  <c:v>固化剂类</c:v>
                </c:pt>
                <c:pt idx="2">
                  <c:v>腻子钣金灰原子灰</c:v>
                </c:pt>
                <c:pt idx="3">
                  <c:v>清漆</c:v>
                </c:pt>
                <c:pt idx="4">
                  <c:v>色漆</c:v>
                </c:pt>
                <c:pt idx="5">
                  <c:v>稀释剂/清洗剂</c:v>
                </c:pt>
              </c:strCache>
            </c:strRef>
          </c:cat>
          <c:val>
            <c:numRef>
              <c:f>[汽修行业标准调查结果汇总1204.xlsx]分环节VOCs产生量和溶剂用量统计!$AL$84:$AQ$84</c:f>
              <c:numCache>
                <c:formatCode>0.00_ </c:formatCode>
                <c:ptCount val="6"/>
                <c:pt idx="0">
                  <c:v>292.9</c:v>
                </c:pt>
                <c:pt idx="1">
                  <c:v>514.6875</c:v>
                </c:pt>
                <c:pt idx="2">
                  <c:v>478.388888888889</c:v>
                </c:pt>
                <c:pt idx="3">
                  <c:v>665.230769230769</c:v>
                </c:pt>
                <c:pt idx="4">
                  <c:v>594.272727272727</c:v>
                </c:pt>
                <c:pt idx="5">
                  <c:v>872.727272727273</c:v>
                </c:pt>
              </c:numCache>
            </c:numRef>
          </c:val>
        </c:ser>
        <c:ser>
          <c:idx val="1"/>
          <c:order val="1"/>
          <c:tx>
            <c:strRef>
              <c:f>[汽修行业标准调查结果汇总1204.xlsx]分环节VOCs产生量和溶剂用量统计!$AJ$85</c:f>
              <c:strCache>
                <c:ptCount val="1"/>
                <c:pt idx="0">
                  <c:v>二类</c:v>
                </c:pt>
              </c:strCache>
            </c:strRef>
          </c:tx>
          <c:spPr>
            <a:solidFill>
              <a:schemeClr val="accent2"/>
            </a:solidFill>
            <a:ln>
              <a:noFill/>
            </a:ln>
            <a:effectLst/>
          </c:spPr>
          <c:invertIfNegative val="0"/>
          <c:dLbls>
            <c:delete val="1"/>
          </c:dLbls>
          <c:errBars>
            <c:errBarType val="both"/>
            <c:errValType val="cust"/>
            <c:noEndCap val="0"/>
            <c:plus>
              <c:numRef>
                <c:f>[汽修行业标准调查结果汇总1204.xlsx]分环节VOCs产生量和溶剂用量统计!$AL$89:$AQ$89</c:f>
                <c:numCache>
                  <c:formatCode>General</c:formatCode>
                  <c:ptCount val="6"/>
                  <c:pt idx="0">
                    <c:v>35.4060018544916</c:v>
                  </c:pt>
                  <c:pt idx="1">
                    <c:v>48.5821183381522</c:v>
                  </c:pt>
                  <c:pt idx="2">
                    <c:v>101.161706732789</c:v>
                  </c:pt>
                  <c:pt idx="3">
                    <c:v>123.901978044738</c:v>
                  </c:pt>
                  <c:pt idx="4">
                    <c:v>131.635178289843</c:v>
                  </c:pt>
                  <c:pt idx="5">
                    <c:v>272.10052414153</c:v>
                  </c:pt>
                </c:numCache>
              </c:numRef>
            </c:plus>
            <c:minus>
              <c:numRef>
                <c:f>[汽修行业标准调查结果汇总1204.xlsx]分环节VOCs产生量和溶剂用量统计!$AL$89:$AQ$89</c:f>
                <c:numCache>
                  <c:formatCode>General</c:formatCode>
                  <c:ptCount val="6"/>
                  <c:pt idx="0">
                    <c:v>35.4060018544916</c:v>
                  </c:pt>
                  <c:pt idx="1">
                    <c:v>48.5821183381522</c:v>
                  </c:pt>
                  <c:pt idx="2">
                    <c:v>101.161706732789</c:v>
                  </c:pt>
                  <c:pt idx="3">
                    <c:v>123.901978044738</c:v>
                  </c:pt>
                  <c:pt idx="4">
                    <c:v>131.635178289843</c:v>
                  </c:pt>
                  <c:pt idx="5">
                    <c:v>272.10052414153</c:v>
                  </c:pt>
                </c:numCache>
              </c:numRef>
            </c:minus>
            <c:spPr>
              <a:noFill/>
              <a:ln w="9525" cap="flat" cmpd="sng" algn="ctr">
                <a:solidFill>
                  <a:schemeClr val="tx1">
                    <a:lumMod val="65000"/>
                    <a:lumOff val="35000"/>
                  </a:schemeClr>
                </a:solidFill>
                <a:round/>
              </a:ln>
              <a:effectLst/>
            </c:spPr>
          </c:errBars>
          <c:cat>
            <c:strRef>
              <c:f>[汽修行业标准调查结果汇总1204.xlsx]分环节VOCs产生量和溶剂用量统计!$AL$83:$AQ$83</c:f>
              <c:strCache>
                <c:ptCount val="6"/>
                <c:pt idx="0">
                  <c:v>底漆/中涂</c:v>
                </c:pt>
                <c:pt idx="1">
                  <c:v>固化剂类</c:v>
                </c:pt>
                <c:pt idx="2">
                  <c:v>腻子钣金灰原子灰</c:v>
                </c:pt>
                <c:pt idx="3">
                  <c:v>清漆</c:v>
                </c:pt>
                <c:pt idx="4">
                  <c:v>色漆</c:v>
                </c:pt>
                <c:pt idx="5">
                  <c:v>稀释剂/清洗剂</c:v>
                </c:pt>
              </c:strCache>
            </c:strRef>
          </c:cat>
          <c:val>
            <c:numRef>
              <c:f>[汽修行业标准调查结果汇总1204.xlsx]分环节VOCs产生量和溶剂用量统计!$AL$85:$AQ$85</c:f>
              <c:numCache>
                <c:formatCode>0.00_ </c:formatCode>
                <c:ptCount val="6"/>
                <c:pt idx="0">
                  <c:v>52.0555555555556</c:v>
                </c:pt>
                <c:pt idx="1">
                  <c:v>60</c:v>
                </c:pt>
                <c:pt idx="2">
                  <c:v>175.290909090909</c:v>
                </c:pt>
                <c:pt idx="3">
                  <c:v>164.861111111111</c:v>
                </c:pt>
                <c:pt idx="4">
                  <c:v>160.438888888889</c:v>
                </c:pt>
                <c:pt idx="5">
                  <c:v>250.866666666667</c:v>
                </c:pt>
              </c:numCache>
            </c:numRef>
          </c:val>
        </c:ser>
        <c:ser>
          <c:idx val="2"/>
          <c:order val="2"/>
          <c:tx>
            <c:strRef>
              <c:f>[汽修行业标准调查结果汇总1204.xlsx]分环节VOCs产生量和溶剂用量统计!$AJ$86</c:f>
              <c:strCache>
                <c:ptCount val="1"/>
                <c:pt idx="0">
                  <c:v>三类</c:v>
                </c:pt>
              </c:strCache>
            </c:strRef>
          </c:tx>
          <c:spPr>
            <a:solidFill>
              <a:schemeClr val="accent3"/>
            </a:solidFill>
            <a:ln>
              <a:noFill/>
            </a:ln>
            <a:effectLst/>
          </c:spPr>
          <c:invertIfNegative val="0"/>
          <c:dLbls>
            <c:delete val="1"/>
          </c:dLbls>
          <c:errBars>
            <c:errBarType val="both"/>
            <c:errValType val="cust"/>
            <c:noEndCap val="0"/>
            <c:plus>
              <c:numRef>
                <c:f>[汽修行业标准调查结果汇总1204.xlsx]分环节VOCs产生量和溶剂用量统计!$AL$90:$AQ$90</c:f>
                <c:numCache>
                  <c:formatCode>General</c:formatCode>
                  <c:ptCount val="6"/>
                  <c:pt idx="0">
                    <c:v>97.7225482095685</c:v>
                  </c:pt>
                  <c:pt idx="1">
                    <c:v>27.5741424768447</c:v>
                  </c:pt>
                  <c:pt idx="2">
                    <c:v>107.410427799167</c:v>
                  </c:pt>
                  <c:pt idx="3">
                    <c:v>229.789033680896</c:v>
                  </c:pt>
                  <c:pt idx="4">
                    <c:v>314.130432418492</c:v>
                  </c:pt>
                  <c:pt idx="5">
                    <c:v>341.454926259187</c:v>
                  </c:pt>
                </c:numCache>
              </c:numRef>
            </c:plus>
            <c:minus>
              <c:numRef>
                <c:f>[汽修行业标准调查结果汇总1204.xlsx]分环节VOCs产生量和溶剂用量统计!$AL$90:$AQ$90</c:f>
                <c:numCache>
                  <c:formatCode>General</c:formatCode>
                  <c:ptCount val="6"/>
                  <c:pt idx="0">
                    <c:v>97.7225482095685</c:v>
                  </c:pt>
                  <c:pt idx="1">
                    <c:v>27.5741424768447</c:v>
                  </c:pt>
                  <c:pt idx="2">
                    <c:v>107.410427799167</c:v>
                  </c:pt>
                  <c:pt idx="3">
                    <c:v>229.789033680896</c:v>
                  </c:pt>
                  <c:pt idx="4">
                    <c:v>314.130432418492</c:v>
                  </c:pt>
                  <c:pt idx="5">
                    <c:v>341.454926259187</c:v>
                  </c:pt>
                </c:numCache>
              </c:numRef>
            </c:minus>
            <c:spPr>
              <a:noFill/>
              <a:ln w="9525" cap="flat" cmpd="sng" algn="ctr">
                <a:solidFill>
                  <a:schemeClr val="tx1">
                    <a:lumMod val="65000"/>
                    <a:lumOff val="35000"/>
                  </a:schemeClr>
                </a:solidFill>
                <a:round/>
              </a:ln>
              <a:effectLst/>
            </c:spPr>
          </c:errBars>
          <c:cat>
            <c:strRef>
              <c:f>[汽修行业标准调查结果汇总1204.xlsx]分环节VOCs产生量和溶剂用量统计!$AL$83:$AQ$83</c:f>
              <c:strCache>
                <c:ptCount val="6"/>
                <c:pt idx="0">
                  <c:v>底漆/中涂</c:v>
                </c:pt>
                <c:pt idx="1">
                  <c:v>固化剂类</c:v>
                </c:pt>
                <c:pt idx="2">
                  <c:v>腻子钣金灰原子灰</c:v>
                </c:pt>
                <c:pt idx="3">
                  <c:v>清漆</c:v>
                </c:pt>
                <c:pt idx="4">
                  <c:v>色漆</c:v>
                </c:pt>
                <c:pt idx="5">
                  <c:v>稀释剂/清洗剂</c:v>
                </c:pt>
              </c:strCache>
            </c:strRef>
          </c:cat>
          <c:val>
            <c:numRef>
              <c:f>[汽修行业标准调查结果汇总1204.xlsx]分环节VOCs产生量和溶剂用量统计!$AL$86:$AQ$86</c:f>
              <c:numCache>
                <c:formatCode>0.00_ </c:formatCode>
                <c:ptCount val="6"/>
                <c:pt idx="0">
                  <c:v>73.375</c:v>
                </c:pt>
                <c:pt idx="1">
                  <c:v>33.6666666666667</c:v>
                </c:pt>
                <c:pt idx="2">
                  <c:v>135.5</c:v>
                </c:pt>
                <c:pt idx="3">
                  <c:v>172.666666666667</c:v>
                </c:pt>
                <c:pt idx="4">
                  <c:v>197.25</c:v>
                </c:pt>
                <c:pt idx="5">
                  <c:v>346.666666666667</c:v>
                </c:pt>
              </c:numCache>
            </c:numRef>
          </c:val>
        </c:ser>
        <c:ser>
          <c:idx val="3"/>
          <c:order val="3"/>
          <c:tx>
            <c:strRef>
              <c:f>[汽修行业标准调查结果汇总1204.xlsx]分环节VOCs产生量和溶剂用量统计!$AJ$87</c:f>
              <c:strCache>
                <c:ptCount val="1"/>
                <c:pt idx="0">
                  <c:v>平均</c:v>
                </c:pt>
              </c:strCache>
            </c:strRef>
          </c:tx>
          <c:spPr>
            <a:solidFill>
              <a:schemeClr val="accent4"/>
            </a:solidFill>
            <a:ln>
              <a:noFill/>
            </a:ln>
            <a:effectLst/>
          </c:spPr>
          <c:invertIfNegative val="0"/>
          <c:dLbls>
            <c:delete val="1"/>
          </c:dLbls>
          <c:errBars>
            <c:errBarType val="both"/>
            <c:errValType val="cust"/>
            <c:noEndCap val="0"/>
            <c:plus>
              <c:numRef>
                <c:f>[汽修行业标准调查结果汇总1204.xlsx]分环节VOCs产生量和溶剂用量统计!$AL$91:$AQ$91</c:f>
                <c:numCache>
                  <c:formatCode>General</c:formatCode>
                  <c:ptCount val="6"/>
                  <c:pt idx="0">
                    <c:v>154.370288592073</c:v>
                  </c:pt>
                  <c:pt idx="1">
                    <c:v>354.099982517717</c:v>
                  </c:pt>
                  <c:pt idx="2">
                    <c:v>333.836774720517</c:v>
                  </c:pt>
                  <c:pt idx="3">
                    <c:v>461.755748891787</c:v>
                  </c:pt>
                  <c:pt idx="4">
                    <c:v>378.000168581242</c:v>
                  </c:pt>
                  <c:pt idx="5">
                    <c:v>1083.06118909068</c:v>
                  </c:pt>
                </c:numCache>
              </c:numRef>
            </c:plus>
            <c:minus>
              <c:numRef>
                <c:f>[汽修行业标准调查结果汇总1204.xlsx]分环节VOCs产生量和溶剂用量统计!$AL$91:$AQ$91</c:f>
                <c:numCache>
                  <c:formatCode>General</c:formatCode>
                  <c:ptCount val="6"/>
                  <c:pt idx="0">
                    <c:v>154.370288592073</c:v>
                  </c:pt>
                  <c:pt idx="1">
                    <c:v>354.099982517717</c:v>
                  </c:pt>
                  <c:pt idx="2">
                    <c:v>333.836774720517</c:v>
                  </c:pt>
                  <c:pt idx="3">
                    <c:v>461.755748891787</c:v>
                  </c:pt>
                  <c:pt idx="4">
                    <c:v>378.000168581242</c:v>
                  </c:pt>
                  <c:pt idx="5">
                    <c:v>1083.06118909068</c:v>
                  </c:pt>
                </c:numCache>
              </c:numRef>
            </c:minus>
            <c:spPr>
              <a:noFill/>
              <a:ln w="9525" cap="flat" cmpd="sng" algn="ctr">
                <a:solidFill>
                  <a:schemeClr val="tx1">
                    <a:lumMod val="65000"/>
                    <a:lumOff val="35000"/>
                  </a:schemeClr>
                </a:solidFill>
                <a:round/>
              </a:ln>
              <a:effectLst/>
            </c:spPr>
          </c:errBars>
          <c:cat>
            <c:strRef>
              <c:f>[汽修行业标准调查结果汇总1204.xlsx]分环节VOCs产生量和溶剂用量统计!$AL$83:$AQ$83</c:f>
              <c:strCache>
                <c:ptCount val="6"/>
                <c:pt idx="0">
                  <c:v>底漆/中涂</c:v>
                </c:pt>
                <c:pt idx="1">
                  <c:v>固化剂类</c:v>
                </c:pt>
                <c:pt idx="2">
                  <c:v>腻子钣金灰原子灰</c:v>
                </c:pt>
                <c:pt idx="3">
                  <c:v>清漆</c:v>
                </c:pt>
                <c:pt idx="4">
                  <c:v>色漆</c:v>
                </c:pt>
                <c:pt idx="5">
                  <c:v>稀释剂/清洗剂</c:v>
                </c:pt>
              </c:strCache>
            </c:strRef>
          </c:cat>
          <c:val>
            <c:numRef>
              <c:f>[汽修行业标准调查结果汇总1204.xlsx]分环节VOCs产生量和溶剂用量统计!$AL$87:$AQ$87</c:f>
              <c:numCache>
                <c:formatCode>0.00_ </c:formatCode>
                <c:ptCount val="6"/>
                <c:pt idx="0">
                  <c:v>118.86</c:v>
                </c:pt>
                <c:pt idx="1">
                  <c:v>229.452380952381</c:v>
                </c:pt>
                <c:pt idx="2">
                  <c:v>282.320833333333</c:v>
                </c:pt>
                <c:pt idx="3">
                  <c:v>329.2375</c:v>
                </c:pt>
                <c:pt idx="4">
                  <c:v>297.375675675676</c:v>
                </c:pt>
                <c:pt idx="5">
                  <c:v>482.59375</c:v>
                </c:pt>
              </c:numCache>
            </c:numRef>
          </c:val>
        </c:ser>
        <c:dLbls>
          <c:showLegendKey val="0"/>
          <c:showVal val="0"/>
          <c:showCatName val="0"/>
          <c:showSerName val="0"/>
          <c:showPercent val="0"/>
          <c:showBubbleSize val="0"/>
        </c:dLbls>
        <c:gapWidth val="150"/>
        <c:axId val="413276450"/>
        <c:axId val="921772552"/>
      </c:barChart>
      <c:catAx>
        <c:axId val="413276450"/>
        <c:scaling>
          <c:orientation val="minMax"/>
        </c:scaling>
        <c:delete val="0"/>
        <c:axPos val="b"/>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宋体" panose="02010600030101010101" charset="-122"/>
                <a:ea typeface="宋体" panose="02010600030101010101" charset="-122"/>
                <a:cs typeface="宋体" panose="02010600030101010101" charset="-122"/>
                <a:sym typeface="宋体" panose="02010600030101010101" charset="-122"/>
              </a:defRPr>
            </a:pPr>
          </a:p>
        </c:txPr>
        <c:crossAx val="921772552"/>
        <c:crosses val="autoZero"/>
        <c:auto val="1"/>
        <c:lblAlgn val="ctr"/>
        <c:lblOffset val="100"/>
        <c:noMultiLvlLbl val="0"/>
      </c:catAx>
      <c:valAx>
        <c:axId val="921772552"/>
        <c:scaling>
          <c:orientation val="minMax"/>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0" vertOverflow="ellipsis" vert="horz" wrap="square" anchor="ctr" anchorCtr="1"/>
              <a:lstStyle/>
              <a:p>
                <a:pPr defTabSz="914400">
                  <a:defRPr lang="zh-CN" sz="900" b="0" i="0" u="none" strike="noStrike" kern="1200" baseline="0">
                    <a:solidFill>
                      <a:schemeClr val="tx1">
                        <a:lumMod val="65000"/>
                        <a:lumOff val="35000"/>
                      </a:schemeClr>
                    </a:solidFill>
                    <a:latin typeface="宋体" panose="02010600030101010101" charset="-122"/>
                    <a:ea typeface="宋体" panose="02010600030101010101" charset="-122"/>
                    <a:cs typeface="宋体" panose="02010600030101010101" charset="-122"/>
                    <a:sym typeface="宋体" panose="02010600030101010101" charset="-122"/>
                  </a:defRPr>
                </a:pPr>
                <a:r>
                  <a:rPr lang="zh-CN" altLang="en-US" sz="900" b="0">
                    <a:latin typeface="宋体" panose="02010600030101010101" charset="-122"/>
                    <a:ea typeface="宋体" panose="02010600030101010101" charset="-122"/>
                    <a:cs typeface="宋体" panose="02010600030101010101" charset="-122"/>
                    <a:sym typeface="宋体" panose="02010600030101010101" charset="-122"/>
                  </a:rPr>
                  <a:t>用量    千克</a:t>
                </a:r>
                <a:r>
                  <a:rPr lang="en-US" altLang="zh-CN" sz="900" b="0">
                    <a:latin typeface="宋体" panose="02010600030101010101" charset="-122"/>
                    <a:ea typeface="宋体" panose="02010600030101010101" charset="-122"/>
                    <a:cs typeface="宋体" panose="02010600030101010101" charset="-122"/>
                    <a:sym typeface="宋体" panose="02010600030101010101" charset="-122"/>
                  </a:rPr>
                  <a:t>/</a:t>
                </a:r>
                <a:r>
                  <a:rPr lang="zh-CN" altLang="en-US" sz="900" b="0">
                    <a:latin typeface="宋体" panose="02010600030101010101" charset="-122"/>
                    <a:ea typeface="宋体" panose="02010600030101010101" charset="-122"/>
                    <a:cs typeface="宋体" panose="02010600030101010101" charset="-122"/>
                    <a:sym typeface="宋体" panose="02010600030101010101" charset="-122"/>
                  </a:rPr>
                  <a:t>年</a:t>
                </a:r>
                <a:endParaRPr lang="zh-CN" altLang="en-US" sz="900" b="0">
                  <a:latin typeface="宋体" panose="02010600030101010101" charset="-122"/>
                  <a:ea typeface="宋体" panose="02010600030101010101" charset="-122"/>
                  <a:cs typeface="宋体" panose="02010600030101010101" charset="-122"/>
                  <a:sym typeface="宋体" panose="02010600030101010101" charset="-122"/>
                </a:endParaRPr>
              </a:p>
            </c:rich>
          </c:tx>
          <c:layout>
            <c:manualLayout>
              <c:xMode val="edge"/>
              <c:yMode val="edge"/>
              <c:x val="0.0205264581303584"/>
              <c:y val="0.190655021834061"/>
            </c:manualLayout>
          </c:layout>
          <c:overlay val="0"/>
          <c:spPr>
            <a:noFill/>
            <a:ln>
              <a:noFill/>
            </a:ln>
            <a:effectLst/>
          </c:spPr>
        </c:title>
        <c:numFmt formatCode="#,##0_);[Red]\(#,##0\)" sourceLinked="0"/>
        <c:majorTickMark val="none"/>
        <c:minorTickMark val="none"/>
        <c:tickLblPos val="nextTo"/>
        <c:spPr>
          <a:noFill/>
          <a:ln>
            <a:noFill/>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crossAx val="413276450"/>
        <c:crosses val="autoZero"/>
        <c:crossBetween val="between"/>
      </c:valAx>
      <c:spPr>
        <a:noFill/>
        <a:ln w="12700" cmpd="sng">
          <a:solidFill>
            <a:schemeClr val="tx1"/>
          </a:solidFill>
          <a:prstDash val="solid"/>
        </a:ln>
        <a:effectLst/>
      </c:spPr>
    </c:plotArea>
    <c:legend>
      <c:legendPos val="r"/>
      <c:legendEntry>
        <c:idx val="0"/>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宋体" panose="02010600030101010101" charset="-122"/>
                <a:ea typeface="宋体" panose="02010600030101010101" charset="-122"/>
                <a:cs typeface="宋体" panose="02010600030101010101" charset="-122"/>
                <a:sym typeface="宋体" panose="02010600030101010101" charset="-122"/>
              </a:defRPr>
            </a:pPr>
          </a:p>
        </c:txPr>
      </c:legendEntry>
      <c:legendEntry>
        <c:idx val="1"/>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宋体" panose="02010600030101010101" charset="-122"/>
                <a:ea typeface="宋体" panose="02010600030101010101" charset="-122"/>
                <a:cs typeface="宋体" panose="02010600030101010101" charset="-122"/>
                <a:sym typeface="宋体" panose="02010600030101010101" charset="-122"/>
              </a:defRPr>
            </a:pPr>
          </a:p>
        </c:txPr>
      </c:legendEntry>
      <c:legendEntry>
        <c:idx val="2"/>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宋体" panose="02010600030101010101" charset="-122"/>
                <a:ea typeface="宋体" panose="02010600030101010101" charset="-122"/>
                <a:cs typeface="宋体" panose="02010600030101010101" charset="-122"/>
                <a:sym typeface="宋体" panose="02010600030101010101" charset="-122"/>
              </a:defRPr>
            </a:pPr>
          </a:p>
        </c:txPr>
      </c:legendEntry>
      <c:legendEntry>
        <c:idx val="3"/>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宋体" panose="02010600030101010101" charset="-122"/>
                <a:ea typeface="宋体" panose="02010600030101010101" charset="-122"/>
                <a:cs typeface="宋体" panose="02010600030101010101" charset="-122"/>
                <a:sym typeface="宋体" panose="02010600030101010101" charset="-122"/>
              </a:defRPr>
            </a:pPr>
          </a:p>
        </c:txPr>
      </c:legendEntry>
      <c:layout>
        <c:manualLayout>
          <c:xMode val="edge"/>
          <c:yMode val="edge"/>
          <c:x val="0.587280877971297"/>
          <c:y val="0.0411733678010193"/>
          <c:w val="0.247112891821824"/>
          <c:h val="0.141185076810534"/>
        </c:manualLayout>
      </c:layout>
      <c:overlay val="0"/>
      <c:spPr>
        <a:noFill/>
        <a:ln>
          <a:noFill/>
        </a:ln>
        <a:effectLst/>
      </c:spPr>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宋体" panose="02010600030101010101" charset="-122"/>
              <a:ea typeface="宋体" panose="02010600030101010101" charset="-122"/>
              <a:cs typeface="宋体" panose="02010600030101010101" charset="-122"/>
              <a:sym typeface="宋体" panose="02010600030101010101" charset="-122"/>
            </a:defRPr>
          </a:pPr>
        </a:p>
      </c:txPr>
    </c:legend>
    <c:plotVisOnly val="1"/>
    <c:dispBlanksAs val="gap"/>
    <c:showDLblsOverMax val="0"/>
    <c:extLst>
      <c:ext uri="{0b15fc19-7d7d-44ad-8c2d-2c3a37ce22c3}">
        <chartProps xmlns="https://web.wps.cn/et/2018/main" chartId="{01c9da6e-8d02-4baa-adee-c1db44b5a51c}"/>
      </c:ext>
    </c:extLst>
  </c:chart>
  <c:spPr>
    <a:solidFill>
      <a:schemeClr val="bg1"/>
    </a:solidFill>
    <a:ln w="9525" cap="flat" cmpd="sng" algn="ctr">
      <a:solidFill>
        <a:schemeClr val="tx1">
          <a:lumMod val="15000"/>
          <a:lumOff val="85000"/>
        </a:schemeClr>
      </a:solidFill>
      <a:round/>
    </a:ln>
    <a:effectLst/>
  </c:spPr>
  <c:txPr>
    <a:bodyPr/>
    <a:lstStyle/>
    <a:p>
      <a:pPr>
        <a:defRPr lang="zh-CN" sz="900" b="0">
          <a:latin typeface="宋体" panose="02010600030101010101" charset="-122"/>
          <a:ea typeface="宋体" panose="02010600030101010101" charset="-122"/>
          <a:cs typeface="宋体" panose="02010600030101010101" charset="-122"/>
          <a:sym typeface="宋体" panose="02010600030101010101" charset="-122"/>
        </a:defRPr>
      </a:pPr>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ofPieChart>
        <c:ofPieType val="bar"/>
        <c:varyColors val="1"/>
        <c:ser>
          <c:idx val="0"/>
          <c:order val="0"/>
          <c:tx>
            <c:strRef>
              <c:f>Sheet1!$B$1</c:f>
              <c:strCache>
                <c:ptCount val="1"/>
                <c:pt idx="0">
                  <c:v>销售额</c:v>
                </c:pt>
              </c:strCache>
            </c:strRef>
          </c:tx>
          <c:spPr/>
          <c:explosion val="0"/>
          <c:dPt>
            <c:idx val="0"/>
            <c:bubble3D val="0"/>
            <c:spPr>
              <a:solidFill>
                <a:schemeClr val="accent1"/>
              </a:solidFill>
              <a:ln>
                <a:solidFill>
                  <a:schemeClr val="bg1"/>
                </a:solidFill>
              </a:ln>
              <a:effectLst/>
            </c:spPr>
          </c:dPt>
          <c:dPt>
            <c:idx val="1"/>
            <c:bubble3D val="0"/>
            <c:spPr>
              <a:solidFill>
                <a:schemeClr val="accent2"/>
              </a:solidFill>
              <a:ln>
                <a:solidFill>
                  <a:schemeClr val="bg1"/>
                </a:solidFill>
              </a:ln>
              <a:effectLst/>
            </c:spPr>
          </c:dPt>
          <c:dPt>
            <c:idx val="2"/>
            <c:bubble3D val="0"/>
            <c:spPr>
              <a:solidFill>
                <a:schemeClr val="accent3"/>
              </a:solidFill>
              <a:ln>
                <a:solidFill>
                  <a:schemeClr val="bg1"/>
                </a:solidFill>
              </a:ln>
              <a:effectLst/>
            </c:spPr>
          </c:dPt>
          <c:dPt>
            <c:idx val="3"/>
            <c:bubble3D val="0"/>
            <c:spPr>
              <a:solidFill>
                <a:schemeClr val="accent4"/>
              </a:solidFill>
              <a:ln>
                <a:solidFill>
                  <a:schemeClr val="bg1"/>
                </a:solidFill>
              </a:ln>
              <a:effectLst/>
            </c:spPr>
          </c:dPt>
          <c:dPt>
            <c:idx val="4"/>
            <c:bubble3D val="0"/>
            <c:spPr>
              <a:solidFill>
                <a:schemeClr val="accent5"/>
              </a:solidFill>
              <a:ln>
                <a:solidFill>
                  <a:schemeClr val="bg1"/>
                </a:solidFill>
              </a:ln>
              <a:effectLst/>
            </c:spPr>
          </c:dPt>
          <c:dPt>
            <c:idx val="5"/>
            <c:bubble3D val="0"/>
            <c:spPr>
              <a:solidFill>
                <a:schemeClr val="accent6"/>
              </a:solidFill>
              <a:ln>
                <a:solidFill>
                  <a:schemeClr val="bg1"/>
                </a:solidFill>
              </a:ln>
              <a:effectLst/>
            </c:spPr>
          </c:dPt>
          <c:dPt>
            <c:idx val="6"/>
            <c:bubble3D val="0"/>
            <c:spPr>
              <a:solidFill>
                <a:schemeClr val="accent1">
                  <a:lumMod val="60000"/>
                </a:schemeClr>
              </a:solidFill>
              <a:ln>
                <a:solidFill>
                  <a:schemeClr val="bg1"/>
                </a:solidFill>
              </a:ln>
              <a:effectLst/>
            </c:spPr>
          </c:dPt>
          <c:dPt>
            <c:idx val="7"/>
            <c:bubble3D val="0"/>
            <c:spPr>
              <a:solidFill>
                <a:schemeClr val="accent2">
                  <a:lumMod val="60000"/>
                </a:schemeClr>
              </a:solidFill>
              <a:ln>
                <a:solidFill>
                  <a:schemeClr val="bg1"/>
                </a:solidFill>
              </a:ln>
              <a:effectLst/>
            </c:spPr>
          </c:dPt>
          <c:dPt>
            <c:idx val="8"/>
            <c:bubble3D val="0"/>
            <c:spPr>
              <a:solidFill>
                <a:schemeClr val="accent3">
                  <a:lumMod val="60000"/>
                </a:schemeClr>
              </a:solidFill>
              <a:ln>
                <a:solidFill>
                  <a:schemeClr val="bg1"/>
                </a:solidFill>
              </a:ln>
              <a:effectLst/>
            </c:spPr>
          </c:dPt>
          <c:dLbls>
            <c:dLbl>
              <c:idx val="0"/>
              <c:layout/>
              <c:numFmt formatCode="General" sourceLinked="1"/>
              <c:spPr>
                <a:noFill/>
                <a:ln>
                  <a:noFill/>
                </a:ln>
                <a:effectLst/>
              </c:spPr>
              <c:txPr>
                <a:bodyPr rot="0" spcFirstLastPara="0" vertOverflow="ellipsis" vert="horz" wrap="square" lIns="38100" tIns="19050" rIns="38100" bIns="19050" anchor="ctr" anchorCtr="1"/>
                <a:lstStyle/>
                <a:p>
                  <a:pPr>
                    <a:defRPr lang="zh-CN" sz="1000" b="1" i="0" u="none" strike="noStrike" kern="1200" spc="0" baseline="0">
                      <a:solidFill>
                        <a:schemeClr val="accent1"/>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outEnd"/>
              <c:showLegendKey val="0"/>
              <c:showVal val="0"/>
              <c:showCatName val="1"/>
              <c:showSerName val="0"/>
              <c:showPercent val="1"/>
              <c:showBubbleSize val="0"/>
              <c:separator>
</c:separator>
              <c:extLst>
                <c:ext xmlns:c15="http://schemas.microsoft.com/office/drawing/2012/chart" uri="{CE6537A1-D6FC-4f65-9D91-7224C49458BB}"/>
              </c:extLst>
            </c:dLbl>
            <c:dLbl>
              <c:idx val="1"/>
              <c:layout/>
              <c:numFmt formatCode="General" sourceLinked="1"/>
              <c:spPr>
                <a:noFill/>
                <a:ln>
                  <a:noFill/>
                </a:ln>
                <a:effectLst/>
              </c:spPr>
              <c:txPr>
                <a:bodyPr rot="0" spcFirstLastPara="0" vertOverflow="ellipsis" vert="horz" wrap="square" lIns="38100" tIns="19050" rIns="38100" bIns="19050" anchor="ctr" anchorCtr="1"/>
                <a:lstStyle/>
                <a:p>
                  <a:pPr>
                    <a:defRPr lang="zh-CN" sz="1000" b="1" i="0" u="none" strike="noStrike" kern="1200" spc="0" baseline="0">
                      <a:solidFill>
                        <a:schemeClr val="accent2"/>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outEnd"/>
              <c:showLegendKey val="0"/>
              <c:showVal val="0"/>
              <c:showCatName val="1"/>
              <c:showSerName val="0"/>
              <c:showPercent val="1"/>
              <c:showBubbleSize val="0"/>
              <c:separator>
</c:separator>
              <c:extLst>
                <c:ext xmlns:c15="http://schemas.microsoft.com/office/drawing/2012/chart" uri="{CE6537A1-D6FC-4f65-9D91-7224C49458BB}"/>
              </c:extLst>
            </c:dLbl>
            <c:dLbl>
              <c:idx val="2"/>
              <c:layout/>
              <c:numFmt formatCode="General" sourceLinked="1"/>
              <c:spPr>
                <a:noFill/>
                <a:ln>
                  <a:noFill/>
                </a:ln>
                <a:effectLst/>
              </c:spPr>
              <c:txPr>
                <a:bodyPr rot="0" spcFirstLastPara="0" vertOverflow="ellipsis" vert="horz" wrap="square" lIns="38100" tIns="19050" rIns="38100" bIns="19050" anchor="ctr" anchorCtr="1"/>
                <a:lstStyle/>
                <a:p>
                  <a:pPr>
                    <a:defRPr lang="zh-CN" sz="1000" b="1" i="0" u="none" strike="noStrike" kern="1200" spc="0" baseline="0">
                      <a:solidFill>
                        <a:schemeClr val="accent3"/>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outEnd"/>
              <c:showLegendKey val="0"/>
              <c:showVal val="0"/>
              <c:showCatName val="1"/>
              <c:showSerName val="0"/>
              <c:showPercent val="1"/>
              <c:showBubbleSize val="0"/>
              <c:separator>
</c:separator>
              <c:extLst>
                <c:ext xmlns:c15="http://schemas.microsoft.com/office/drawing/2012/chart" uri="{CE6537A1-D6FC-4f65-9D91-7224C49458BB}"/>
              </c:extLst>
            </c:dLbl>
            <c:dLbl>
              <c:idx val="3"/>
              <c:layout>
                <c:manualLayout>
                  <c:x val="-0.0831118627687847"/>
                  <c:y val="0"/>
                </c:manualLayout>
              </c:layout>
              <c:numFmt formatCode="General" sourceLinked="1"/>
              <c:spPr>
                <a:noFill/>
                <a:ln>
                  <a:noFill/>
                </a:ln>
                <a:effectLst/>
              </c:spPr>
              <c:txPr>
                <a:bodyPr rot="0" spcFirstLastPara="0" vertOverflow="ellipsis" vert="horz" wrap="square" lIns="38100" tIns="19050" rIns="38100" bIns="19050" anchor="ctr" anchorCtr="1"/>
                <a:lstStyle/>
                <a:p>
                  <a:pPr>
                    <a:defRPr lang="zh-CN" sz="1000" b="1" i="0" u="none" strike="noStrike" kern="1200" spc="0" baseline="0">
                      <a:solidFill>
                        <a:schemeClr val="accent4"/>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bestFit"/>
              <c:showLegendKey val="0"/>
              <c:showVal val="0"/>
              <c:showCatName val="1"/>
              <c:showSerName val="0"/>
              <c:showPercent val="1"/>
              <c:showBubbleSize val="0"/>
              <c:separator>
</c:separator>
              <c:extLst>
                <c:ext xmlns:c15="http://schemas.microsoft.com/office/drawing/2012/chart" uri="{CE6537A1-D6FC-4f65-9D91-7224C49458BB}">
                  <c15:layout>
                    <c:manualLayout>
                      <c:w val="0.18869292099541"/>
                      <c:h val="0.202932426689333"/>
                    </c:manualLayout>
                  </c15:layout>
                </c:ext>
              </c:extLst>
            </c:dLbl>
            <c:dLbl>
              <c:idx val="4"/>
              <c:layout>
                <c:manualLayout>
                  <c:x val="-0.0105097849722155"/>
                  <c:y val="-0.0973225669358266"/>
                </c:manualLayout>
              </c:layout>
              <c:numFmt formatCode="General" sourceLinked="1"/>
              <c:spPr>
                <a:noFill/>
                <a:ln>
                  <a:noFill/>
                </a:ln>
                <a:effectLst/>
              </c:spPr>
              <c:txPr>
                <a:bodyPr rot="0" spcFirstLastPara="0" vertOverflow="ellipsis" vert="horz" wrap="square" lIns="38100" tIns="19050" rIns="38100" bIns="19050" anchor="ctr" anchorCtr="1"/>
                <a:lstStyle/>
                <a:p>
                  <a:pPr>
                    <a:defRPr lang="zh-CN" sz="1000" b="1" i="0" u="none" strike="noStrike" kern="1200" spc="0" baseline="0">
                      <a:solidFill>
                        <a:schemeClr val="accent5"/>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bestFit"/>
              <c:showLegendKey val="0"/>
              <c:showVal val="0"/>
              <c:showCatName val="1"/>
              <c:showSerName val="0"/>
              <c:showPercent val="1"/>
              <c:showBubbleSize val="0"/>
              <c:separator>
</c:separator>
              <c:extLst>
                <c:ext xmlns:c15="http://schemas.microsoft.com/office/drawing/2012/chart" uri="{CE6537A1-D6FC-4f65-9D91-7224C49458BB}">
                  <c15:layout>
                    <c:manualLayout>
                      <c:w val="0.123701377144238"/>
                      <c:h val="0.291117722056949"/>
                    </c:manualLayout>
                  </c15:layout>
                </c:ext>
              </c:extLst>
            </c:dLbl>
            <c:dLbl>
              <c:idx val="5"/>
              <c:layout>
                <c:manualLayout>
                  <c:x val="0.0856487074172506"/>
                  <c:y val="0"/>
                </c:manualLayout>
              </c:layout>
              <c:numFmt formatCode="General" sourceLinked="1"/>
              <c:spPr>
                <a:noFill/>
                <a:ln>
                  <a:noFill/>
                </a:ln>
                <a:effectLst/>
              </c:spPr>
              <c:txPr>
                <a:bodyPr rot="0" spcFirstLastPara="0" vertOverflow="ellipsis" vert="horz" wrap="square" lIns="38100" tIns="19050" rIns="38100" bIns="19050" anchor="ctr" anchorCtr="1"/>
                <a:lstStyle/>
                <a:p>
                  <a:pPr>
                    <a:defRPr lang="zh-CN" sz="1000" b="1" i="0" u="none" strike="noStrike" kern="1200" spc="0" baseline="0">
                      <a:solidFill>
                        <a:schemeClr val="accent6"/>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bestFit"/>
              <c:showLegendKey val="0"/>
              <c:showVal val="0"/>
              <c:showCatName val="1"/>
              <c:showSerName val="0"/>
              <c:showPercent val="1"/>
              <c:showBubbleSize val="0"/>
              <c:separator>
</c:separator>
              <c:extLst>
                <c:ext xmlns:c15="http://schemas.microsoft.com/office/drawing/2012/chart" uri="{CE6537A1-D6FC-4f65-9D91-7224C49458BB}">
                  <c15:layout>
                    <c:manualLayout>
                      <c:w val="0.234839333172264"/>
                      <c:h val="0.26774330641734"/>
                    </c:manualLayout>
                  </c15:layout>
                </c:ext>
              </c:extLst>
            </c:dLbl>
            <c:dLbl>
              <c:idx val="6"/>
              <c:layout/>
              <c:numFmt formatCode="General" sourceLinked="1"/>
              <c:spPr>
                <a:noFill/>
                <a:ln>
                  <a:noFill/>
                </a:ln>
                <a:effectLst/>
              </c:spPr>
              <c:txPr>
                <a:bodyPr rot="0" spcFirstLastPara="0" vertOverflow="ellipsis" vert="horz" wrap="square" lIns="38100" tIns="19050" rIns="38100" bIns="19050" anchor="ctr" anchorCtr="1"/>
                <a:lstStyle/>
                <a:p>
                  <a:pPr>
                    <a:defRPr lang="zh-CN" sz="1000" b="1" i="0" u="none" strike="noStrike" kern="1200" spc="0" baseline="0">
                      <a:solidFill>
                        <a:schemeClr val="accent1">
                          <a:lumMod val="60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outEnd"/>
              <c:showLegendKey val="0"/>
              <c:showVal val="0"/>
              <c:showCatName val="1"/>
              <c:showSerName val="0"/>
              <c:showPercent val="1"/>
              <c:showBubbleSize val="0"/>
              <c:separator>
</c:separator>
              <c:extLst>
                <c:ext xmlns:c15="http://schemas.microsoft.com/office/drawing/2012/chart" uri="{CE6537A1-D6FC-4f65-9D91-7224C49458BB}">
                  <c15:layout>
                    <c:manualLayout>
                      <c:w val="0.129016670693404"/>
                      <c:h val="0.2700807479813"/>
                    </c:manualLayout>
                  </c15:layout>
                </c:ext>
              </c:extLst>
            </c:dLbl>
            <c:dLbl>
              <c:idx val="7"/>
              <c:layout>
                <c:manualLayout>
                  <c:x val="0"/>
                  <c:y val="0.120484487887803"/>
                </c:manualLayout>
              </c:layout>
              <c:numFmt formatCode="General" sourceLinked="1"/>
              <c:spPr>
                <a:noFill/>
                <a:ln>
                  <a:noFill/>
                </a:ln>
                <a:effectLst/>
              </c:spPr>
              <c:txPr>
                <a:bodyPr rot="0" spcFirstLastPara="0" vertOverflow="ellipsis" vert="horz" wrap="square" lIns="38100" tIns="19050" rIns="38100" bIns="19050" anchor="ctr" anchorCtr="1"/>
                <a:lstStyle/>
                <a:p>
                  <a:pPr>
                    <a:defRPr lang="zh-CN" sz="1000" b="1" i="0" u="none" strike="noStrike" kern="1200" spc="0" baseline="0">
                      <a:solidFill>
                        <a:schemeClr val="accent2">
                          <a:lumMod val="60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bestFit"/>
              <c:showLegendKey val="0"/>
              <c:showVal val="0"/>
              <c:showCatName val="1"/>
              <c:showSerName val="0"/>
              <c:showPercent val="1"/>
              <c:showBubbleSize val="0"/>
              <c:separator>
</c:separator>
              <c:extLst>
                <c:ext xmlns:c15="http://schemas.microsoft.com/office/drawing/2012/chart" uri="{CE6537A1-D6FC-4f65-9D91-7224C49458BB}">
                  <c15:layout>
                    <c:manualLayout>
                      <c:w val="0.125030200531529"/>
                      <c:h val="0.270505737356566"/>
                    </c:manualLayout>
                  </c15:layout>
                </c:ext>
              </c:extLst>
            </c:dLbl>
            <c:dLbl>
              <c:idx val="8"/>
              <c:layout>
                <c:manualLayout>
                  <c:x val="0"/>
                  <c:y val="-0.0023374415639609"/>
                </c:manualLayout>
              </c:layout>
              <c:tx>
                <c:rich>
                  <a:bodyPr rot="0" spcFirstLastPara="0" vertOverflow="ellipsis" vert="horz" wrap="square" lIns="38100" tIns="19050" rIns="38100" bIns="19050" anchor="ctr" anchorCtr="1"/>
                  <a:lstStyle/>
                  <a:p>
                    <a:pPr defTabSz="914400">
                      <a:defRPr lang="zh-CN" sz="1000" b="1" i="0" u="none" strike="noStrike" kern="1200" spc="0" baseline="0">
                        <a:solidFill>
                          <a:schemeClr val="accent1"/>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r>
                      <a:rPr>
                        <a:latin typeface="Times New Roman" panose="02020603050405020304" charset="0"/>
                        <a:ea typeface="Times New Roman" panose="02020603050405020304" charset="0"/>
                        <a:cs typeface="Times New Roman" panose="02020603050405020304" charset="0"/>
                        <a:sym typeface="Times New Roman" panose="02020603050405020304" charset="0"/>
                      </a:rPr>
                      <a:t>燃烧法31%</a:t>
                    </a:r>
                    <a:endParaRPr>
                      <a:latin typeface="Times New Roman" panose="02020603050405020304" charset="0"/>
                      <a:ea typeface="Times New Roman" panose="02020603050405020304" charset="0"/>
                      <a:cs typeface="Times New Roman" panose="02020603050405020304" charset="0"/>
                      <a:sym typeface="Times New Roman" panose="02020603050405020304" charset="0"/>
                    </a:endParaRPr>
                  </a:p>
                </c:rich>
              </c:tx>
              <c:numFmt formatCode="General" sourceLinked="1"/>
              <c:spPr>
                <a:noFill/>
                <a:ln>
                  <a:noFill/>
                </a:ln>
                <a:effectLst/>
              </c:spPr>
              <c:txPr>
                <a:bodyPr rot="0" spcFirstLastPara="0" vertOverflow="ellipsis" vert="horz" wrap="square" lIns="38100" tIns="19050" rIns="38100" bIns="19050" anchor="ctr" anchorCtr="1"/>
                <a:lstStyle/>
                <a:p>
                  <a:pPr>
                    <a:defRPr lang="zh-CN" sz="1000" b="1" i="0" u="none" strike="noStrike" kern="1200" spc="0" baseline="0">
                      <a:solidFill>
                        <a:schemeClr val="accent1"/>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bestFit"/>
              <c:showLegendKey val="0"/>
              <c:showVal val="0"/>
              <c:showCatName val="1"/>
              <c:showSerName val="0"/>
              <c:showPercent val="1"/>
              <c:showBubbleSize val="0"/>
              <c:separator>
</c:separator>
              <c:extLst>
                <c:ext xmlns:c15="http://schemas.microsoft.com/office/drawing/2012/chart" uri="{CE6537A1-D6FC-4f65-9D91-7224C49458BB}">
                  <c15:layout/>
                </c:ext>
              </c:extLst>
            </c:dLbl>
            <c:spPr>
              <a:noFill/>
              <a:ln>
                <a:noFill/>
              </a:ln>
              <a:effectLst/>
            </c:spPr>
            <c:txPr>
              <a:bodyPr rot="0" spcFirstLastPara="0" vertOverflow="ellipsis" vert="horz" wrap="square" lIns="38100" tIns="19050" rIns="38100" bIns="19050" anchor="ctr" anchorCtr="1"/>
              <a:lstStyle/>
              <a:p>
                <a:pPr>
                  <a:defRPr lang="zh-CN" sz="1000" b="1" i="0" u="none" strike="noStrike" kern="1200" spc="0" baseline="0">
                    <a:solidFill>
                      <a:schemeClr val="accent1"/>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outEnd"/>
            <c:showLegendKey val="0"/>
            <c:showVal val="0"/>
            <c:showCatName val="1"/>
            <c:showSerName val="0"/>
            <c:showPercent val="1"/>
            <c:showBubbleSize val="0"/>
            <c:showLeaderLines val="0"/>
            <c:extLst>
              <c:ext xmlns:c15="http://schemas.microsoft.com/office/drawing/2012/chart" uri="{CE6537A1-D6FC-4f65-9D91-7224C49458BB}">
                <c15:layout/>
                <c15:showLeaderLines val="0"/>
                <c15:leaderLines>
                  <c:spPr>
                    <a:ln w="9525" cap="flat" cmpd="sng" algn="ctr">
                      <a:solidFill>
                        <a:schemeClr val="tx1">
                          <a:lumMod val="35000"/>
                          <a:lumOff val="65000"/>
                        </a:schemeClr>
                      </a:solidFill>
                      <a:round/>
                    </a:ln>
                    <a:effectLst/>
                  </c:spPr>
                </c15:leaderLines>
              </c:ext>
            </c:extLst>
          </c:dLbls>
          <c:cat>
            <c:strRef>
              <c:f>Sheet1!$A$2:$A$9</c:f>
              <c:strCache>
                <c:ptCount val="8"/>
                <c:pt idx="0">
                  <c:v>UV光氧</c:v>
                </c:pt>
                <c:pt idx="1">
                  <c:v>UV光氧+活性炭</c:v>
                </c:pt>
                <c:pt idx="2">
                  <c:v>二级活性炭</c:v>
                </c:pt>
                <c:pt idx="3">
                  <c:v>分子筛吸附浓缩+催化氧化</c:v>
                </c:pt>
                <c:pt idx="4">
                  <c:v>分子筛吸脱附+催化燃烧</c:v>
                </c:pt>
                <c:pt idx="5">
                  <c:v>干式过滤+活性炭吸附+脱附系统+低温催化分解</c:v>
                </c:pt>
                <c:pt idx="6">
                  <c:v>活性炭吸附-脱附-催化燃烧</c:v>
                </c:pt>
                <c:pt idx="7">
                  <c:v>活性炭吸附-脱附-蓄热催化燃烧</c:v>
                </c:pt>
              </c:strCache>
            </c:strRef>
          </c:cat>
          <c:val>
            <c:numRef>
              <c:f>Sheet1!$B$2:$B$9</c:f>
              <c:numCache>
                <c:formatCode>General</c:formatCode>
                <c:ptCount val="8"/>
                <c:pt idx="0">
                  <c:v>14</c:v>
                </c:pt>
                <c:pt idx="1">
                  <c:v>99</c:v>
                </c:pt>
                <c:pt idx="2">
                  <c:v>89</c:v>
                </c:pt>
                <c:pt idx="3">
                  <c:v>2</c:v>
                </c:pt>
                <c:pt idx="4">
                  <c:v>6</c:v>
                </c:pt>
                <c:pt idx="5">
                  <c:v>13</c:v>
                </c:pt>
                <c:pt idx="6">
                  <c:v>63</c:v>
                </c:pt>
                <c:pt idx="7">
                  <c:v>29</c:v>
                </c:pt>
              </c:numCache>
            </c:numRef>
          </c:val>
        </c:ser>
        <c:dLbls>
          <c:showLegendKey val="0"/>
          <c:showVal val="0"/>
          <c:showCatName val="1"/>
          <c:showSerName val="0"/>
          <c:showPercent val="1"/>
          <c:showBubbleSize val="0"/>
          <c:showLeaderLines val="1"/>
        </c:dLbls>
        <c:gapWidth val="100"/>
        <c:splitType val="cust"/>
        <c:custSplit>
          <c:secondPiePt val="4"/>
          <c:secondPiePt val="6"/>
          <c:secondPiePt val="7"/>
        </c:custSplit>
        <c:splitPos val="3"/>
        <c:secondPieSize val="75"/>
        <c:serLines>
          <c:spPr>
            <a:ln w="9525" cap="flat" cmpd="sng" algn="ctr">
              <a:solidFill>
                <a:schemeClr val="tx1">
                  <a:lumMod val="35000"/>
                  <a:lumOff val="65000"/>
                </a:schemeClr>
              </a:solidFill>
              <a:round/>
            </a:ln>
            <a:effectLst/>
          </c:spPr>
        </c:serLines>
      </c:ofPieChart>
      <c:spPr>
        <a:noFill/>
        <a:ln>
          <a:noFill/>
        </a:ln>
        <a:effectLst/>
      </c:spPr>
    </c:plotArea>
    <c:plotVisOnly val="1"/>
    <c:dispBlanksAs val="gap"/>
    <c:showDLblsOverMax val="0"/>
    <c:extLst>
      <c:ext uri="{0b15fc19-7d7d-44ad-8c2d-2c3a37ce22c3}">
        <chartProps xmlns="https://web.wps.cn/et/2018/main" chartId="{9321db31-99fd-41a4-b006-556480a023e4}"/>
      </c:ext>
    </c:extLst>
  </c:chart>
  <c:spPr>
    <a:solidFill>
      <a:schemeClr val="bg1"/>
    </a:solidFill>
    <a:ln w="9525" cap="flat" cmpd="sng" algn="ctr">
      <a:solidFill>
        <a:schemeClr val="tx1">
          <a:lumMod val="15000"/>
          <a:lumOff val="85000"/>
        </a:schemeClr>
      </a:solidFill>
      <a:round/>
    </a:ln>
    <a:effectLst/>
  </c:spPr>
  <c:txPr>
    <a:bodyPr/>
    <a:lstStyle/>
    <a:p>
      <a:pPr>
        <a:defRPr lang="zh-CN">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0828219376661029"/>
          <c:y val="0.0500907441016334"/>
          <c:w val="0.890601594588065"/>
          <c:h val="0.689437386569873"/>
        </c:manualLayout>
      </c:layout>
      <c:barChart>
        <c:barDir val="col"/>
        <c:grouping val="percentStacked"/>
        <c:varyColors val="0"/>
        <c:ser>
          <c:idx val="0"/>
          <c:order val="0"/>
          <c:tx>
            <c:strRef>
              <c:f>Sheet1!$B$1</c:f>
              <c:strCache>
                <c:ptCount val="1"/>
                <c:pt idx="0">
                  <c:v>未检出</c:v>
                </c:pt>
              </c:strCache>
            </c:strRef>
          </c:tx>
          <c:spPr>
            <a:solidFill>
              <a:schemeClr val="accent4">
                <a:lumMod val="20000"/>
                <a:lumOff val="80000"/>
              </a:schemeClr>
            </a:solidFill>
            <a:ln>
              <a:solidFill>
                <a:schemeClr val="bg1"/>
              </a:solidFill>
            </a:ln>
            <a:effectLst/>
          </c:spPr>
          <c:invertIfNegative val="0"/>
          <c:dLbls>
            <c:delete val="1"/>
          </c:dLbls>
          <c:cat>
            <c:strRef>
              <c:f>Sheet1!$A$2:$A$4</c:f>
              <c:strCache>
                <c:ptCount val="3"/>
                <c:pt idx="0">
                  <c:v>一类</c:v>
                </c:pt>
                <c:pt idx="1">
                  <c:v>二类</c:v>
                </c:pt>
                <c:pt idx="2">
                  <c:v>三类</c:v>
                </c:pt>
              </c:strCache>
            </c:strRef>
          </c:cat>
          <c:val>
            <c:numRef>
              <c:f>Sheet1!$B$2:$B$4</c:f>
              <c:numCache>
                <c:formatCode>General</c:formatCode>
                <c:ptCount val="3"/>
                <c:pt idx="0">
                  <c:v>36</c:v>
                </c:pt>
                <c:pt idx="1">
                  <c:v>53</c:v>
                </c:pt>
                <c:pt idx="2">
                  <c:v>9</c:v>
                </c:pt>
              </c:numCache>
            </c:numRef>
          </c:val>
        </c:ser>
        <c:ser>
          <c:idx val="1"/>
          <c:order val="1"/>
          <c:tx>
            <c:strRef>
              <c:f>Sheet1!$C$1</c:f>
              <c:strCache>
                <c:ptCount val="1"/>
                <c:pt idx="0">
                  <c:v>0~0.1</c:v>
                </c:pt>
              </c:strCache>
            </c:strRef>
          </c:tx>
          <c:spPr>
            <a:solidFill>
              <a:schemeClr val="accent2"/>
            </a:solidFill>
            <a:ln>
              <a:solidFill>
                <a:schemeClr val="bg1"/>
              </a:solidFill>
            </a:ln>
            <a:effectLst/>
          </c:spPr>
          <c:invertIfNegative val="0"/>
          <c:dLbls>
            <c:delete val="1"/>
          </c:dLbls>
          <c:cat>
            <c:strRef>
              <c:f>Sheet1!$A$2:$A$4</c:f>
              <c:strCache>
                <c:ptCount val="3"/>
                <c:pt idx="0">
                  <c:v>一类</c:v>
                </c:pt>
                <c:pt idx="1">
                  <c:v>二类</c:v>
                </c:pt>
                <c:pt idx="2">
                  <c:v>三类</c:v>
                </c:pt>
              </c:strCache>
            </c:strRef>
          </c:cat>
          <c:val>
            <c:numRef>
              <c:f>Sheet1!$C$2:$C$4</c:f>
              <c:numCache>
                <c:formatCode>General</c:formatCode>
                <c:ptCount val="3"/>
                <c:pt idx="0">
                  <c:v>25</c:v>
                </c:pt>
                <c:pt idx="1">
                  <c:v>60</c:v>
                </c:pt>
                <c:pt idx="2">
                  <c:v>9</c:v>
                </c:pt>
              </c:numCache>
            </c:numRef>
          </c:val>
        </c:ser>
        <c:ser>
          <c:idx val="2"/>
          <c:order val="2"/>
          <c:tx>
            <c:strRef>
              <c:f>Sheet1!$D$1</c:f>
              <c:strCache>
                <c:ptCount val="1"/>
                <c:pt idx="0">
                  <c:v>0.1~0.5</c:v>
                </c:pt>
              </c:strCache>
            </c:strRef>
          </c:tx>
          <c:spPr>
            <a:solidFill>
              <a:schemeClr val="accent3"/>
            </a:solidFill>
            <a:ln>
              <a:solidFill>
                <a:schemeClr val="bg1"/>
              </a:solidFill>
            </a:ln>
            <a:effectLst/>
          </c:spPr>
          <c:invertIfNegative val="0"/>
          <c:dLbls>
            <c:delete val="1"/>
          </c:dLbls>
          <c:cat>
            <c:strRef>
              <c:f>Sheet1!$A$2:$A$4</c:f>
              <c:strCache>
                <c:ptCount val="3"/>
                <c:pt idx="0">
                  <c:v>一类</c:v>
                </c:pt>
                <c:pt idx="1">
                  <c:v>二类</c:v>
                </c:pt>
                <c:pt idx="2">
                  <c:v>三类</c:v>
                </c:pt>
              </c:strCache>
            </c:strRef>
          </c:cat>
          <c:val>
            <c:numRef>
              <c:f>Sheet1!$D$2:$D$4</c:f>
              <c:numCache>
                <c:formatCode>General</c:formatCode>
                <c:ptCount val="3"/>
                <c:pt idx="0">
                  <c:v>4</c:v>
                </c:pt>
                <c:pt idx="1">
                  <c:v>1</c:v>
                </c:pt>
                <c:pt idx="2">
                  <c:v>4</c:v>
                </c:pt>
              </c:numCache>
            </c:numRef>
          </c:val>
        </c:ser>
        <c:ser>
          <c:idx val="3"/>
          <c:order val="3"/>
          <c:tx>
            <c:strRef>
              <c:f>Sheet1!$E$1</c:f>
              <c:strCache>
                <c:ptCount val="1"/>
                <c:pt idx="0">
                  <c:v>0.5~1.0</c:v>
                </c:pt>
              </c:strCache>
            </c:strRef>
          </c:tx>
          <c:spPr>
            <a:solidFill>
              <a:schemeClr val="accent4"/>
            </a:solidFill>
            <a:ln>
              <a:solidFill>
                <a:schemeClr val="bg1"/>
              </a:solidFill>
            </a:ln>
            <a:effectLst/>
          </c:spPr>
          <c:invertIfNegative val="0"/>
          <c:dLbls>
            <c:delete val="1"/>
          </c:dLbls>
          <c:cat>
            <c:strRef>
              <c:f>Sheet1!$A$2:$A$4</c:f>
              <c:strCache>
                <c:ptCount val="3"/>
                <c:pt idx="0">
                  <c:v>一类</c:v>
                </c:pt>
                <c:pt idx="1">
                  <c:v>二类</c:v>
                </c:pt>
                <c:pt idx="2">
                  <c:v>三类</c:v>
                </c:pt>
              </c:strCache>
            </c:strRef>
          </c:cat>
          <c:val>
            <c:numRef>
              <c:f>Sheet1!$E$2:$E$4</c:f>
              <c:numCache>
                <c:formatCode>General</c:formatCode>
                <c:ptCount val="3"/>
                <c:pt idx="1">
                  <c:v>1</c:v>
                </c:pt>
              </c:numCache>
            </c:numRef>
          </c:val>
        </c:ser>
        <c:ser>
          <c:idx val="4"/>
          <c:order val="4"/>
          <c:tx>
            <c:strRef>
              <c:f>Sheet1!$F$1</c:f>
              <c:strCache>
                <c:ptCount val="1"/>
                <c:pt idx="0">
                  <c:v>＞1.0</c:v>
                </c:pt>
              </c:strCache>
            </c:strRef>
          </c:tx>
          <c:spPr>
            <a:solidFill>
              <a:schemeClr val="accent5"/>
            </a:solidFill>
            <a:ln>
              <a:solidFill>
                <a:schemeClr val="bg1"/>
              </a:solidFill>
            </a:ln>
            <a:effectLst/>
          </c:spPr>
          <c:invertIfNegative val="0"/>
          <c:dLbls>
            <c:delete val="1"/>
          </c:dLbls>
          <c:cat>
            <c:strRef>
              <c:f>Sheet1!$A$2:$A$4</c:f>
              <c:strCache>
                <c:ptCount val="3"/>
                <c:pt idx="0">
                  <c:v>一类</c:v>
                </c:pt>
                <c:pt idx="1">
                  <c:v>二类</c:v>
                </c:pt>
                <c:pt idx="2">
                  <c:v>三类</c:v>
                </c:pt>
              </c:strCache>
            </c:strRef>
          </c:cat>
          <c:val>
            <c:numRef>
              <c:f>Sheet1!$F$2:$F$4</c:f>
              <c:numCache>
                <c:formatCode>General</c:formatCode>
                <c:ptCount val="3"/>
                <c:pt idx="1">
                  <c:v>1</c:v>
                </c:pt>
              </c:numCache>
            </c:numRef>
          </c:val>
        </c:ser>
        <c:dLbls>
          <c:showLegendKey val="0"/>
          <c:showVal val="0"/>
          <c:showCatName val="0"/>
          <c:showSerName val="0"/>
          <c:showPercent val="0"/>
          <c:showBubbleSize val="0"/>
        </c:dLbls>
        <c:gapWidth val="246"/>
        <c:overlap val="100"/>
        <c:axId val="889170592"/>
        <c:axId val="42656596"/>
      </c:barChart>
      <c:catAx>
        <c:axId val="889170592"/>
        <c:scaling>
          <c:orientation val="minMax"/>
        </c:scaling>
        <c:delete val="0"/>
        <c:axPos val="b"/>
        <c:majorTickMark val="none"/>
        <c:minorTickMark val="none"/>
        <c:tickLblPos val="nextTo"/>
        <c:spPr>
          <a:noFill/>
          <a:ln w="12700" cap="flat" cmpd="sng" algn="ctr">
            <a:solidFill>
              <a:schemeClr val="tx1"/>
            </a:solidFill>
            <a:prstDash val="solid"/>
            <a:round/>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crossAx val="42656596"/>
        <c:crosses val="autoZero"/>
        <c:auto val="1"/>
        <c:lblAlgn val="ctr"/>
        <c:lblOffset val="100"/>
        <c:noMultiLvlLbl val="0"/>
      </c:catAx>
      <c:valAx>
        <c:axId val="42656596"/>
        <c:scaling>
          <c:orientation val="minMax"/>
        </c:scaling>
        <c:delete val="0"/>
        <c:axPos val="l"/>
        <c:majorGridlines>
          <c:spPr>
            <a:ln w="9525" cap="flat" cmpd="sng" algn="ctr">
              <a:noFill/>
              <a:round/>
            </a:ln>
            <a:effectLst/>
          </c:spPr>
        </c:majorGridlines>
        <c:numFmt formatCode="0%" sourceLinked="1"/>
        <c:majorTickMark val="in"/>
        <c:minorTickMark val="none"/>
        <c:tickLblPos val="nextTo"/>
        <c:spPr>
          <a:noFill/>
          <a:ln>
            <a:solidFill>
              <a:schemeClr val="tx1"/>
            </a:solidFill>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crossAx val="889170592"/>
        <c:crosses val="autoZero"/>
        <c:crossBetween val="between"/>
      </c:valAx>
      <c:spPr>
        <a:noFill/>
        <a:ln w="12700" cmpd="sng">
          <a:solidFill>
            <a:schemeClr val="tx1"/>
          </a:solidFill>
          <a:prstDash val="solid"/>
        </a:ln>
        <a:effectLst/>
      </c:spPr>
    </c:plotArea>
    <c:legend>
      <c:legendPos val="b"/>
      <c:legendEntry>
        <c:idx val="0"/>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1"/>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2"/>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3"/>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4"/>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ayout>
        <c:manualLayout>
          <c:xMode val="edge"/>
          <c:yMode val="edge"/>
          <c:x val="0.278750906015946"/>
          <c:y val="0.868239564428312"/>
        </c:manualLayout>
      </c:layout>
      <c:overlay val="0"/>
      <c:spPr>
        <a:noFill/>
        <a:ln>
          <a:noFill/>
        </a:ln>
        <a:effectLst/>
      </c:spPr>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
    <c:plotVisOnly val="1"/>
    <c:dispBlanksAs val="gap"/>
    <c:showDLblsOverMax val="0"/>
    <c:extLst>
      <c:ext uri="{0b15fc19-7d7d-44ad-8c2d-2c3a37ce22c3}">
        <chartProps xmlns="https://web.wps.cn/et/2018/main" chartId="{444f9cea-829f-4337-92c0-285e61f476cb}"/>
      </c:ext>
    </c:extLst>
  </c:chart>
  <c:spPr>
    <a:solidFill>
      <a:schemeClr val="bg1"/>
    </a:solidFill>
    <a:ln w="9525" cap="flat" cmpd="sng" algn="ctr">
      <a:noFill/>
      <a:round/>
    </a:ln>
    <a:effectLst/>
  </c:spPr>
  <c:txPr>
    <a:bodyPr/>
    <a:lstStyle/>
    <a:p>
      <a:pPr>
        <a:defRPr lang="zh-CN">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percentStacked"/>
        <c:varyColors val="0"/>
        <c:ser>
          <c:idx val="0"/>
          <c:order val="0"/>
          <c:tx>
            <c:strRef>
              <c:f>Sheet1!$B$1</c:f>
              <c:strCache>
                <c:ptCount val="1"/>
                <c:pt idx="0">
                  <c:v>未检出</c:v>
                </c:pt>
              </c:strCache>
            </c:strRef>
          </c:tx>
          <c:spPr>
            <a:solidFill>
              <a:schemeClr val="accent6"/>
            </a:solidFill>
            <a:ln>
              <a:solidFill>
                <a:schemeClr val="bg1"/>
              </a:solidFill>
            </a:ln>
            <a:effectLst/>
          </c:spPr>
          <c:invertIfNegative val="0"/>
          <c:dLbls>
            <c:delete val="1"/>
          </c:dLbls>
          <c:cat>
            <c:strRef>
              <c:f>Sheet1!$A$2:$A$4</c:f>
              <c:strCache>
                <c:ptCount val="3"/>
                <c:pt idx="0">
                  <c:v>UV光氧+活性炭/二级活性炭</c:v>
                </c:pt>
                <c:pt idx="1">
                  <c:v>活性炭+低温催化分解</c:v>
                </c:pt>
                <c:pt idx="2">
                  <c:v>燃烧法</c:v>
                </c:pt>
              </c:strCache>
            </c:strRef>
          </c:cat>
          <c:val>
            <c:numRef>
              <c:f>Sheet1!$B$2:$B$4</c:f>
              <c:numCache>
                <c:formatCode>General</c:formatCode>
                <c:ptCount val="3"/>
                <c:pt idx="0">
                  <c:v>70</c:v>
                </c:pt>
                <c:pt idx="1">
                  <c:v>7</c:v>
                </c:pt>
                <c:pt idx="2">
                  <c:v>21</c:v>
                </c:pt>
              </c:numCache>
            </c:numRef>
          </c:val>
        </c:ser>
        <c:ser>
          <c:idx val="1"/>
          <c:order val="1"/>
          <c:tx>
            <c:strRef>
              <c:f>Sheet1!$C$1</c:f>
              <c:strCache>
                <c:ptCount val="1"/>
                <c:pt idx="0">
                  <c:v>0~0.1</c:v>
                </c:pt>
              </c:strCache>
            </c:strRef>
          </c:tx>
          <c:spPr>
            <a:solidFill>
              <a:schemeClr val="accent5"/>
            </a:solidFill>
            <a:ln>
              <a:solidFill>
                <a:schemeClr val="bg1"/>
              </a:solidFill>
            </a:ln>
            <a:effectLst/>
          </c:spPr>
          <c:invertIfNegative val="0"/>
          <c:dLbls>
            <c:delete val="1"/>
          </c:dLbls>
          <c:cat>
            <c:strRef>
              <c:f>Sheet1!$A$2:$A$4</c:f>
              <c:strCache>
                <c:ptCount val="3"/>
                <c:pt idx="0">
                  <c:v>UV光氧+活性炭/二级活性炭</c:v>
                </c:pt>
                <c:pt idx="1">
                  <c:v>活性炭+低温催化分解</c:v>
                </c:pt>
                <c:pt idx="2">
                  <c:v>燃烧法</c:v>
                </c:pt>
              </c:strCache>
            </c:strRef>
          </c:cat>
          <c:val>
            <c:numRef>
              <c:f>Sheet1!$C$2:$C$4</c:f>
              <c:numCache>
                <c:formatCode>General</c:formatCode>
                <c:ptCount val="3"/>
                <c:pt idx="0">
                  <c:v>53</c:v>
                </c:pt>
                <c:pt idx="1">
                  <c:v>4</c:v>
                </c:pt>
                <c:pt idx="2">
                  <c:v>37</c:v>
                </c:pt>
              </c:numCache>
            </c:numRef>
          </c:val>
        </c:ser>
        <c:ser>
          <c:idx val="2"/>
          <c:order val="2"/>
          <c:tx>
            <c:strRef>
              <c:f>Sheet1!$D$1</c:f>
              <c:strCache>
                <c:ptCount val="1"/>
                <c:pt idx="0">
                  <c:v>0.1~0.5</c:v>
                </c:pt>
              </c:strCache>
            </c:strRef>
          </c:tx>
          <c:spPr>
            <a:solidFill>
              <a:schemeClr val="accent4"/>
            </a:solidFill>
            <a:ln>
              <a:solidFill>
                <a:schemeClr val="bg1"/>
              </a:solidFill>
            </a:ln>
            <a:effectLst/>
          </c:spPr>
          <c:invertIfNegative val="0"/>
          <c:dLbls>
            <c:delete val="1"/>
          </c:dLbls>
          <c:cat>
            <c:strRef>
              <c:f>Sheet1!$A$2:$A$4</c:f>
              <c:strCache>
                <c:ptCount val="3"/>
                <c:pt idx="0">
                  <c:v>UV光氧+活性炭/二级活性炭</c:v>
                </c:pt>
                <c:pt idx="1">
                  <c:v>活性炭+低温催化分解</c:v>
                </c:pt>
                <c:pt idx="2">
                  <c:v>燃烧法</c:v>
                </c:pt>
              </c:strCache>
            </c:strRef>
          </c:cat>
          <c:val>
            <c:numRef>
              <c:f>Sheet1!$D$2:$D$4</c:f>
              <c:numCache>
                <c:formatCode>General</c:formatCode>
                <c:ptCount val="3"/>
                <c:pt idx="0">
                  <c:v>5</c:v>
                </c:pt>
                <c:pt idx="2">
                  <c:v>4</c:v>
                </c:pt>
              </c:numCache>
            </c:numRef>
          </c:val>
        </c:ser>
        <c:ser>
          <c:idx val="3"/>
          <c:order val="3"/>
          <c:tx>
            <c:strRef>
              <c:f>Sheet1!$E$1</c:f>
              <c:strCache>
                <c:ptCount val="1"/>
                <c:pt idx="0">
                  <c:v>0.5~1.0</c:v>
                </c:pt>
              </c:strCache>
            </c:strRef>
          </c:tx>
          <c:spPr>
            <a:solidFill>
              <a:schemeClr val="accent6">
                <a:lumMod val="60000"/>
              </a:schemeClr>
            </a:solidFill>
            <a:ln>
              <a:solidFill>
                <a:schemeClr val="bg1"/>
              </a:solidFill>
            </a:ln>
            <a:effectLst/>
          </c:spPr>
          <c:invertIfNegative val="0"/>
          <c:dLbls>
            <c:delete val="1"/>
          </c:dLbls>
          <c:cat>
            <c:strRef>
              <c:f>Sheet1!$A$2:$A$4</c:f>
              <c:strCache>
                <c:ptCount val="3"/>
                <c:pt idx="0">
                  <c:v>UV光氧+活性炭/二级活性炭</c:v>
                </c:pt>
                <c:pt idx="1">
                  <c:v>活性炭+低温催化分解</c:v>
                </c:pt>
                <c:pt idx="2">
                  <c:v>燃烧法</c:v>
                </c:pt>
              </c:strCache>
            </c:strRef>
          </c:cat>
          <c:val>
            <c:numRef>
              <c:f>Sheet1!$E$2:$E$4</c:f>
              <c:numCache>
                <c:formatCode>General</c:formatCode>
                <c:ptCount val="3"/>
                <c:pt idx="0">
                  <c:v>1</c:v>
                </c:pt>
              </c:numCache>
            </c:numRef>
          </c:val>
        </c:ser>
        <c:ser>
          <c:idx val="4"/>
          <c:order val="4"/>
          <c:tx>
            <c:strRef>
              <c:f>Sheet1!$F$1</c:f>
              <c:strCache>
                <c:ptCount val="1"/>
                <c:pt idx="0">
                  <c:v>＞1.0</c:v>
                </c:pt>
              </c:strCache>
            </c:strRef>
          </c:tx>
          <c:spPr>
            <a:solidFill>
              <a:schemeClr val="accent5">
                <a:lumMod val="60000"/>
              </a:schemeClr>
            </a:solidFill>
            <a:ln>
              <a:solidFill>
                <a:schemeClr val="bg1"/>
              </a:solidFill>
            </a:ln>
            <a:effectLst/>
          </c:spPr>
          <c:invertIfNegative val="0"/>
          <c:dLbls>
            <c:delete val="1"/>
          </c:dLbls>
          <c:cat>
            <c:strRef>
              <c:f>Sheet1!$A$2:$A$4</c:f>
              <c:strCache>
                <c:ptCount val="3"/>
                <c:pt idx="0">
                  <c:v>UV光氧+活性炭/二级活性炭</c:v>
                </c:pt>
                <c:pt idx="1">
                  <c:v>活性炭+低温催化分解</c:v>
                </c:pt>
                <c:pt idx="2">
                  <c:v>燃烧法</c:v>
                </c:pt>
              </c:strCache>
            </c:strRef>
          </c:cat>
          <c:val>
            <c:numRef>
              <c:f>Sheet1!$F$2:$F$4</c:f>
              <c:numCache>
                <c:formatCode>General</c:formatCode>
                <c:ptCount val="3"/>
                <c:pt idx="0">
                  <c:v>1</c:v>
                </c:pt>
              </c:numCache>
            </c:numRef>
          </c:val>
        </c:ser>
        <c:dLbls>
          <c:showLegendKey val="0"/>
          <c:showVal val="0"/>
          <c:showCatName val="0"/>
          <c:showSerName val="0"/>
          <c:showPercent val="0"/>
          <c:showBubbleSize val="0"/>
        </c:dLbls>
        <c:gapWidth val="246"/>
        <c:overlap val="100"/>
        <c:axId val="889170592"/>
        <c:axId val="42656596"/>
      </c:barChart>
      <c:catAx>
        <c:axId val="889170592"/>
        <c:scaling>
          <c:orientation val="minMax"/>
        </c:scaling>
        <c:delete val="0"/>
        <c:axPos val="b"/>
        <c:majorTickMark val="none"/>
        <c:minorTickMark val="none"/>
        <c:tickLblPos val="nextTo"/>
        <c:spPr>
          <a:noFill/>
          <a:ln w="9525" cap="flat" cmpd="sng" algn="ctr">
            <a:solidFill>
              <a:schemeClr val="tx1"/>
            </a:solidFill>
            <a:round/>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crossAx val="42656596"/>
        <c:crosses val="autoZero"/>
        <c:auto val="1"/>
        <c:lblAlgn val="ctr"/>
        <c:lblOffset val="100"/>
        <c:noMultiLvlLbl val="0"/>
      </c:catAx>
      <c:valAx>
        <c:axId val="42656596"/>
        <c:scaling>
          <c:orientation val="minMax"/>
        </c:scaling>
        <c:delete val="0"/>
        <c:axPos val="l"/>
        <c:majorGridlines>
          <c:spPr>
            <a:ln w="9525" cap="flat" cmpd="sng" algn="ctr">
              <a:noFill/>
              <a:round/>
            </a:ln>
            <a:effectLst/>
          </c:spPr>
        </c:majorGridlines>
        <c:numFmt formatCode="0%" sourceLinked="1"/>
        <c:majorTickMark val="in"/>
        <c:minorTickMark val="none"/>
        <c:tickLblPos val="nextTo"/>
        <c:spPr>
          <a:noFill/>
          <a:ln>
            <a:solidFill>
              <a:schemeClr val="tx1"/>
            </a:solidFill>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crossAx val="889170592"/>
        <c:crosses val="autoZero"/>
        <c:crossBetween val="between"/>
      </c:valAx>
      <c:spPr>
        <a:noFill/>
        <a:ln w="12700" cmpd="sng">
          <a:solidFill>
            <a:schemeClr val="tx1"/>
          </a:solidFill>
          <a:prstDash val="solid"/>
        </a:ln>
        <a:effectLst/>
      </c:spPr>
    </c:plotArea>
    <c:legend>
      <c:legendPos val="b"/>
      <c:legendEntry>
        <c:idx val="0"/>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1"/>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2"/>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3"/>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4"/>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ayout/>
      <c:overlay val="0"/>
      <c:spPr>
        <a:noFill/>
        <a:ln>
          <a:noFill/>
        </a:ln>
        <a:effectLst/>
      </c:spPr>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
    <c:plotVisOnly val="1"/>
    <c:dispBlanksAs val="gap"/>
    <c:showDLblsOverMax val="0"/>
    <c:extLst>
      <c:ext uri="{0b15fc19-7d7d-44ad-8c2d-2c3a37ce22c3}">
        <chartProps xmlns="https://web.wps.cn/et/2018/main" chartId="{adecd857-e1d9-4ad1-8558-23efc5f7d50a}"/>
      </c:ext>
    </c:extLst>
  </c:chart>
  <c:spPr>
    <a:solidFill>
      <a:schemeClr val="bg1"/>
    </a:solidFill>
    <a:ln w="9525" cap="flat" cmpd="sng" algn="ctr">
      <a:noFill/>
      <a:round/>
    </a:ln>
    <a:effectLst/>
  </c:spPr>
  <c:txPr>
    <a:bodyPr/>
    <a:lstStyle/>
    <a:p>
      <a:pPr>
        <a:defRPr lang="zh-CN">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percentStacked"/>
        <c:varyColors val="0"/>
        <c:ser>
          <c:idx val="0"/>
          <c:order val="0"/>
          <c:tx>
            <c:strRef>
              <c:f>Sheet1!$B$1</c:f>
              <c:strCache>
                <c:ptCount val="1"/>
                <c:pt idx="0">
                  <c:v>未检出</c:v>
                </c:pt>
              </c:strCache>
            </c:strRef>
          </c:tx>
          <c:spPr>
            <a:solidFill>
              <a:schemeClr val="accent1"/>
            </a:solidFill>
            <a:ln>
              <a:solidFill>
                <a:schemeClr val="bg1"/>
              </a:solidFill>
            </a:ln>
            <a:effectLst/>
          </c:spPr>
          <c:invertIfNegative val="0"/>
          <c:dLbls>
            <c:delete val="1"/>
          </c:dLbls>
          <c:cat>
            <c:strRef>
              <c:f>Sheet1!$A$2:$A$4</c:f>
              <c:strCache>
                <c:ptCount val="3"/>
                <c:pt idx="0">
                  <c:v>一类</c:v>
                </c:pt>
                <c:pt idx="1">
                  <c:v>二类</c:v>
                </c:pt>
                <c:pt idx="2">
                  <c:v>三类</c:v>
                </c:pt>
              </c:strCache>
            </c:strRef>
          </c:cat>
          <c:val>
            <c:numRef>
              <c:f>Sheet1!$B$2:$B$4</c:f>
              <c:numCache>
                <c:formatCode>General</c:formatCode>
                <c:ptCount val="3"/>
                <c:pt idx="0">
                  <c:v>6</c:v>
                </c:pt>
                <c:pt idx="1">
                  <c:v>21</c:v>
                </c:pt>
                <c:pt idx="2">
                  <c:v>3</c:v>
                </c:pt>
              </c:numCache>
            </c:numRef>
          </c:val>
        </c:ser>
        <c:ser>
          <c:idx val="1"/>
          <c:order val="1"/>
          <c:tx>
            <c:strRef>
              <c:f>Sheet1!$C$1</c:f>
              <c:strCache>
                <c:ptCount val="1"/>
                <c:pt idx="0">
                  <c:v>0~0.1</c:v>
                </c:pt>
              </c:strCache>
            </c:strRef>
          </c:tx>
          <c:spPr>
            <a:solidFill>
              <a:schemeClr val="accent2"/>
            </a:solidFill>
            <a:ln>
              <a:solidFill>
                <a:schemeClr val="bg1"/>
              </a:solidFill>
            </a:ln>
            <a:effectLst/>
          </c:spPr>
          <c:invertIfNegative val="0"/>
          <c:dLbls>
            <c:delete val="1"/>
          </c:dLbls>
          <c:cat>
            <c:strRef>
              <c:f>Sheet1!$A$2:$A$4</c:f>
              <c:strCache>
                <c:ptCount val="3"/>
                <c:pt idx="0">
                  <c:v>一类</c:v>
                </c:pt>
                <c:pt idx="1">
                  <c:v>二类</c:v>
                </c:pt>
                <c:pt idx="2">
                  <c:v>三类</c:v>
                </c:pt>
              </c:strCache>
            </c:strRef>
          </c:cat>
          <c:val>
            <c:numRef>
              <c:f>Sheet1!$C$2:$C$4</c:f>
              <c:numCache>
                <c:formatCode>General</c:formatCode>
                <c:ptCount val="3"/>
                <c:pt idx="0">
                  <c:v>17</c:v>
                </c:pt>
                <c:pt idx="1">
                  <c:v>19</c:v>
                </c:pt>
                <c:pt idx="2">
                  <c:v>4</c:v>
                </c:pt>
              </c:numCache>
            </c:numRef>
          </c:val>
        </c:ser>
        <c:ser>
          <c:idx val="2"/>
          <c:order val="2"/>
          <c:tx>
            <c:strRef>
              <c:f>Sheet1!$D$1</c:f>
              <c:strCache>
                <c:ptCount val="1"/>
                <c:pt idx="0">
                  <c:v>0.1~0.5</c:v>
                </c:pt>
              </c:strCache>
            </c:strRef>
          </c:tx>
          <c:spPr>
            <a:solidFill>
              <a:schemeClr val="accent3"/>
            </a:solidFill>
            <a:ln>
              <a:solidFill>
                <a:schemeClr val="bg1"/>
              </a:solidFill>
            </a:ln>
            <a:effectLst/>
          </c:spPr>
          <c:invertIfNegative val="0"/>
          <c:dLbls>
            <c:delete val="1"/>
          </c:dLbls>
          <c:cat>
            <c:strRef>
              <c:f>Sheet1!$A$2:$A$4</c:f>
              <c:strCache>
                <c:ptCount val="3"/>
                <c:pt idx="0">
                  <c:v>一类</c:v>
                </c:pt>
                <c:pt idx="1">
                  <c:v>二类</c:v>
                </c:pt>
                <c:pt idx="2">
                  <c:v>三类</c:v>
                </c:pt>
              </c:strCache>
            </c:strRef>
          </c:cat>
          <c:val>
            <c:numRef>
              <c:f>Sheet1!$D$2:$D$4</c:f>
              <c:numCache>
                <c:formatCode>General</c:formatCode>
                <c:ptCount val="3"/>
                <c:pt idx="0">
                  <c:v>23</c:v>
                </c:pt>
                <c:pt idx="1">
                  <c:v>34</c:v>
                </c:pt>
                <c:pt idx="2">
                  <c:v>7</c:v>
                </c:pt>
              </c:numCache>
            </c:numRef>
          </c:val>
        </c:ser>
        <c:ser>
          <c:idx val="3"/>
          <c:order val="3"/>
          <c:tx>
            <c:strRef>
              <c:f>Sheet1!$E$1</c:f>
              <c:strCache>
                <c:ptCount val="1"/>
                <c:pt idx="0">
                  <c:v>0.5~1.0</c:v>
                </c:pt>
              </c:strCache>
            </c:strRef>
          </c:tx>
          <c:spPr>
            <a:solidFill>
              <a:schemeClr val="accent4"/>
            </a:solidFill>
            <a:ln>
              <a:solidFill>
                <a:schemeClr val="bg1"/>
              </a:solidFill>
            </a:ln>
            <a:effectLst/>
          </c:spPr>
          <c:invertIfNegative val="0"/>
          <c:dLbls>
            <c:delete val="1"/>
          </c:dLbls>
          <c:cat>
            <c:strRef>
              <c:f>Sheet1!$A$2:$A$4</c:f>
              <c:strCache>
                <c:ptCount val="3"/>
                <c:pt idx="0">
                  <c:v>一类</c:v>
                </c:pt>
                <c:pt idx="1">
                  <c:v>二类</c:v>
                </c:pt>
                <c:pt idx="2">
                  <c:v>三类</c:v>
                </c:pt>
              </c:strCache>
            </c:strRef>
          </c:cat>
          <c:val>
            <c:numRef>
              <c:f>Sheet1!$E$2:$E$4</c:f>
              <c:numCache>
                <c:formatCode>General</c:formatCode>
                <c:ptCount val="3"/>
                <c:pt idx="0">
                  <c:v>4</c:v>
                </c:pt>
                <c:pt idx="1">
                  <c:v>12</c:v>
                </c:pt>
                <c:pt idx="2">
                  <c:v>4</c:v>
                </c:pt>
              </c:numCache>
            </c:numRef>
          </c:val>
        </c:ser>
        <c:ser>
          <c:idx val="4"/>
          <c:order val="4"/>
          <c:tx>
            <c:strRef>
              <c:f>Sheet1!$F$1</c:f>
              <c:strCache>
                <c:ptCount val="1"/>
                <c:pt idx="0">
                  <c:v>1.0~2.0</c:v>
                </c:pt>
              </c:strCache>
            </c:strRef>
          </c:tx>
          <c:spPr>
            <a:solidFill>
              <a:schemeClr val="accent5"/>
            </a:solidFill>
            <a:ln>
              <a:solidFill>
                <a:schemeClr val="bg1"/>
              </a:solidFill>
            </a:ln>
            <a:effectLst/>
          </c:spPr>
          <c:invertIfNegative val="0"/>
          <c:dLbls>
            <c:delete val="1"/>
          </c:dLbls>
          <c:cat>
            <c:strRef>
              <c:f>Sheet1!$A$2:$A$4</c:f>
              <c:strCache>
                <c:ptCount val="3"/>
                <c:pt idx="0">
                  <c:v>一类</c:v>
                </c:pt>
                <c:pt idx="1">
                  <c:v>二类</c:v>
                </c:pt>
                <c:pt idx="2">
                  <c:v>三类</c:v>
                </c:pt>
              </c:strCache>
            </c:strRef>
          </c:cat>
          <c:val>
            <c:numRef>
              <c:f>Sheet1!$F$2:$F$4</c:f>
              <c:numCache>
                <c:formatCode>General</c:formatCode>
                <c:ptCount val="3"/>
                <c:pt idx="0">
                  <c:v>9</c:v>
                </c:pt>
                <c:pt idx="1">
                  <c:v>29</c:v>
                </c:pt>
                <c:pt idx="2">
                  <c:v>2</c:v>
                </c:pt>
              </c:numCache>
            </c:numRef>
          </c:val>
        </c:ser>
        <c:ser>
          <c:idx val="5"/>
          <c:order val="5"/>
          <c:tx>
            <c:strRef>
              <c:f>Sheet1!$G$1</c:f>
              <c:strCache>
                <c:ptCount val="1"/>
                <c:pt idx="0">
                  <c:v>2.0~5.0</c:v>
                </c:pt>
              </c:strCache>
            </c:strRef>
          </c:tx>
          <c:spPr>
            <a:solidFill>
              <a:schemeClr val="accent6"/>
            </a:solidFill>
            <a:ln>
              <a:solidFill>
                <a:schemeClr val="bg1"/>
              </a:solidFill>
            </a:ln>
            <a:effectLst/>
          </c:spPr>
          <c:invertIfNegative val="0"/>
          <c:dLbls>
            <c:delete val="1"/>
          </c:dLbls>
          <c:cat>
            <c:strRef>
              <c:f>Sheet1!$A$2:$A$4</c:f>
              <c:strCache>
                <c:ptCount val="3"/>
                <c:pt idx="0">
                  <c:v>一类</c:v>
                </c:pt>
                <c:pt idx="1">
                  <c:v>二类</c:v>
                </c:pt>
                <c:pt idx="2">
                  <c:v>三类</c:v>
                </c:pt>
              </c:strCache>
            </c:strRef>
          </c:cat>
          <c:val>
            <c:numRef>
              <c:f>Sheet1!$G$2:$G$4</c:f>
              <c:numCache>
                <c:formatCode>General</c:formatCode>
                <c:ptCount val="3"/>
                <c:pt idx="0">
                  <c:v>4</c:v>
                </c:pt>
                <c:pt idx="1">
                  <c:v>6</c:v>
                </c:pt>
                <c:pt idx="2">
                  <c:v>2</c:v>
                </c:pt>
              </c:numCache>
            </c:numRef>
          </c:val>
        </c:ser>
        <c:ser>
          <c:idx val="6"/>
          <c:order val="6"/>
          <c:tx>
            <c:strRef>
              <c:f>Sheet1!$H$1</c:f>
              <c:strCache>
                <c:ptCount val="1"/>
                <c:pt idx="0">
                  <c:v>5.0~10.0</c:v>
                </c:pt>
              </c:strCache>
            </c:strRef>
          </c:tx>
          <c:spPr>
            <a:solidFill>
              <a:schemeClr val="accent1">
                <a:lumMod val="60000"/>
              </a:schemeClr>
            </a:solidFill>
            <a:ln>
              <a:solidFill>
                <a:schemeClr val="bg1"/>
              </a:solidFill>
            </a:ln>
            <a:effectLst/>
          </c:spPr>
          <c:invertIfNegative val="0"/>
          <c:dLbls>
            <c:delete val="1"/>
          </c:dLbls>
          <c:cat>
            <c:strRef>
              <c:f>Sheet1!$A$2:$A$4</c:f>
              <c:strCache>
                <c:ptCount val="3"/>
                <c:pt idx="0">
                  <c:v>一类</c:v>
                </c:pt>
                <c:pt idx="1">
                  <c:v>二类</c:v>
                </c:pt>
                <c:pt idx="2">
                  <c:v>三类</c:v>
                </c:pt>
              </c:strCache>
            </c:strRef>
          </c:cat>
          <c:val>
            <c:numRef>
              <c:f>Sheet1!$H$2:$H$4</c:f>
              <c:numCache>
                <c:formatCode>General</c:formatCode>
                <c:ptCount val="3"/>
                <c:pt idx="0">
                  <c:v>1</c:v>
                </c:pt>
              </c:numCache>
            </c:numRef>
          </c:val>
        </c:ser>
        <c:ser>
          <c:idx val="7"/>
          <c:order val="7"/>
          <c:tx>
            <c:strRef>
              <c:f>Sheet1!$I$1</c:f>
              <c:strCache>
                <c:ptCount val="1"/>
                <c:pt idx="0">
                  <c:v>＞10.0</c:v>
                </c:pt>
              </c:strCache>
            </c:strRef>
          </c:tx>
          <c:spPr>
            <a:solidFill>
              <a:schemeClr val="accent2">
                <a:lumMod val="60000"/>
              </a:schemeClr>
            </a:solidFill>
            <a:ln>
              <a:solidFill>
                <a:schemeClr val="bg1"/>
              </a:solidFill>
            </a:ln>
            <a:effectLst/>
          </c:spPr>
          <c:invertIfNegative val="0"/>
          <c:dLbls>
            <c:delete val="1"/>
          </c:dLbls>
          <c:cat>
            <c:strRef>
              <c:f>Sheet1!$A$2:$A$4</c:f>
              <c:strCache>
                <c:ptCount val="3"/>
                <c:pt idx="0">
                  <c:v>一类</c:v>
                </c:pt>
                <c:pt idx="1">
                  <c:v>二类</c:v>
                </c:pt>
                <c:pt idx="2">
                  <c:v>三类</c:v>
                </c:pt>
              </c:strCache>
            </c:strRef>
          </c:cat>
          <c:val>
            <c:numRef>
              <c:f>Sheet1!$I$2:$I$4</c:f>
              <c:numCache>
                <c:formatCode>General</c:formatCode>
                <c:ptCount val="3"/>
                <c:pt idx="0">
                  <c:v>1</c:v>
                </c:pt>
                <c:pt idx="1">
                  <c:v>1</c:v>
                </c:pt>
              </c:numCache>
            </c:numRef>
          </c:val>
        </c:ser>
        <c:dLbls>
          <c:showLegendKey val="0"/>
          <c:showVal val="0"/>
          <c:showCatName val="0"/>
          <c:showSerName val="0"/>
          <c:showPercent val="0"/>
          <c:showBubbleSize val="0"/>
        </c:dLbls>
        <c:gapWidth val="246"/>
        <c:overlap val="100"/>
        <c:axId val="889170592"/>
        <c:axId val="42656596"/>
      </c:barChart>
      <c:catAx>
        <c:axId val="889170592"/>
        <c:scaling>
          <c:orientation val="minMax"/>
        </c:scaling>
        <c:delete val="0"/>
        <c:axPos val="b"/>
        <c:majorTickMark val="none"/>
        <c:minorTickMark val="none"/>
        <c:tickLblPos val="nextTo"/>
        <c:spPr>
          <a:noFill/>
          <a:ln w="9525" cap="flat" cmpd="sng" algn="ctr">
            <a:solidFill>
              <a:schemeClr val="tx1"/>
            </a:solidFill>
            <a:round/>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crossAx val="42656596"/>
        <c:crosses val="autoZero"/>
        <c:auto val="1"/>
        <c:lblAlgn val="ctr"/>
        <c:lblOffset val="100"/>
        <c:noMultiLvlLbl val="0"/>
      </c:catAx>
      <c:valAx>
        <c:axId val="42656596"/>
        <c:scaling>
          <c:orientation val="minMax"/>
        </c:scaling>
        <c:delete val="0"/>
        <c:axPos val="l"/>
        <c:majorGridlines>
          <c:spPr>
            <a:ln w="9525" cap="flat" cmpd="sng" algn="ctr">
              <a:noFill/>
              <a:round/>
            </a:ln>
            <a:effectLst/>
          </c:spPr>
        </c:majorGridlines>
        <c:numFmt formatCode="0%" sourceLinked="1"/>
        <c:majorTickMark val="in"/>
        <c:minorTickMark val="none"/>
        <c:tickLblPos val="nextTo"/>
        <c:spPr>
          <a:noFill/>
          <a:ln>
            <a:solidFill>
              <a:schemeClr val="tx1"/>
            </a:solidFill>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crossAx val="889170592"/>
        <c:crosses val="autoZero"/>
        <c:crossBetween val="between"/>
      </c:valAx>
      <c:spPr>
        <a:noFill/>
        <a:ln w="12700" cmpd="sng">
          <a:solidFill>
            <a:schemeClr val="tx1"/>
          </a:solidFill>
          <a:prstDash val="solid"/>
        </a:ln>
        <a:effectLst/>
      </c:spPr>
    </c:plotArea>
    <c:legend>
      <c:legendPos val="b"/>
      <c:legendEntry>
        <c:idx val="0"/>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1"/>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2"/>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3"/>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4"/>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ayout/>
      <c:overlay val="0"/>
      <c:spPr>
        <a:noFill/>
        <a:ln>
          <a:noFill/>
        </a:ln>
        <a:effectLst/>
      </c:spPr>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
    <c:plotVisOnly val="1"/>
    <c:dispBlanksAs val="gap"/>
    <c:showDLblsOverMax val="0"/>
    <c:extLst>
      <c:ext uri="{0b15fc19-7d7d-44ad-8c2d-2c3a37ce22c3}">
        <chartProps xmlns="https://web.wps.cn/et/2018/main" chartId="{a94438e3-da68-4775-9e9e-f2987056550d}"/>
      </c:ext>
    </c:extLst>
  </c:chart>
  <c:spPr>
    <a:solidFill>
      <a:schemeClr val="bg1"/>
    </a:solidFill>
    <a:ln w="9525" cap="flat" cmpd="sng" algn="ctr">
      <a:noFill/>
      <a:round/>
    </a:ln>
    <a:effectLst/>
  </c:spPr>
  <c:txPr>
    <a:bodyPr/>
    <a:lstStyle/>
    <a:p>
      <a:pPr>
        <a:defRPr lang="zh-CN">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0828219376661029"/>
          <c:y val="0.0543197102948784"/>
          <c:w val="0.890601594588065"/>
          <c:h val="0.701345059493016"/>
        </c:manualLayout>
      </c:layout>
      <c:barChart>
        <c:barDir val="col"/>
        <c:grouping val="percentStacked"/>
        <c:varyColors val="0"/>
        <c:ser>
          <c:idx val="0"/>
          <c:order val="0"/>
          <c:tx>
            <c:strRef>
              <c:f>Sheet1!$B$1</c:f>
              <c:strCache>
                <c:ptCount val="1"/>
                <c:pt idx="0">
                  <c:v>未检出</c:v>
                </c:pt>
              </c:strCache>
            </c:strRef>
          </c:tx>
          <c:spPr>
            <a:solidFill>
              <a:schemeClr val="accent6"/>
            </a:solidFill>
            <a:ln>
              <a:solidFill>
                <a:schemeClr val="bg1"/>
              </a:solidFill>
            </a:ln>
            <a:effectLst/>
          </c:spPr>
          <c:invertIfNegative val="0"/>
          <c:dLbls>
            <c:delete val="1"/>
          </c:dLbls>
          <c:cat>
            <c:strRef>
              <c:f>Sheet1!$A$2:$A$4</c:f>
              <c:strCache>
                <c:ptCount val="3"/>
                <c:pt idx="0">
                  <c:v>UV光氧+活性炭/二级活性炭</c:v>
                </c:pt>
                <c:pt idx="1">
                  <c:v>活性炭+低温催化分解</c:v>
                </c:pt>
                <c:pt idx="2">
                  <c:v>燃烧法</c:v>
                </c:pt>
              </c:strCache>
            </c:strRef>
          </c:cat>
          <c:val>
            <c:numRef>
              <c:f>Sheet1!$B$2:$B$4</c:f>
              <c:numCache>
                <c:formatCode>General</c:formatCode>
                <c:ptCount val="3"/>
                <c:pt idx="0">
                  <c:v>20</c:v>
                </c:pt>
                <c:pt idx="2">
                  <c:v>11</c:v>
                </c:pt>
              </c:numCache>
            </c:numRef>
          </c:val>
        </c:ser>
        <c:ser>
          <c:idx val="1"/>
          <c:order val="1"/>
          <c:tx>
            <c:strRef>
              <c:f>Sheet1!$C$1</c:f>
              <c:strCache>
                <c:ptCount val="1"/>
                <c:pt idx="0">
                  <c:v>0~0.1</c:v>
                </c:pt>
              </c:strCache>
            </c:strRef>
          </c:tx>
          <c:spPr>
            <a:solidFill>
              <a:schemeClr val="accent5"/>
            </a:solidFill>
            <a:ln>
              <a:solidFill>
                <a:schemeClr val="bg1"/>
              </a:solidFill>
            </a:ln>
            <a:effectLst/>
          </c:spPr>
          <c:invertIfNegative val="0"/>
          <c:dLbls>
            <c:delete val="1"/>
          </c:dLbls>
          <c:cat>
            <c:strRef>
              <c:f>Sheet1!$A$2:$A$4</c:f>
              <c:strCache>
                <c:ptCount val="3"/>
                <c:pt idx="0">
                  <c:v>UV光氧+活性炭/二级活性炭</c:v>
                </c:pt>
                <c:pt idx="1">
                  <c:v>活性炭+低温催化分解</c:v>
                </c:pt>
                <c:pt idx="2">
                  <c:v>燃烧法</c:v>
                </c:pt>
              </c:strCache>
            </c:strRef>
          </c:cat>
          <c:val>
            <c:numRef>
              <c:f>Sheet1!$C$2:$C$4</c:f>
              <c:numCache>
                <c:formatCode>General</c:formatCode>
                <c:ptCount val="3"/>
                <c:pt idx="0">
                  <c:v>33</c:v>
                </c:pt>
                <c:pt idx="1">
                  <c:v>1</c:v>
                </c:pt>
                <c:pt idx="2">
                  <c:v>12</c:v>
                </c:pt>
              </c:numCache>
            </c:numRef>
          </c:val>
        </c:ser>
        <c:ser>
          <c:idx val="2"/>
          <c:order val="2"/>
          <c:tx>
            <c:strRef>
              <c:f>Sheet1!$D$1</c:f>
              <c:strCache>
                <c:ptCount val="1"/>
                <c:pt idx="0">
                  <c:v>0.1~0.5</c:v>
                </c:pt>
              </c:strCache>
            </c:strRef>
          </c:tx>
          <c:spPr>
            <a:solidFill>
              <a:schemeClr val="accent4"/>
            </a:solidFill>
            <a:ln>
              <a:solidFill>
                <a:schemeClr val="bg1"/>
              </a:solidFill>
            </a:ln>
            <a:effectLst/>
          </c:spPr>
          <c:invertIfNegative val="0"/>
          <c:dLbls>
            <c:delete val="1"/>
          </c:dLbls>
          <c:cat>
            <c:strRef>
              <c:f>Sheet1!$A$2:$A$4</c:f>
              <c:strCache>
                <c:ptCount val="3"/>
                <c:pt idx="0">
                  <c:v>UV光氧+活性炭/二级活性炭</c:v>
                </c:pt>
                <c:pt idx="1">
                  <c:v>活性炭+低温催化分解</c:v>
                </c:pt>
                <c:pt idx="2">
                  <c:v>燃烧法</c:v>
                </c:pt>
              </c:strCache>
            </c:strRef>
          </c:cat>
          <c:val>
            <c:numRef>
              <c:f>Sheet1!$D$2:$D$4</c:f>
              <c:numCache>
                <c:formatCode>General</c:formatCode>
                <c:ptCount val="3"/>
                <c:pt idx="0">
                  <c:v>46</c:v>
                </c:pt>
                <c:pt idx="1">
                  <c:v>2</c:v>
                </c:pt>
                <c:pt idx="2">
                  <c:v>21</c:v>
                </c:pt>
              </c:numCache>
            </c:numRef>
          </c:val>
        </c:ser>
        <c:ser>
          <c:idx val="3"/>
          <c:order val="3"/>
          <c:tx>
            <c:strRef>
              <c:f>Sheet1!$E$1</c:f>
              <c:strCache>
                <c:ptCount val="1"/>
                <c:pt idx="0">
                  <c:v>0.5~1.0</c:v>
                </c:pt>
              </c:strCache>
            </c:strRef>
          </c:tx>
          <c:spPr>
            <a:solidFill>
              <a:schemeClr val="accent6">
                <a:lumMod val="60000"/>
              </a:schemeClr>
            </a:solidFill>
            <a:ln>
              <a:solidFill>
                <a:schemeClr val="bg1"/>
              </a:solidFill>
            </a:ln>
            <a:effectLst/>
          </c:spPr>
          <c:invertIfNegative val="0"/>
          <c:dLbls>
            <c:delete val="1"/>
          </c:dLbls>
          <c:cat>
            <c:strRef>
              <c:f>Sheet1!$A$2:$A$4</c:f>
              <c:strCache>
                <c:ptCount val="3"/>
                <c:pt idx="0">
                  <c:v>UV光氧+活性炭/二级活性炭</c:v>
                </c:pt>
                <c:pt idx="1">
                  <c:v>活性炭+低温催化分解</c:v>
                </c:pt>
                <c:pt idx="2">
                  <c:v>燃烧法</c:v>
                </c:pt>
              </c:strCache>
            </c:strRef>
          </c:cat>
          <c:val>
            <c:numRef>
              <c:f>Sheet1!$E$2:$E$4</c:f>
              <c:numCache>
                <c:formatCode>General</c:formatCode>
                <c:ptCount val="3"/>
                <c:pt idx="0">
                  <c:v>15</c:v>
                </c:pt>
                <c:pt idx="2">
                  <c:v>7</c:v>
                </c:pt>
              </c:numCache>
            </c:numRef>
          </c:val>
        </c:ser>
        <c:ser>
          <c:idx val="4"/>
          <c:order val="4"/>
          <c:tx>
            <c:strRef>
              <c:f>Sheet1!$F$1</c:f>
              <c:strCache>
                <c:ptCount val="1"/>
                <c:pt idx="0">
                  <c:v>1.0~2.0</c:v>
                </c:pt>
              </c:strCache>
            </c:strRef>
          </c:tx>
          <c:spPr>
            <a:solidFill>
              <a:schemeClr val="accent5">
                <a:lumMod val="60000"/>
              </a:schemeClr>
            </a:solidFill>
            <a:ln>
              <a:solidFill>
                <a:schemeClr val="bg1"/>
              </a:solidFill>
            </a:ln>
            <a:effectLst/>
          </c:spPr>
          <c:invertIfNegative val="0"/>
          <c:dLbls>
            <c:delete val="1"/>
          </c:dLbls>
          <c:cat>
            <c:strRef>
              <c:f>Sheet1!$A$2:$A$4</c:f>
              <c:strCache>
                <c:ptCount val="3"/>
                <c:pt idx="0">
                  <c:v>UV光氧+活性炭/二级活性炭</c:v>
                </c:pt>
                <c:pt idx="1">
                  <c:v>活性炭+低温催化分解</c:v>
                </c:pt>
                <c:pt idx="2">
                  <c:v>燃烧法</c:v>
                </c:pt>
              </c:strCache>
            </c:strRef>
          </c:cat>
          <c:val>
            <c:numRef>
              <c:f>Sheet1!$F$2:$F$4</c:f>
              <c:numCache>
                <c:formatCode>General</c:formatCode>
                <c:ptCount val="3"/>
                <c:pt idx="0">
                  <c:v>23</c:v>
                </c:pt>
                <c:pt idx="1">
                  <c:v>11</c:v>
                </c:pt>
                <c:pt idx="2">
                  <c:v>7</c:v>
                </c:pt>
              </c:numCache>
            </c:numRef>
          </c:val>
        </c:ser>
        <c:ser>
          <c:idx val="5"/>
          <c:order val="5"/>
          <c:tx>
            <c:strRef>
              <c:f>Sheet1!$G$1</c:f>
              <c:strCache>
                <c:ptCount val="1"/>
                <c:pt idx="0">
                  <c:v>2.0~5.0</c:v>
                </c:pt>
              </c:strCache>
            </c:strRef>
          </c:tx>
          <c:spPr>
            <a:solidFill>
              <a:schemeClr val="accent4">
                <a:lumMod val="60000"/>
              </a:schemeClr>
            </a:solidFill>
            <a:ln>
              <a:solidFill>
                <a:schemeClr val="bg1"/>
              </a:solidFill>
            </a:ln>
            <a:effectLst/>
          </c:spPr>
          <c:invertIfNegative val="0"/>
          <c:dLbls>
            <c:delete val="1"/>
          </c:dLbls>
          <c:cat>
            <c:strRef>
              <c:f>Sheet1!$A$2:$A$4</c:f>
              <c:strCache>
                <c:ptCount val="3"/>
                <c:pt idx="0">
                  <c:v>UV光氧+活性炭/二级活性炭</c:v>
                </c:pt>
                <c:pt idx="1">
                  <c:v>活性炭+低温催化分解</c:v>
                </c:pt>
                <c:pt idx="2">
                  <c:v>燃烧法</c:v>
                </c:pt>
              </c:strCache>
            </c:strRef>
          </c:cat>
          <c:val>
            <c:numRef>
              <c:f>Sheet1!$G$2:$G$4</c:f>
              <c:numCache>
                <c:formatCode>General</c:formatCode>
                <c:ptCount val="3"/>
                <c:pt idx="0">
                  <c:v>7</c:v>
                </c:pt>
                <c:pt idx="2">
                  <c:v>5</c:v>
                </c:pt>
              </c:numCache>
            </c:numRef>
          </c:val>
        </c:ser>
        <c:ser>
          <c:idx val="6"/>
          <c:order val="6"/>
          <c:tx>
            <c:strRef>
              <c:f>Sheet1!$H$1</c:f>
              <c:strCache>
                <c:ptCount val="1"/>
                <c:pt idx="0">
                  <c:v>5.0~10.0</c:v>
                </c:pt>
              </c:strCache>
            </c:strRef>
          </c:tx>
          <c:spPr>
            <a:solidFill>
              <a:schemeClr val="accent6">
                <a:lumMod val="80000"/>
                <a:lumOff val="20000"/>
              </a:schemeClr>
            </a:solidFill>
            <a:ln>
              <a:solidFill>
                <a:schemeClr val="bg1"/>
              </a:solidFill>
            </a:ln>
            <a:effectLst/>
          </c:spPr>
          <c:invertIfNegative val="0"/>
          <c:dLbls>
            <c:delete val="1"/>
          </c:dLbls>
          <c:cat>
            <c:strRef>
              <c:f>Sheet1!$A$2:$A$4</c:f>
              <c:strCache>
                <c:ptCount val="3"/>
                <c:pt idx="0">
                  <c:v>UV光氧+活性炭/二级活性炭</c:v>
                </c:pt>
                <c:pt idx="1">
                  <c:v>活性炭+低温催化分解</c:v>
                </c:pt>
                <c:pt idx="2">
                  <c:v>燃烧法</c:v>
                </c:pt>
              </c:strCache>
            </c:strRef>
          </c:cat>
          <c:val>
            <c:numRef>
              <c:f>Sheet1!$H$2:$H$4</c:f>
              <c:numCache>
                <c:formatCode>General</c:formatCode>
                <c:ptCount val="3"/>
                <c:pt idx="2">
                  <c:v>1</c:v>
                </c:pt>
              </c:numCache>
            </c:numRef>
          </c:val>
        </c:ser>
        <c:ser>
          <c:idx val="7"/>
          <c:order val="7"/>
          <c:tx>
            <c:strRef>
              <c:f>Sheet1!$I$1</c:f>
              <c:strCache>
                <c:ptCount val="1"/>
                <c:pt idx="0">
                  <c:v>＞10.0</c:v>
                </c:pt>
              </c:strCache>
            </c:strRef>
          </c:tx>
          <c:spPr>
            <a:solidFill>
              <a:schemeClr val="accent5">
                <a:lumMod val="80000"/>
                <a:lumOff val="20000"/>
              </a:schemeClr>
            </a:solidFill>
            <a:ln>
              <a:solidFill>
                <a:schemeClr val="bg1"/>
              </a:solidFill>
            </a:ln>
            <a:effectLst/>
          </c:spPr>
          <c:invertIfNegative val="0"/>
          <c:dLbls>
            <c:delete val="1"/>
          </c:dLbls>
          <c:cat>
            <c:strRef>
              <c:f>Sheet1!$A$2:$A$4</c:f>
              <c:strCache>
                <c:ptCount val="3"/>
                <c:pt idx="0">
                  <c:v>UV光氧+活性炭/二级活性炭</c:v>
                </c:pt>
                <c:pt idx="1">
                  <c:v>活性炭+低温催化分解</c:v>
                </c:pt>
                <c:pt idx="2">
                  <c:v>燃烧法</c:v>
                </c:pt>
              </c:strCache>
            </c:strRef>
          </c:cat>
          <c:val>
            <c:numRef>
              <c:f>Sheet1!$I$2:$I$4</c:f>
              <c:numCache>
                <c:formatCode>General</c:formatCode>
                <c:ptCount val="3"/>
                <c:pt idx="0">
                  <c:v>2</c:v>
                </c:pt>
              </c:numCache>
            </c:numRef>
          </c:val>
        </c:ser>
        <c:dLbls>
          <c:showLegendKey val="0"/>
          <c:showVal val="0"/>
          <c:showCatName val="0"/>
          <c:showSerName val="0"/>
          <c:showPercent val="0"/>
          <c:showBubbleSize val="0"/>
        </c:dLbls>
        <c:gapWidth val="246"/>
        <c:overlap val="100"/>
        <c:axId val="889170592"/>
        <c:axId val="42656596"/>
      </c:barChart>
      <c:catAx>
        <c:axId val="889170592"/>
        <c:scaling>
          <c:orientation val="minMax"/>
        </c:scaling>
        <c:delete val="0"/>
        <c:axPos val="b"/>
        <c:majorTickMark val="none"/>
        <c:minorTickMark val="none"/>
        <c:tickLblPos val="nextTo"/>
        <c:spPr>
          <a:noFill/>
          <a:ln w="9525" cap="flat" cmpd="sng" algn="ctr">
            <a:solidFill>
              <a:schemeClr val="tx1"/>
            </a:solidFill>
            <a:round/>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crossAx val="42656596"/>
        <c:crosses val="autoZero"/>
        <c:auto val="1"/>
        <c:lblAlgn val="ctr"/>
        <c:lblOffset val="100"/>
        <c:noMultiLvlLbl val="0"/>
      </c:catAx>
      <c:valAx>
        <c:axId val="42656596"/>
        <c:scaling>
          <c:orientation val="minMax"/>
        </c:scaling>
        <c:delete val="0"/>
        <c:axPos val="l"/>
        <c:majorGridlines>
          <c:spPr>
            <a:ln w="9525" cap="flat" cmpd="sng" algn="ctr">
              <a:noFill/>
              <a:round/>
            </a:ln>
            <a:effectLst/>
          </c:spPr>
        </c:majorGridlines>
        <c:numFmt formatCode="0%" sourceLinked="1"/>
        <c:majorTickMark val="in"/>
        <c:minorTickMark val="none"/>
        <c:tickLblPos val="nextTo"/>
        <c:spPr>
          <a:noFill/>
          <a:ln>
            <a:solidFill>
              <a:schemeClr val="tx1"/>
            </a:solidFill>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crossAx val="889170592"/>
        <c:crosses val="autoZero"/>
        <c:crossBetween val="between"/>
      </c:valAx>
      <c:spPr>
        <a:noFill/>
        <a:ln w="12700" cmpd="sng">
          <a:solidFill>
            <a:schemeClr val="tx1"/>
          </a:solidFill>
          <a:prstDash val="solid"/>
        </a:ln>
        <a:effectLst/>
      </c:spPr>
    </c:plotArea>
    <c:legend>
      <c:legendPos val="b"/>
      <c:legendEntry>
        <c:idx val="0"/>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1"/>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2"/>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3"/>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4"/>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ayout/>
      <c:overlay val="0"/>
      <c:spPr>
        <a:noFill/>
        <a:ln>
          <a:noFill/>
        </a:ln>
        <a:effectLst/>
      </c:spPr>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
    <c:plotVisOnly val="1"/>
    <c:dispBlanksAs val="gap"/>
    <c:showDLblsOverMax val="0"/>
    <c:extLst>
      <c:ext uri="{0b15fc19-7d7d-44ad-8c2d-2c3a37ce22c3}">
        <chartProps xmlns="https://web.wps.cn/et/2018/main" chartId="{4a9f0e79-1c36-4dbf-8039-9a2b01447f83}"/>
      </c:ext>
    </c:extLst>
  </c:chart>
  <c:spPr>
    <a:solidFill>
      <a:schemeClr val="bg1"/>
    </a:solidFill>
    <a:ln w="9525" cap="flat" cmpd="sng" algn="ctr">
      <a:noFill/>
      <a:round/>
    </a:ln>
    <a:effectLst/>
  </c:spPr>
  <c:txPr>
    <a:bodyPr/>
    <a:lstStyle/>
    <a:p>
      <a:pPr>
        <a:defRPr lang="zh-CN">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percentStacked"/>
        <c:varyColors val="0"/>
        <c:ser>
          <c:idx val="0"/>
          <c:order val="0"/>
          <c:tx>
            <c:strRef>
              <c:f>Sheet1!$B$1</c:f>
              <c:strCache>
                <c:ptCount val="1"/>
                <c:pt idx="0">
                  <c:v>0~5</c:v>
                </c:pt>
              </c:strCache>
            </c:strRef>
          </c:tx>
          <c:spPr>
            <a:solidFill>
              <a:schemeClr val="accent1"/>
            </a:solidFill>
            <a:ln>
              <a:solidFill>
                <a:schemeClr val="bg1"/>
              </a:solidFill>
            </a:ln>
            <a:effectLst/>
          </c:spPr>
          <c:invertIfNegative val="0"/>
          <c:dLbls>
            <c:delete val="1"/>
          </c:dLbls>
          <c:cat>
            <c:strRef>
              <c:f>Sheet1!$A$2:$A$4</c:f>
              <c:strCache>
                <c:ptCount val="3"/>
                <c:pt idx="0">
                  <c:v>一类</c:v>
                </c:pt>
                <c:pt idx="1">
                  <c:v>二类</c:v>
                </c:pt>
                <c:pt idx="2">
                  <c:v>三类</c:v>
                </c:pt>
              </c:strCache>
            </c:strRef>
          </c:cat>
          <c:val>
            <c:numRef>
              <c:f>Sheet1!$B$2:$B$4</c:f>
              <c:numCache>
                <c:formatCode>General</c:formatCode>
                <c:ptCount val="3"/>
                <c:pt idx="0">
                  <c:v>44</c:v>
                </c:pt>
                <c:pt idx="1">
                  <c:v>87</c:v>
                </c:pt>
                <c:pt idx="2">
                  <c:v>15</c:v>
                </c:pt>
              </c:numCache>
            </c:numRef>
          </c:val>
        </c:ser>
        <c:ser>
          <c:idx val="1"/>
          <c:order val="1"/>
          <c:tx>
            <c:strRef>
              <c:f>Sheet1!$C$1</c:f>
              <c:strCache>
                <c:ptCount val="1"/>
                <c:pt idx="0">
                  <c:v>5~10</c:v>
                </c:pt>
              </c:strCache>
            </c:strRef>
          </c:tx>
          <c:spPr>
            <a:solidFill>
              <a:schemeClr val="accent2"/>
            </a:solidFill>
            <a:ln>
              <a:solidFill>
                <a:schemeClr val="bg1"/>
              </a:solidFill>
            </a:ln>
            <a:effectLst/>
          </c:spPr>
          <c:invertIfNegative val="0"/>
          <c:dLbls>
            <c:delete val="1"/>
          </c:dLbls>
          <c:cat>
            <c:strRef>
              <c:f>Sheet1!$A$2:$A$4</c:f>
              <c:strCache>
                <c:ptCount val="3"/>
                <c:pt idx="0">
                  <c:v>一类</c:v>
                </c:pt>
                <c:pt idx="1">
                  <c:v>二类</c:v>
                </c:pt>
                <c:pt idx="2">
                  <c:v>三类</c:v>
                </c:pt>
              </c:strCache>
            </c:strRef>
          </c:cat>
          <c:val>
            <c:numRef>
              <c:f>Sheet1!$C$2:$C$4</c:f>
              <c:numCache>
                <c:formatCode>General</c:formatCode>
                <c:ptCount val="3"/>
                <c:pt idx="0">
                  <c:v>9</c:v>
                </c:pt>
                <c:pt idx="1">
                  <c:v>25</c:v>
                </c:pt>
                <c:pt idx="2">
                  <c:v>3</c:v>
                </c:pt>
              </c:numCache>
            </c:numRef>
          </c:val>
        </c:ser>
        <c:ser>
          <c:idx val="2"/>
          <c:order val="2"/>
          <c:tx>
            <c:strRef>
              <c:f>Sheet1!$D$1</c:f>
              <c:strCache>
                <c:ptCount val="1"/>
                <c:pt idx="0">
                  <c:v>10~15</c:v>
                </c:pt>
              </c:strCache>
            </c:strRef>
          </c:tx>
          <c:spPr>
            <a:solidFill>
              <a:schemeClr val="accent3"/>
            </a:solidFill>
            <a:ln>
              <a:solidFill>
                <a:schemeClr val="bg1"/>
              </a:solidFill>
            </a:ln>
            <a:effectLst/>
          </c:spPr>
          <c:invertIfNegative val="0"/>
          <c:dLbls>
            <c:delete val="1"/>
          </c:dLbls>
          <c:cat>
            <c:strRef>
              <c:f>Sheet1!$A$2:$A$4</c:f>
              <c:strCache>
                <c:ptCount val="3"/>
                <c:pt idx="0">
                  <c:v>一类</c:v>
                </c:pt>
                <c:pt idx="1">
                  <c:v>二类</c:v>
                </c:pt>
                <c:pt idx="2">
                  <c:v>三类</c:v>
                </c:pt>
              </c:strCache>
            </c:strRef>
          </c:cat>
          <c:val>
            <c:numRef>
              <c:f>Sheet1!$D$2:$D$4</c:f>
              <c:numCache>
                <c:formatCode>General</c:formatCode>
                <c:ptCount val="3"/>
                <c:pt idx="0">
                  <c:v>5</c:v>
                </c:pt>
                <c:pt idx="1">
                  <c:v>7</c:v>
                </c:pt>
                <c:pt idx="2">
                  <c:v>2</c:v>
                </c:pt>
              </c:numCache>
            </c:numRef>
          </c:val>
        </c:ser>
        <c:ser>
          <c:idx val="3"/>
          <c:order val="3"/>
          <c:tx>
            <c:strRef>
              <c:f>Sheet1!$E$1</c:f>
              <c:strCache>
                <c:ptCount val="1"/>
                <c:pt idx="0">
                  <c:v>15~20</c:v>
                </c:pt>
              </c:strCache>
            </c:strRef>
          </c:tx>
          <c:spPr>
            <a:solidFill>
              <a:schemeClr val="accent4"/>
            </a:solidFill>
            <a:ln>
              <a:solidFill>
                <a:schemeClr val="bg1"/>
              </a:solidFill>
            </a:ln>
            <a:effectLst/>
          </c:spPr>
          <c:invertIfNegative val="0"/>
          <c:dLbls>
            <c:delete val="1"/>
          </c:dLbls>
          <c:cat>
            <c:strRef>
              <c:f>Sheet1!$A$2:$A$4</c:f>
              <c:strCache>
                <c:ptCount val="3"/>
                <c:pt idx="0">
                  <c:v>一类</c:v>
                </c:pt>
                <c:pt idx="1">
                  <c:v>二类</c:v>
                </c:pt>
                <c:pt idx="2">
                  <c:v>三类</c:v>
                </c:pt>
              </c:strCache>
            </c:strRef>
          </c:cat>
          <c:val>
            <c:numRef>
              <c:f>Sheet1!$E$2:$E$4</c:f>
              <c:numCache>
                <c:formatCode>General</c:formatCode>
                <c:ptCount val="3"/>
                <c:pt idx="0">
                  <c:v>4</c:v>
                </c:pt>
                <c:pt idx="1">
                  <c:v>8</c:v>
                </c:pt>
                <c:pt idx="2">
                  <c:v>2</c:v>
                </c:pt>
              </c:numCache>
            </c:numRef>
          </c:val>
        </c:ser>
        <c:ser>
          <c:idx val="4"/>
          <c:order val="4"/>
          <c:tx>
            <c:strRef>
              <c:f>Sheet1!$F$1</c:f>
              <c:strCache>
                <c:ptCount val="1"/>
                <c:pt idx="0">
                  <c:v>20~40</c:v>
                </c:pt>
              </c:strCache>
            </c:strRef>
          </c:tx>
          <c:spPr>
            <a:solidFill>
              <a:schemeClr val="accent5"/>
            </a:solidFill>
            <a:ln>
              <a:solidFill>
                <a:schemeClr val="bg1"/>
              </a:solidFill>
            </a:ln>
            <a:effectLst/>
          </c:spPr>
          <c:invertIfNegative val="0"/>
          <c:dLbls>
            <c:delete val="1"/>
          </c:dLbls>
          <c:cat>
            <c:strRef>
              <c:f>Sheet1!$A$2:$A$4</c:f>
              <c:strCache>
                <c:ptCount val="3"/>
                <c:pt idx="0">
                  <c:v>一类</c:v>
                </c:pt>
                <c:pt idx="1">
                  <c:v>二类</c:v>
                </c:pt>
                <c:pt idx="2">
                  <c:v>三类</c:v>
                </c:pt>
              </c:strCache>
            </c:strRef>
          </c:cat>
          <c:val>
            <c:numRef>
              <c:f>Sheet1!$F$2:$F$4</c:f>
              <c:numCache>
                <c:formatCode>General</c:formatCode>
                <c:ptCount val="3"/>
                <c:pt idx="0">
                  <c:v>3</c:v>
                </c:pt>
                <c:pt idx="1">
                  <c:v>13</c:v>
                </c:pt>
                <c:pt idx="2">
                  <c:v>1</c:v>
                </c:pt>
              </c:numCache>
            </c:numRef>
          </c:val>
        </c:ser>
        <c:ser>
          <c:idx val="5"/>
          <c:order val="5"/>
          <c:tx>
            <c:strRef>
              <c:f>Sheet1!$G$1</c:f>
              <c:strCache>
                <c:ptCount val="1"/>
                <c:pt idx="0">
                  <c:v>40~60</c:v>
                </c:pt>
              </c:strCache>
            </c:strRef>
          </c:tx>
          <c:spPr>
            <a:solidFill>
              <a:schemeClr val="accent6"/>
            </a:solidFill>
            <a:ln>
              <a:solidFill>
                <a:schemeClr val="bg1"/>
              </a:solidFill>
            </a:ln>
            <a:effectLst/>
          </c:spPr>
          <c:invertIfNegative val="0"/>
          <c:dLbls>
            <c:delete val="1"/>
          </c:dLbls>
          <c:cat>
            <c:strRef>
              <c:f>Sheet1!$A$2:$A$4</c:f>
              <c:strCache>
                <c:ptCount val="3"/>
                <c:pt idx="0">
                  <c:v>一类</c:v>
                </c:pt>
                <c:pt idx="1">
                  <c:v>二类</c:v>
                </c:pt>
                <c:pt idx="2">
                  <c:v>三类</c:v>
                </c:pt>
              </c:strCache>
            </c:strRef>
          </c:cat>
          <c:val>
            <c:numRef>
              <c:f>Sheet1!$G$2:$G$4</c:f>
              <c:numCache>
                <c:formatCode>General</c:formatCode>
                <c:ptCount val="3"/>
                <c:pt idx="0">
                  <c:v>1</c:v>
                </c:pt>
                <c:pt idx="1">
                  <c:v>5</c:v>
                </c:pt>
              </c:numCache>
            </c:numRef>
          </c:val>
        </c:ser>
        <c:ser>
          <c:idx val="6"/>
          <c:order val="6"/>
          <c:tx>
            <c:strRef>
              <c:f>Sheet1!$H$1</c:f>
              <c:strCache>
                <c:ptCount val="1"/>
                <c:pt idx="0">
                  <c:v>＞60</c:v>
                </c:pt>
              </c:strCache>
            </c:strRef>
          </c:tx>
          <c:spPr>
            <a:solidFill>
              <a:schemeClr val="accent1">
                <a:lumMod val="60000"/>
              </a:schemeClr>
            </a:solidFill>
            <a:ln>
              <a:solidFill>
                <a:schemeClr val="bg1"/>
              </a:solidFill>
            </a:ln>
            <a:effectLst/>
          </c:spPr>
          <c:invertIfNegative val="0"/>
          <c:dLbls>
            <c:delete val="1"/>
          </c:dLbls>
          <c:cat>
            <c:strRef>
              <c:f>Sheet1!$A$2:$A$4</c:f>
              <c:strCache>
                <c:ptCount val="3"/>
                <c:pt idx="0">
                  <c:v>一类</c:v>
                </c:pt>
                <c:pt idx="1">
                  <c:v>二类</c:v>
                </c:pt>
                <c:pt idx="2">
                  <c:v>三类</c:v>
                </c:pt>
              </c:strCache>
            </c:strRef>
          </c:cat>
          <c:val>
            <c:numRef>
              <c:f>Sheet1!$H$2:$H$4</c:f>
              <c:numCache>
                <c:formatCode>General</c:formatCode>
                <c:ptCount val="3"/>
                <c:pt idx="0">
                  <c:v>4</c:v>
                </c:pt>
                <c:pt idx="1">
                  <c:v>5</c:v>
                </c:pt>
                <c:pt idx="2">
                  <c:v>1</c:v>
                </c:pt>
              </c:numCache>
            </c:numRef>
          </c:val>
        </c:ser>
        <c:dLbls>
          <c:showLegendKey val="0"/>
          <c:showVal val="0"/>
          <c:showCatName val="0"/>
          <c:showSerName val="0"/>
          <c:showPercent val="0"/>
          <c:showBubbleSize val="0"/>
        </c:dLbls>
        <c:gapWidth val="246"/>
        <c:overlap val="100"/>
        <c:axId val="889170592"/>
        <c:axId val="42656596"/>
      </c:barChart>
      <c:catAx>
        <c:axId val="889170592"/>
        <c:scaling>
          <c:orientation val="minMax"/>
        </c:scaling>
        <c:delete val="0"/>
        <c:axPos val="b"/>
        <c:majorTickMark val="none"/>
        <c:minorTickMark val="none"/>
        <c:tickLblPos val="nextTo"/>
        <c:spPr>
          <a:noFill/>
          <a:ln w="9525" cap="flat" cmpd="sng" algn="ctr">
            <a:solidFill>
              <a:schemeClr val="tx1"/>
            </a:solidFill>
            <a:round/>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crossAx val="42656596"/>
        <c:crosses val="autoZero"/>
        <c:auto val="1"/>
        <c:lblAlgn val="ctr"/>
        <c:lblOffset val="100"/>
        <c:noMultiLvlLbl val="0"/>
      </c:catAx>
      <c:valAx>
        <c:axId val="42656596"/>
        <c:scaling>
          <c:orientation val="minMax"/>
        </c:scaling>
        <c:delete val="0"/>
        <c:axPos val="l"/>
        <c:majorGridlines>
          <c:spPr>
            <a:ln w="9525" cap="flat" cmpd="sng" algn="ctr">
              <a:noFill/>
              <a:round/>
            </a:ln>
            <a:effectLst/>
          </c:spPr>
        </c:majorGridlines>
        <c:numFmt formatCode="0%" sourceLinked="1"/>
        <c:majorTickMark val="in"/>
        <c:minorTickMark val="none"/>
        <c:tickLblPos val="nextTo"/>
        <c:spPr>
          <a:noFill/>
          <a:ln>
            <a:solidFill>
              <a:schemeClr val="tx1"/>
            </a:solidFill>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crossAx val="889170592"/>
        <c:crosses val="autoZero"/>
        <c:crossBetween val="between"/>
      </c:valAx>
      <c:spPr>
        <a:noFill/>
        <a:ln w="12700" cmpd="sng">
          <a:solidFill>
            <a:schemeClr val="tx1"/>
          </a:solidFill>
          <a:prstDash val="solid"/>
        </a:ln>
        <a:effectLst/>
      </c:spPr>
    </c:plotArea>
    <c:legend>
      <c:legendPos val="b"/>
      <c:legendEntry>
        <c:idx val="0"/>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1"/>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2"/>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3"/>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4"/>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ayout/>
      <c:overlay val="0"/>
      <c:spPr>
        <a:noFill/>
        <a:ln>
          <a:noFill/>
        </a:ln>
        <a:effectLst/>
      </c:spPr>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
    <c:plotVisOnly val="1"/>
    <c:dispBlanksAs val="gap"/>
    <c:showDLblsOverMax val="0"/>
    <c:extLst>
      <c:ext uri="{0b15fc19-7d7d-44ad-8c2d-2c3a37ce22c3}">
        <chartProps xmlns="https://web.wps.cn/et/2018/main" chartId="{79577eee-9e55-42e3-90ae-c435f7b5cfc5}"/>
      </c:ext>
    </c:extLst>
  </c:chart>
  <c:spPr>
    <a:solidFill>
      <a:schemeClr val="bg1"/>
    </a:solidFill>
    <a:ln w="9525" cap="flat" cmpd="sng" algn="ctr">
      <a:noFill/>
      <a:round/>
    </a:ln>
    <a:effectLst/>
  </c:spPr>
  <c:txPr>
    <a:bodyPr/>
    <a:lstStyle/>
    <a:p>
      <a:pPr>
        <a:defRPr lang="zh-CN">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0828219376661029"/>
          <c:y val="0.0543197102948784"/>
          <c:w val="0.890601594588065"/>
          <c:h val="0.701345059493016"/>
        </c:manualLayout>
      </c:layout>
      <c:barChart>
        <c:barDir val="col"/>
        <c:grouping val="percentStacked"/>
        <c:varyColors val="0"/>
        <c:ser>
          <c:idx val="0"/>
          <c:order val="0"/>
          <c:tx>
            <c:strRef>
              <c:f>Sheet1!$B$1</c:f>
              <c:strCache>
                <c:ptCount val="1"/>
                <c:pt idx="0">
                  <c:v>0~5</c:v>
                </c:pt>
              </c:strCache>
            </c:strRef>
          </c:tx>
          <c:spPr>
            <a:solidFill>
              <a:schemeClr val="accent6"/>
            </a:solidFill>
            <a:ln>
              <a:solidFill>
                <a:schemeClr val="bg1"/>
              </a:solidFill>
            </a:ln>
            <a:effectLst/>
          </c:spPr>
          <c:invertIfNegative val="0"/>
          <c:dLbls>
            <c:delete val="1"/>
          </c:dLbls>
          <c:cat>
            <c:strRef>
              <c:f>Sheet1!$A$2:$A$4</c:f>
              <c:strCache>
                <c:ptCount val="3"/>
                <c:pt idx="0">
                  <c:v>UV光氧+活性炭/二级活性炭</c:v>
                </c:pt>
                <c:pt idx="1">
                  <c:v>活性炭+低温催化分解</c:v>
                </c:pt>
                <c:pt idx="2">
                  <c:v>燃烧法</c:v>
                </c:pt>
              </c:strCache>
            </c:strRef>
          </c:cat>
          <c:val>
            <c:numRef>
              <c:f>Sheet1!$B$2:$B$4</c:f>
              <c:numCache>
                <c:formatCode>General</c:formatCode>
                <c:ptCount val="3"/>
                <c:pt idx="0">
                  <c:v>79</c:v>
                </c:pt>
                <c:pt idx="1">
                  <c:v>9</c:v>
                </c:pt>
                <c:pt idx="2">
                  <c:v>37</c:v>
                </c:pt>
              </c:numCache>
            </c:numRef>
          </c:val>
        </c:ser>
        <c:ser>
          <c:idx val="1"/>
          <c:order val="1"/>
          <c:tx>
            <c:strRef>
              <c:f>Sheet1!$C$1</c:f>
              <c:strCache>
                <c:ptCount val="1"/>
                <c:pt idx="0">
                  <c:v>5~10</c:v>
                </c:pt>
              </c:strCache>
            </c:strRef>
          </c:tx>
          <c:spPr>
            <a:solidFill>
              <a:schemeClr val="accent5"/>
            </a:solidFill>
            <a:ln>
              <a:solidFill>
                <a:schemeClr val="bg1"/>
              </a:solidFill>
            </a:ln>
            <a:effectLst/>
          </c:spPr>
          <c:invertIfNegative val="0"/>
          <c:dLbls>
            <c:delete val="1"/>
          </c:dLbls>
          <c:cat>
            <c:strRef>
              <c:f>Sheet1!$A$2:$A$4</c:f>
              <c:strCache>
                <c:ptCount val="3"/>
                <c:pt idx="0">
                  <c:v>UV光氧+活性炭/二级活性炭</c:v>
                </c:pt>
                <c:pt idx="1">
                  <c:v>活性炭+低温催化分解</c:v>
                </c:pt>
                <c:pt idx="2">
                  <c:v>燃烧法</c:v>
                </c:pt>
              </c:strCache>
            </c:strRef>
          </c:cat>
          <c:val>
            <c:numRef>
              <c:f>Sheet1!$C$2:$C$4</c:f>
              <c:numCache>
                <c:formatCode>General</c:formatCode>
                <c:ptCount val="3"/>
                <c:pt idx="0">
                  <c:v>26</c:v>
                </c:pt>
                <c:pt idx="1">
                  <c:v>1</c:v>
                </c:pt>
                <c:pt idx="2">
                  <c:v>8</c:v>
                </c:pt>
              </c:numCache>
            </c:numRef>
          </c:val>
        </c:ser>
        <c:ser>
          <c:idx val="2"/>
          <c:order val="2"/>
          <c:tx>
            <c:strRef>
              <c:f>Sheet1!$D$1</c:f>
              <c:strCache>
                <c:ptCount val="1"/>
                <c:pt idx="0">
                  <c:v>10~15</c:v>
                </c:pt>
              </c:strCache>
            </c:strRef>
          </c:tx>
          <c:spPr>
            <a:solidFill>
              <a:schemeClr val="accent4"/>
            </a:solidFill>
            <a:ln>
              <a:solidFill>
                <a:schemeClr val="bg1"/>
              </a:solidFill>
            </a:ln>
            <a:effectLst/>
          </c:spPr>
          <c:invertIfNegative val="0"/>
          <c:dLbls>
            <c:delete val="1"/>
          </c:dLbls>
          <c:cat>
            <c:strRef>
              <c:f>Sheet1!$A$2:$A$4</c:f>
              <c:strCache>
                <c:ptCount val="3"/>
                <c:pt idx="0">
                  <c:v>UV光氧+活性炭/二级活性炭</c:v>
                </c:pt>
                <c:pt idx="1">
                  <c:v>活性炭+低温催化分解</c:v>
                </c:pt>
                <c:pt idx="2">
                  <c:v>燃烧法</c:v>
                </c:pt>
              </c:strCache>
            </c:strRef>
          </c:cat>
          <c:val>
            <c:numRef>
              <c:f>Sheet1!$D$2:$D$4</c:f>
              <c:numCache>
                <c:formatCode>General</c:formatCode>
                <c:ptCount val="3"/>
                <c:pt idx="0">
                  <c:v>13</c:v>
                </c:pt>
                <c:pt idx="2">
                  <c:v>3</c:v>
                </c:pt>
              </c:numCache>
            </c:numRef>
          </c:val>
        </c:ser>
        <c:ser>
          <c:idx val="3"/>
          <c:order val="3"/>
          <c:tx>
            <c:strRef>
              <c:f>Sheet1!$E$1</c:f>
              <c:strCache>
                <c:ptCount val="1"/>
                <c:pt idx="0">
                  <c:v>15~20</c:v>
                </c:pt>
              </c:strCache>
            </c:strRef>
          </c:tx>
          <c:spPr>
            <a:solidFill>
              <a:schemeClr val="accent6">
                <a:lumMod val="60000"/>
              </a:schemeClr>
            </a:solidFill>
            <a:ln>
              <a:solidFill>
                <a:schemeClr val="bg1"/>
              </a:solidFill>
            </a:ln>
            <a:effectLst/>
          </c:spPr>
          <c:invertIfNegative val="0"/>
          <c:dLbls>
            <c:delete val="1"/>
          </c:dLbls>
          <c:cat>
            <c:strRef>
              <c:f>Sheet1!$A$2:$A$4</c:f>
              <c:strCache>
                <c:ptCount val="3"/>
                <c:pt idx="0">
                  <c:v>UV光氧+活性炭/二级活性炭</c:v>
                </c:pt>
                <c:pt idx="1">
                  <c:v>活性炭+低温催化分解</c:v>
                </c:pt>
                <c:pt idx="2">
                  <c:v>燃烧法</c:v>
                </c:pt>
              </c:strCache>
            </c:strRef>
          </c:cat>
          <c:val>
            <c:numRef>
              <c:f>Sheet1!$E$2:$E$4</c:f>
              <c:numCache>
                <c:formatCode>General</c:formatCode>
                <c:ptCount val="3"/>
                <c:pt idx="0">
                  <c:v>6</c:v>
                </c:pt>
                <c:pt idx="1">
                  <c:v>1</c:v>
                </c:pt>
                <c:pt idx="2">
                  <c:v>7</c:v>
                </c:pt>
              </c:numCache>
            </c:numRef>
          </c:val>
        </c:ser>
        <c:ser>
          <c:idx val="4"/>
          <c:order val="4"/>
          <c:tx>
            <c:strRef>
              <c:f>Sheet1!$F$1</c:f>
              <c:strCache>
                <c:ptCount val="1"/>
                <c:pt idx="0">
                  <c:v>20~40</c:v>
                </c:pt>
              </c:strCache>
            </c:strRef>
          </c:tx>
          <c:spPr>
            <a:solidFill>
              <a:schemeClr val="accent5">
                <a:lumMod val="60000"/>
              </a:schemeClr>
            </a:solidFill>
            <a:ln>
              <a:solidFill>
                <a:schemeClr val="bg1"/>
              </a:solidFill>
            </a:ln>
            <a:effectLst/>
          </c:spPr>
          <c:invertIfNegative val="0"/>
          <c:dLbls>
            <c:delete val="1"/>
          </c:dLbls>
          <c:cat>
            <c:strRef>
              <c:f>Sheet1!$A$2:$A$4</c:f>
              <c:strCache>
                <c:ptCount val="3"/>
                <c:pt idx="0">
                  <c:v>UV光氧+活性炭/二级活性炭</c:v>
                </c:pt>
                <c:pt idx="1">
                  <c:v>活性炭+低温催化分解</c:v>
                </c:pt>
                <c:pt idx="2">
                  <c:v>燃烧法</c:v>
                </c:pt>
              </c:strCache>
            </c:strRef>
          </c:cat>
          <c:val>
            <c:numRef>
              <c:f>Sheet1!$F$2:$F$4</c:f>
              <c:numCache>
                <c:formatCode>General</c:formatCode>
                <c:ptCount val="3"/>
                <c:pt idx="0">
                  <c:v>12</c:v>
                </c:pt>
                <c:pt idx="1">
                  <c:v>1</c:v>
                </c:pt>
                <c:pt idx="2">
                  <c:v>3</c:v>
                </c:pt>
              </c:numCache>
            </c:numRef>
          </c:val>
        </c:ser>
        <c:ser>
          <c:idx val="5"/>
          <c:order val="5"/>
          <c:tx>
            <c:strRef>
              <c:f>Sheet1!$G$1</c:f>
              <c:strCache>
                <c:ptCount val="1"/>
                <c:pt idx="0">
                  <c:v>40~60</c:v>
                </c:pt>
              </c:strCache>
            </c:strRef>
          </c:tx>
          <c:spPr>
            <a:solidFill>
              <a:schemeClr val="accent4">
                <a:lumMod val="60000"/>
              </a:schemeClr>
            </a:solidFill>
            <a:ln>
              <a:solidFill>
                <a:schemeClr val="bg1"/>
              </a:solidFill>
            </a:ln>
            <a:effectLst/>
          </c:spPr>
          <c:invertIfNegative val="0"/>
          <c:dLbls>
            <c:delete val="1"/>
          </c:dLbls>
          <c:cat>
            <c:strRef>
              <c:f>Sheet1!$A$2:$A$4</c:f>
              <c:strCache>
                <c:ptCount val="3"/>
                <c:pt idx="0">
                  <c:v>UV光氧+活性炭/二级活性炭</c:v>
                </c:pt>
                <c:pt idx="1">
                  <c:v>活性炭+低温催化分解</c:v>
                </c:pt>
                <c:pt idx="2">
                  <c:v>燃烧法</c:v>
                </c:pt>
              </c:strCache>
            </c:strRef>
          </c:cat>
          <c:val>
            <c:numRef>
              <c:f>Sheet1!$G$2:$G$4</c:f>
              <c:numCache>
                <c:formatCode>General</c:formatCode>
                <c:ptCount val="3"/>
                <c:pt idx="0">
                  <c:v>2</c:v>
                </c:pt>
                <c:pt idx="1">
                  <c:v>1</c:v>
                </c:pt>
                <c:pt idx="2">
                  <c:v>5</c:v>
                </c:pt>
              </c:numCache>
            </c:numRef>
          </c:val>
        </c:ser>
        <c:ser>
          <c:idx val="6"/>
          <c:order val="6"/>
          <c:tx>
            <c:strRef>
              <c:f>Sheet1!$H$1</c:f>
              <c:strCache>
                <c:ptCount val="1"/>
                <c:pt idx="0">
                  <c:v>＞60</c:v>
                </c:pt>
              </c:strCache>
            </c:strRef>
          </c:tx>
          <c:spPr>
            <a:solidFill>
              <a:schemeClr val="accent6">
                <a:lumMod val="80000"/>
                <a:lumOff val="20000"/>
              </a:schemeClr>
            </a:solidFill>
            <a:ln>
              <a:solidFill>
                <a:schemeClr val="bg1"/>
              </a:solidFill>
            </a:ln>
            <a:effectLst/>
          </c:spPr>
          <c:invertIfNegative val="0"/>
          <c:dLbls>
            <c:delete val="1"/>
          </c:dLbls>
          <c:cat>
            <c:strRef>
              <c:f>Sheet1!$A$2:$A$4</c:f>
              <c:strCache>
                <c:ptCount val="3"/>
                <c:pt idx="0">
                  <c:v>UV光氧+活性炭/二级活性炭</c:v>
                </c:pt>
                <c:pt idx="1">
                  <c:v>活性炭+低温催化分解</c:v>
                </c:pt>
                <c:pt idx="2">
                  <c:v>燃烧法</c:v>
                </c:pt>
              </c:strCache>
            </c:strRef>
          </c:cat>
          <c:val>
            <c:numRef>
              <c:f>Sheet1!$H$2:$H$4</c:f>
              <c:numCache>
                <c:formatCode>General</c:formatCode>
                <c:ptCount val="3"/>
                <c:pt idx="0">
                  <c:v>8</c:v>
                </c:pt>
                <c:pt idx="1">
                  <c:v>1</c:v>
                </c:pt>
                <c:pt idx="2">
                  <c:v>1</c:v>
                </c:pt>
              </c:numCache>
            </c:numRef>
          </c:val>
        </c:ser>
        <c:dLbls>
          <c:showLegendKey val="0"/>
          <c:showVal val="0"/>
          <c:showCatName val="0"/>
          <c:showSerName val="0"/>
          <c:showPercent val="0"/>
          <c:showBubbleSize val="0"/>
        </c:dLbls>
        <c:gapWidth val="246"/>
        <c:overlap val="100"/>
        <c:axId val="889170592"/>
        <c:axId val="42656596"/>
      </c:barChart>
      <c:catAx>
        <c:axId val="889170592"/>
        <c:scaling>
          <c:orientation val="minMax"/>
        </c:scaling>
        <c:delete val="0"/>
        <c:axPos val="b"/>
        <c:majorTickMark val="none"/>
        <c:minorTickMark val="none"/>
        <c:tickLblPos val="nextTo"/>
        <c:spPr>
          <a:noFill/>
          <a:ln w="9525" cap="flat" cmpd="sng" algn="ctr">
            <a:solidFill>
              <a:schemeClr val="tx1"/>
            </a:solidFill>
            <a:round/>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crossAx val="42656596"/>
        <c:crosses val="autoZero"/>
        <c:auto val="1"/>
        <c:lblAlgn val="ctr"/>
        <c:lblOffset val="100"/>
        <c:noMultiLvlLbl val="0"/>
      </c:catAx>
      <c:valAx>
        <c:axId val="42656596"/>
        <c:scaling>
          <c:orientation val="minMax"/>
        </c:scaling>
        <c:delete val="0"/>
        <c:axPos val="l"/>
        <c:majorGridlines>
          <c:spPr>
            <a:ln w="9525" cap="flat" cmpd="sng" algn="ctr">
              <a:noFill/>
              <a:round/>
            </a:ln>
            <a:effectLst/>
          </c:spPr>
        </c:majorGridlines>
        <c:numFmt formatCode="0%" sourceLinked="1"/>
        <c:majorTickMark val="in"/>
        <c:minorTickMark val="none"/>
        <c:tickLblPos val="nextTo"/>
        <c:spPr>
          <a:noFill/>
          <a:ln>
            <a:solidFill>
              <a:schemeClr val="tx1"/>
            </a:solidFill>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crossAx val="889170592"/>
        <c:crosses val="autoZero"/>
        <c:crossBetween val="between"/>
      </c:valAx>
      <c:spPr>
        <a:noFill/>
        <a:ln w="12700" cmpd="sng">
          <a:solidFill>
            <a:schemeClr val="tx1"/>
          </a:solidFill>
          <a:prstDash val="solid"/>
        </a:ln>
        <a:effectLst/>
      </c:spPr>
    </c:plotArea>
    <c:legend>
      <c:legendPos val="b"/>
      <c:legendEntry>
        <c:idx val="0"/>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1"/>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2"/>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3"/>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4"/>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ayout/>
      <c:overlay val="0"/>
      <c:spPr>
        <a:noFill/>
        <a:ln>
          <a:noFill/>
        </a:ln>
        <a:effectLst/>
      </c:spPr>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
    <c:plotVisOnly val="1"/>
    <c:dispBlanksAs val="gap"/>
    <c:showDLblsOverMax val="0"/>
    <c:extLst>
      <c:ext uri="{0b15fc19-7d7d-44ad-8c2d-2c3a37ce22c3}">
        <chartProps xmlns="https://web.wps.cn/et/2018/main" chartId="{568770f3-b8b7-44df-bc8a-a46656893c14}"/>
      </c:ext>
    </c:extLst>
  </c:chart>
  <c:spPr>
    <a:solidFill>
      <a:schemeClr val="bg1"/>
    </a:solidFill>
    <a:ln w="9525" cap="flat" cmpd="sng" algn="ctr">
      <a:noFill/>
      <a:round/>
    </a:ln>
    <a:effectLst/>
  </c:spPr>
  <c:txPr>
    <a:bodyPr/>
    <a:lstStyle/>
    <a:p>
      <a:pPr>
        <a:defRPr lang="zh-CN">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percentStacked"/>
        <c:varyColors val="0"/>
        <c:ser>
          <c:idx val="0"/>
          <c:order val="0"/>
          <c:tx>
            <c:strRef>
              <c:f>Sheet1!$B$1</c:f>
              <c:strCache>
                <c:ptCount val="1"/>
                <c:pt idx="0">
                  <c:v>未检出</c:v>
                </c:pt>
              </c:strCache>
            </c:strRef>
          </c:tx>
          <c:spPr>
            <a:solidFill>
              <a:schemeClr val="accent1"/>
            </a:solidFill>
            <a:ln>
              <a:solidFill>
                <a:schemeClr val="bg1"/>
              </a:solidFill>
            </a:ln>
            <a:effectLst/>
          </c:spPr>
          <c:invertIfNegative val="0"/>
          <c:dLbls>
            <c:delete val="1"/>
          </c:dLbls>
          <c:cat>
            <c:strRef>
              <c:f>Sheet1!$A$2:$A$4</c:f>
              <c:strCache>
                <c:ptCount val="3"/>
                <c:pt idx="0">
                  <c:v>一类</c:v>
                </c:pt>
                <c:pt idx="1">
                  <c:v>二类</c:v>
                </c:pt>
                <c:pt idx="2">
                  <c:v>三类</c:v>
                </c:pt>
              </c:strCache>
            </c:strRef>
          </c:cat>
          <c:val>
            <c:numRef>
              <c:f>Sheet1!$B$2:$B$4</c:f>
              <c:numCache>
                <c:formatCode>General</c:formatCode>
                <c:ptCount val="3"/>
                <c:pt idx="0">
                  <c:v>13</c:v>
                </c:pt>
                <c:pt idx="1">
                  <c:v>15</c:v>
                </c:pt>
                <c:pt idx="2">
                  <c:v>5</c:v>
                </c:pt>
              </c:numCache>
            </c:numRef>
          </c:val>
        </c:ser>
        <c:ser>
          <c:idx val="1"/>
          <c:order val="1"/>
          <c:tx>
            <c:strRef>
              <c:f>Sheet1!$C$1</c:f>
              <c:strCache>
                <c:ptCount val="1"/>
                <c:pt idx="0">
                  <c:v>0~10</c:v>
                </c:pt>
              </c:strCache>
            </c:strRef>
          </c:tx>
          <c:spPr>
            <a:solidFill>
              <a:schemeClr val="accent2"/>
            </a:solidFill>
            <a:ln>
              <a:solidFill>
                <a:schemeClr val="bg1"/>
              </a:solidFill>
            </a:ln>
            <a:effectLst/>
          </c:spPr>
          <c:invertIfNegative val="0"/>
          <c:dLbls>
            <c:delete val="1"/>
          </c:dLbls>
          <c:cat>
            <c:strRef>
              <c:f>Sheet1!$A$2:$A$4</c:f>
              <c:strCache>
                <c:ptCount val="3"/>
                <c:pt idx="0">
                  <c:v>一类</c:v>
                </c:pt>
                <c:pt idx="1">
                  <c:v>二类</c:v>
                </c:pt>
                <c:pt idx="2">
                  <c:v>三类</c:v>
                </c:pt>
              </c:strCache>
            </c:strRef>
          </c:cat>
          <c:val>
            <c:numRef>
              <c:f>Sheet1!$C$2:$C$4</c:f>
              <c:numCache>
                <c:formatCode>General</c:formatCode>
                <c:ptCount val="3"/>
                <c:pt idx="0">
                  <c:v>36</c:v>
                </c:pt>
                <c:pt idx="1">
                  <c:v>57</c:v>
                </c:pt>
                <c:pt idx="2">
                  <c:v>9</c:v>
                </c:pt>
              </c:numCache>
            </c:numRef>
          </c:val>
        </c:ser>
        <c:ser>
          <c:idx val="2"/>
          <c:order val="2"/>
          <c:tx>
            <c:strRef>
              <c:f>Sheet1!$D$1</c:f>
              <c:strCache>
                <c:ptCount val="1"/>
                <c:pt idx="0">
                  <c:v>10~20</c:v>
                </c:pt>
              </c:strCache>
            </c:strRef>
          </c:tx>
          <c:spPr>
            <a:solidFill>
              <a:schemeClr val="accent3"/>
            </a:solidFill>
            <a:ln>
              <a:solidFill>
                <a:schemeClr val="bg1"/>
              </a:solidFill>
            </a:ln>
            <a:effectLst/>
          </c:spPr>
          <c:invertIfNegative val="0"/>
          <c:dLbls>
            <c:delete val="1"/>
          </c:dLbls>
          <c:cat>
            <c:strRef>
              <c:f>Sheet1!$A$2:$A$4</c:f>
              <c:strCache>
                <c:ptCount val="3"/>
                <c:pt idx="0">
                  <c:v>一类</c:v>
                </c:pt>
                <c:pt idx="1">
                  <c:v>二类</c:v>
                </c:pt>
                <c:pt idx="2">
                  <c:v>三类</c:v>
                </c:pt>
              </c:strCache>
            </c:strRef>
          </c:cat>
          <c:val>
            <c:numRef>
              <c:f>Sheet1!$D$2:$D$4</c:f>
              <c:numCache>
                <c:formatCode>General</c:formatCode>
                <c:ptCount val="3"/>
                <c:pt idx="0">
                  <c:v>3</c:v>
                </c:pt>
                <c:pt idx="1">
                  <c:v>2</c:v>
                </c:pt>
                <c:pt idx="2">
                  <c:v>1</c:v>
                </c:pt>
              </c:numCache>
            </c:numRef>
          </c:val>
        </c:ser>
        <c:ser>
          <c:idx val="3"/>
          <c:order val="3"/>
          <c:tx>
            <c:strRef>
              <c:f>Sheet1!$E$1</c:f>
              <c:strCache>
                <c:ptCount val="1"/>
                <c:pt idx="0">
                  <c:v>20~30</c:v>
                </c:pt>
              </c:strCache>
            </c:strRef>
          </c:tx>
          <c:spPr>
            <a:solidFill>
              <a:schemeClr val="accent4"/>
            </a:solidFill>
            <a:ln>
              <a:solidFill>
                <a:schemeClr val="bg1"/>
              </a:solidFill>
            </a:ln>
            <a:effectLst/>
          </c:spPr>
          <c:invertIfNegative val="0"/>
          <c:dLbls>
            <c:delete val="1"/>
          </c:dLbls>
          <c:cat>
            <c:strRef>
              <c:f>Sheet1!$A$2:$A$4</c:f>
              <c:strCache>
                <c:ptCount val="3"/>
                <c:pt idx="0">
                  <c:v>一类</c:v>
                </c:pt>
                <c:pt idx="1">
                  <c:v>二类</c:v>
                </c:pt>
                <c:pt idx="2">
                  <c:v>三类</c:v>
                </c:pt>
              </c:strCache>
            </c:strRef>
          </c:cat>
          <c:val>
            <c:numRef>
              <c:f>Sheet1!$E$2:$E$4</c:f>
              <c:numCache>
                <c:formatCode>General</c:formatCode>
                <c:ptCount val="3"/>
                <c:pt idx="0">
                  <c:v>2</c:v>
                </c:pt>
                <c:pt idx="1">
                  <c:v>8</c:v>
                </c:pt>
              </c:numCache>
            </c:numRef>
          </c:val>
        </c:ser>
        <c:ser>
          <c:idx val="4"/>
          <c:order val="4"/>
          <c:tx>
            <c:strRef>
              <c:f>Sheet1!$F$1</c:f>
              <c:strCache>
                <c:ptCount val="1"/>
                <c:pt idx="0">
                  <c:v>30~40</c:v>
                </c:pt>
              </c:strCache>
            </c:strRef>
          </c:tx>
          <c:spPr>
            <a:solidFill>
              <a:schemeClr val="accent5"/>
            </a:solidFill>
            <a:ln>
              <a:solidFill>
                <a:schemeClr val="bg1"/>
              </a:solidFill>
            </a:ln>
            <a:effectLst/>
          </c:spPr>
          <c:invertIfNegative val="0"/>
          <c:dLbls>
            <c:delete val="1"/>
          </c:dLbls>
          <c:cat>
            <c:strRef>
              <c:f>Sheet1!$A$2:$A$4</c:f>
              <c:strCache>
                <c:ptCount val="3"/>
                <c:pt idx="0">
                  <c:v>一类</c:v>
                </c:pt>
                <c:pt idx="1">
                  <c:v>二类</c:v>
                </c:pt>
                <c:pt idx="2">
                  <c:v>三类</c:v>
                </c:pt>
              </c:strCache>
            </c:strRef>
          </c:cat>
          <c:val>
            <c:numRef>
              <c:f>Sheet1!$F$2:$F$4</c:f>
              <c:numCache>
                <c:formatCode>General</c:formatCode>
                <c:ptCount val="3"/>
                <c:pt idx="0">
                  <c:v>1</c:v>
                </c:pt>
              </c:numCache>
            </c:numRef>
          </c:val>
        </c:ser>
        <c:ser>
          <c:idx val="5"/>
          <c:order val="5"/>
          <c:tx>
            <c:strRef>
              <c:f>Sheet1!$G$1</c:f>
              <c:strCache>
                <c:ptCount val="1"/>
                <c:pt idx="0">
                  <c:v>＞40</c:v>
                </c:pt>
              </c:strCache>
            </c:strRef>
          </c:tx>
          <c:spPr>
            <a:solidFill>
              <a:schemeClr val="accent6"/>
            </a:solidFill>
            <a:ln>
              <a:solidFill>
                <a:schemeClr val="bg1"/>
              </a:solidFill>
            </a:ln>
            <a:effectLst/>
          </c:spPr>
          <c:invertIfNegative val="0"/>
          <c:dLbls>
            <c:delete val="1"/>
          </c:dLbls>
          <c:cat>
            <c:strRef>
              <c:f>Sheet1!$A$2:$A$4</c:f>
              <c:strCache>
                <c:ptCount val="3"/>
                <c:pt idx="0">
                  <c:v>一类</c:v>
                </c:pt>
                <c:pt idx="1">
                  <c:v>二类</c:v>
                </c:pt>
                <c:pt idx="2">
                  <c:v>三类</c:v>
                </c:pt>
              </c:strCache>
            </c:strRef>
          </c:cat>
          <c:val>
            <c:numRef>
              <c:f>Sheet1!$G$2:$G$4</c:f>
              <c:numCache>
                <c:formatCode>General</c:formatCode>
                <c:ptCount val="3"/>
                <c:pt idx="0">
                  <c:v>1</c:v>
                </c:pt>
              </c:numCache>
            </c:numRef>
          </c:val>
        </c:ser>
        <c:dLbls>
          <c:showLegendKey val="0"/>
          <c:showVal val="0"/>
          <c:showCatName val="0"/>
          <c:showSerName val="0"/>
          <c:showPercent val="0"/>
          <c:showBubbleSize val="0"/>
        </c:dLbls>
        <c:gapWidth val="246"/>
        <c:overlap val="100"/>
        <c:axId val="889170592"/>
        <c:axId val="42656596"/>
      </c:barChart>
      <c:catAx>
        <c:axId val="889170592"/>
        <c:scaling>
          <c:orientation val="minMax"/>
        </c:scaling>
        <c:delete val="0"/>
        <c:axPos val="b"/>
        <c:majorTickMark val="none"/>
        <c:minorTickMark val="none"/>
        <c:tickLblPos val="nextTo"/>
        <c:spPr>
          <a:noFill/>
          <a:ln w="9525" cap="flat" cmpd="sng" algn="ctr">
            <a:solidFill>
              <a:schemeClr val="tx1"/>
            </a:solidFill>
            <a:round/>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crossAx val="42656596"/>
        <c:crosses val="autoZero"/>
        <c:auto val="1"/>
        <c:lblAlgn val="ctr"/>
        <c:lblOffset val="100"/>
        <c:noMultiLvlLbl val="0"/>
      </c:catAx>
      <c:valAx>
        <c:axId val="42656596"/>
        <c:scaling>
          <c:orientation val="minMax"/>
        </c:scaling>
        <c:delete val="0"/>
        <c:axPos val="l"/>
        <c:majorGridlines>
          <c:spPr>
            <a:ln w="9525" cap="flat" cmpd="sng" algn="ctr">
              <a:noFill/>
              <a:round/>
            </a:ln>
            <a:effectLst/>
          </c:spPr>
        </c:majorGridlines>
        <c:numFmt formatCode="0%" sourceLinked="1"/>
        <c:majorTickMark val="in"/>
        <c:minorTickMark val="none"/>
        <c:tickLblPos val="nextTo"/>
        <c:spPr>
          <a:noFill/>
          <a:ln>
            <a:solidFill>
              <a:schemeClr val="tx1"/>
            </a:solidFill>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crossAx val="889170592"/>
        <c:crosses val="autoZero"/>
        <c:crossBetween val="between"/>
      </c:valAx>
      <c:spPr>
        <a:noFill/>
        <a:ln w="12700" cmpd="sng">
          <a:solidFill>
            <a:schemeClr val="tx1"/>
          </a:solidFill>
          <a:prstDash val="solid"/>
        </a:ln>
        <a:effectLst/>
      </c:spPr>
    </c:plotArea>
    <c:legend>
      <c:legendPos val="b"/>
      <c:legendEntry>
        <c:idx val="0"/>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1"/>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2"/>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3"/>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4"/>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ayout/>
      <c:overlay val="0"/>
      <c:spPr>
        <a:noFill/>
        <a:ln>
          <a:noFill/>
        </a:ln>
        <a:effectLst/>
      </c:spPr>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
    <c:plotVisOnly val="1"/>
    <c:dispBlanksAs val="gap"/>
    <c:showDLblsOverMax val="0"/>
    <c:extLst>
      <c:ext uri="{0b15fc19-7d7d-44ad-8c2d-2c3a37ce22c3}">
        <chartProps xmlns="https://web.wps.cn/et/2018/main" chartId="{90c49d68-3542-4e82-b91d-85e28d199104}"/>
      </c:ext>
    </c:extLst>
  </c:chart>
  <c:spPr>
    <a:solidFill>
      <a:schemeClr val="bg1"/>
    </a:solidFill>
    <a:ln w="9525" cap="flat" cmpd="sng" algn="ctr">
      <a:noFill/>
      <a:round/>
    </a:ln>
    <a:effectLst/>
  </c:spPr>
  <c:txPr>
    <a:bodyPr/>
    <a:lstStyle/>
    <a:p>
      <a:pPr>
        <a:defRPr lang="zh-CN">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0828219376661029"/>
          <c:y val="0.0813910469848317"/>
          <c:w val="0.890601594588065"/>
          <c:h val="0.670884202737699"/>
        </c:manualLayout>
      </c:layout>
      <c:barChart>
        <c:barDir val="col"/>
        <c:grouping val="percentStacked"/>
        <c:varyColors val="0"/>
        <c:ser>
          <c:idx val="0"/>
          <c:order val="0"/>
          <c:tx>
            <c:strRef>
              <c:f>Sheet1!$B$1</c:f>
              <c:strCache>
                <c:ptCount val="1"/>
                <c:pt idx="0">
                  <c:v>0~10</c:v>
                </c:pt>
              </c:strCache>
            </c:strRef>
          </c:tx>
          <c:spPr>
            <a:solidFill>
              <a:schemeClr val="accent1"/>
            </a:solidFill>
            <a:ln>
              <a:solidFill>
                <a:schemeClr val="bg1"/>
              </a:solidFill>
            </a:ln>
            <a:effectLst/>
          </c:spPr>
          <c:invertIfNegative val="0"/>
          <c:dLbls>
            <c:delete val="1"/>
          </c:dLbls>
          <c:cat>
            <c:strRef>
              <c:f>Sheet1!$A$2:$A$4</c:f>
              <c:strCache>
                <c:ptCount val="3"/>
                <c:pt idx="0">
                  <c:v>一类</c:v>
                </c:pt>
                <c:pt idx="1">
                  <c:v>二类</c:v>
                </c:pt>
                <c:pt idx="2">
                  <c:v>三类</c:v>
                </c:pt>
              </c:strCache>
            </c:strRef>
          </c:cat>
          <c:val>
            <c:numRef>
              <c:f>Sheet1!$B$2:$B$4</c:f>
              <c:numCache>
                <c:formatCode>General</c:formatCode>
                <c:ptCount val="3"/>
                <c:pt idx="0">
                  <c:v>4</c:v>
                </c:pt>
                <c:pt idx="1">
                  <c:v>13</c:v>
                </c:pt>
                <c:pt idx="2">
                  <c:v>2</c:v>
                </c:pt>
              </c:numCache>
            </c:numRef>
          </c:val>
        </c:ser>
        <c:ser>
          <c:idx val="1"/>
          <c:order val="1"/>
          <c:tx>
            <c:strRef>
              <c:f>Sheet1!$C$1</c:f>
              <c:strCache>
                <c:ptCount val="1"/>
                <c:pt idx="0">
                  <c:v>10~20</c:v>
                </c:pt>
              </c:strCache>
            </c:strRef>
          </c:tx>
          <c:spPr>
            <a:solidFill>
              <a:schemeClr val="accent2"/>
            </a:solidFill>
            <a:ln>
              <a:solidFill>
                <a:schemeClr val="bg1"/>
              </a:solidFill>
            </a:ln>
            <a:effectLst/>
          </c:spPr>
          <c:invertIfNegative val="0"/>
          <c:dLbls>
            <c:delete val="1"/>
          </c:dLbls>
          <c:cat>
            <c:strRef>
              <c:f>Sheet1!$A$2:$A$4</c:f>
              <c:strCache>
                <c:ptCount val="3"/>
                <c:pt idx="0">
                  <c:v>一类</c:v>
                </c:pt>
                <c:pt idx="1">
                  <c:v>二类</c:v>
                </c:pt>
                <c:pt idx="2">
                  <c:v>三类</c:v>
                </c:pt>
              </c:strCache>
            </c:strRef>
          </c:cat>
          <c:val>
            <c:numRef>
              <c:f>Sheet1!$C$2:$C$4</c:f>
              <c:numCache>
                <c:formatCode>General</c:formatCode>
                <c:ptCount val="3"/>
                <c:pt idx="0">
                  <c:v>1</c:v>
                </c:pt>
                <c:pt idx="1">
                  <c:v>1</c:v>
                </c:pt>
              </c:numCache>
            </c:numRef>
          </c:val>
        </c:ser>
        <c:ser>
          <c:idx val="2"/>
          <c:order val="2"/>
          <c:tx>
            <c:strRef>
              <c:f>Sheet1!$D$1</c:f>
              <c:strCache>
                <c:ptCount val="1"/>
                <c:pt idx="0">
                  <c:v>＞20</c:v>
                </c:pt>
              </c:strCache>
            </c:strRef>
          </c:tx>
          <c:spPr>
            <a:solidFill>
              <a:schemeClr val="accent3"/>
            </a:solidFill>
            <a:ln>
              <a:solidFill>
                <a:schemeClr val="bg1"/>
              </a:solidFill>
            </a:ln>
            <a:effectLst/>
          </c:spPr>
          <c:invertIfNegative val="0"/>
          <c:dLbls>
            <c:delete val="1"/>
          </c:dLbls>
          <c:cat>
            <c:strRef>
              <c:f>Sheet1!$A$2:$A$4</c:f>
              <c:strCache>
                <c:ptCount val="3"/>
                <c:pt idx="0">
                  <c:v>一类</c:v>
                </c:pt>
                <c:pt idx="1">
                  <c:v>二类</c:v>
                </c:pt>
                <c:pt idx="2">
                  <c:v>三类</c:v>
                </c:pt>
              </c:strCache>
            </c:strRef>
          </c:cat>
          <c:val>
            <c:numRef>
              <c:f>Sheet1!$D$2:$D$4</c:f>
              <c:numCache>
                <c:formatCode>General</c:formatCode>
                <c:ptCount val="3"/>
                <c:pt idx="1">
                  <c:v>1</c:v>
                </c:pt>
                <c:pt idx="2">
                  <c:v>1</c:v>
                </c:pt>
              </c:numCache>
            </c:numRef>
          </c:val>
        </c:ser>
        <c:dLbls>
          <c:showLegendKey val="0"/>
          <c:showVal val="0"/>
          <c:showCatName val="0"/>
          <c:showSerName val="0"/>
          <c:showPercent val="0"/>
          <c:showBubbleSize val="0"/>
        </c:dLbls>
        <c:gapWidth val="246"/>
        <c:overlap val="100"/>
        <c:axId val="889170592"/>
        <c:axId val="42656596"/>
      </c:barChart>
      <c:catAx>
        <c:axId val="889170592"/>
        <c:scaling>
          <c:orientation val="minMax"/>
        </c:scaling>
        <c:delete val="0"/>
        <c:axPos val="b"/>
        <c:majorTickMark val="none"/>
        <c:minorTickMark val="none"/>
        <c:tickLblPos val="nextTo"/>
        <c:spPr>
          <a:noFill/>
          <a:ln w="9525" cap="flat" cmpd="sng" algn="ctr">
            <a:solidFill>
              <a:schemeClr val="tx1"/>
            </a:solidFill>
            <a:round/>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crossAx val="42656596"/>
        <c:crosses val="autoZero"/>
        <c:auto val="1"/>
        <c:lblAlgn val="ctr"/>
        <c:lblOffset val="100"/>
        <c:noMultiLvlLbl val="0"/>
      </c:catAx>
      <c:valAx>
        <c:axId val="42656596"/>
        <c:scaling>
          <c:orientation val="minMax"/>
        </c:scaling>
        <c:delete val="0"/>
        <c:axPos val="l"/>
        <c:majorGridlines>
          <c:spPr>
            <a:ln w="9525" cap="flat" cmpd="sng" algn="ctr">
              <a:noFill/>
              <a:round/>
            </a:ln>
            <a:effectLst/>
          </c:spPr>
        </c:majorGridlines>
        <c:numFmt formatCode="0%" sourceLinked="1"/>
        <c:majorTickMark val="in"/>
        <c:minorTickMark val="none"/>
        <c:tickLblPos val="nextTo"/>
        <c:spPr>
          <a:noFill/>
          <a:ln>
            <a:solidFill>
              <a:schemeClr val="tx1"/>
            </a:solidFill>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crossAx val="889170592"/>
        <c:crosses val="autoZero"/>
        <c:crossBetween val="between"/>
      </c:valAx>
      <c:spPr>
        <a:noFill/>
        <a:ln w="12700" cmpd="sng">
          <a:solidFill>
            <a:schemeClr val="tx1"/>
          </a:solidFill>
          <a:prstDash val="solid"/>
        </a:ln>
        <a:effectLst/>
      </c:spPr>
    </c:plotArea>
    <c:legend>
      <c:legendPos val="b"/>
      <c:legendEntry>
        <c:idx val="0"/>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1"/>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2"/>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ayout>
        <c:manualLayout>
          <c:xMode val="edge"/>
          <c:yMode val="edge"/>
          <c:x val="0.3876540227108"/>
          <c:y val="0.865704772475028"/>
        </c:manualLayout>
      </c:layout>
      <c:overlay val="0"/>
      <c:spPr>
        <a:noFill/>
        <a:ln>
          <a:noFill/>
        </a:ln>
        <a:effectLst/>
      </c:spPr>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
    <c:plotVisOnly val="1"/>
    <c:dispBlanksAs val="gap"/>
    <c:showDLblsOverMax val="0"/>
    <c:extLst>
      <c:ext uri="{0b15fc19-7d7d-44ad-8c2d-2c3a37ce22c3}">
        <chartProps xmlns="https://web.wps.cn/et/2018/main" chartId="{4260dbe8-6801-47e7-a64e-4a579fcbf8ae}"/>
      </c:ext>
    </c:extLst>
  </c:chart>
  <c:spPr>
    <a:solidFill>
      <a:schemeClr val="bg1"/>
    </a:solidFill>
    <a:ln w="9525" cap="flat" cmpd="sng" algn="ctr">
      <a:noFill/>
      <a:round/>
    </a:ln>
    <a:effectLst/>
  </c:spPr>
  <c:txPr>
    <a:bodyPr/>
    <a:lstStyle/>
    <a:p>
      <a:pPr>
        <a:defRPr lang="zh-CN">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10019">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10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1000" kern="1200"/>
    <cs:bodyPr rot="0" spcFirstLastPara="1" vertOverflow="clip" horzOverflow="clip" vert="horz" wrap="square" lIns="36576" tIns="18288" rIns="36576" bIns="18288" anchor="ctr" anchorCtr="1">
      <a:spAutoFit/>
    </cs:bodyPr>
  </cs:dataLabelCallout>
  <cs:dataPoint>
    <cs:lnRef idx="0">
      <cs:styleClr val="auto"/>
    </cs:lnRef>
    <cs:fillRef idx="1">
      <cs:styleClr val="auto"/>
    </cs:fillRef>
    <cs:effectRef idx="0"/>
    <cs:fontRef idx="minor">
      <a:schemeClr val="dk1"/>
    </cs:fontRef>
    <cs:spPr>
      <a:ln>
        <a:solidFill>
          <a:schemeClr val="bg1"/>
        </a:solidFill>
      </a:ln>
      <a:effectLst/>
    </cs:spPr>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lt1">
            <a:lumMod val="902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75000"/>
        <a:lumOff val="25000"/>
      </a:schemeClr>
    </cs:fontRef>
    <cs:defRPr sz="1400" b="1" kern="120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10019">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10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1000" kern="1200"/>
    <cs:bodyPr rot="0" spcFirstLastPara="1" vertOverflow="clip" horzOverflow="clip" vert="horz" wrap="square" lIns="36576" tIns="18288" rIns="36576" bIns="18288" anchor="ctr" anchorCtr="1">
      <a:spAutoFit/>
    </cs:bodyPr>
  </cs:dataLabelCallout>
  <cs:dataPoint>
    <cs:lnRef idx="0">
      <cs:styleClr val="auto"/>
    </cs:lnRef>
    <cs:fillRef idx="1">
      <cs:styleClr val="auto"/>
    </cs:fillRef>
    <cs:effectRef idx="0"/>
    <cs:fontRef idx="minor">
      <a:schemeClr val="dk1"/>
    </cs:fontRef>
    <cs:spPr>
      <a:ln>
        <a:solidFill>
          <a:schemeClr val="bg1"/>
        </a:solidFill>
      </a:ln>
      <a:effectLst/>
    </cs:spPr>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lt1">
            <a:lumMod val="902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75000"/>
        <a:lumOff val="25000"/>
      </a:schemeClr>
    </cs:fontRef>
    <cs:defRPr sz="1400" b="1" kern="120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10019">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10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1000" kern="1200"/>
    <cs:bodyPr rot="0" spcFirstLastPara="1" vertOverflow="clip" horzOverflow="clip" vert="horz" wrap="square" lIns="36576" tIns="18288" rIns="36576" bIns="18288" anchor="ctr" anchorCtr="1">
      <a:spAutoFit/>
    </cs:bodyPr>
  </cs:dataLabelCallout>
  <cs:dataPoint>
    <cs:lnRef idx="0">
      <cs:styleClr val="auto"/>
    </cs:lnRef>
    <cs:fillRef idx="1">
      <cs:styleClr val="auto"/>
    </cs:fillRef>
    <cs:effectRef idx="0"/>
    <cs:fontRef idx="minor">
      <a:schemeClr val="dk1"/>
    </cs:fontRef>
    <cs:spPr>
      <a:ln>
        <a:solidFill>
          <a:schemeClr val="bg1"/>
        </a:solidFill>
      </a:ln>
      <a:effectLst/>
    </cs:spPr>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lt1">
            <a:lumMod val="902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75000"/>
        <a:lumOff val="25000"/>
      </a:schemeClr>
    </cs:fontRef>
    <cs:defRPr sz="1400" b="1" kern="120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10019">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10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1000" kern="1200"/>
    <cs:bodyPr rot="0" spcFirstLastPara="1" vertOverflow="clip" horzOverflow="clip" vert="horz" wrap="square" lIns="36576" tIns="18288" rIns="36576" bIns="18288" anchor="ctr" anchorCtr="1">
      <a:spAutoFit/>
    </cs:bodyPr>
  </cs:dataLabelCallout>
  <cs:dataPoint>
    <cs:lnRef idx="0">
      <cs:styleClr val="auto"/>
    </cs:lnRef>
    <cs:fillRef idx="1">
      <cs:styleClr val="auto"/>
    </cs:fillRef>
    <cs:effectRef idx="0"/>
    <cs:fontRef idx="minor">
      <a:schemeClr val="dk1"/>
    </cs:fontRef>
    <cs:spPr>
      <a:ln>
        <a:solidFill>
          <a:schemeClr val="bg1"/>
        </a:solidFill>
      </a:ln>
      <a:effectLst/>
    </cs:spPr>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lt1">
            <a:lumMod val="902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75000"/>
        <a:lumOff val="25000"/>
      </a:schemeClr>
    </cs:fontRef>
    <cs:defRPr sz="1400" b="1" kern="120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10019">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10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1000" kern="1200"/>
    <cs:bodyPr rot="0" spcFirstLastPara="1" vertOverflow="clip" horzOverflow="clip" vert="horz" wrap="square" lIns="36576" tIns="18288" rIns="36576" bIns="18288" anchor="ctr" anchorCtr="1">
      <a:spAutoFit/>
    </cs:bodyPr>
  </cs:dataLabelCallout>
  <cs:dataPoint>
    <cs:lnRef idx="0">
      <cs:styleClr val="auto"/>
    </cs:lnRef>
    <cs:fillRef idx="1">
      <cs:styleClr val="auto"/>
    </cs:fillRef>
    <cs:effectRef idx="0"/>
    <cs:fontRef idx="minor">
      <a:schemeClr val="dk1"/>
    </cs:fontRef>
    <cs:spPr>
      <a:ln>
        <a:solidFill>
          <a:schemeClr val="bg1"/>
        </a:solidFill>
      </a:ln>
      <a:effectLst/>
    </cs:spPr>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lt1">
            <a:lumMod val="902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75000"/>
        <a:lumOff val="25000"/>
      </a:schemeClr>
    </cs:fontRef>
    <cs:defRPr sz="1400" b="1" kern="120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10019">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10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1000" kern="1200"/>
    <cs:bodyPr rot="0" spcFirstLastPara="1" vertOverflow="clip" horzOverflow="clip" vert="horz" wrap="square" lIns="36576" tIns="18288" rIns="36576" bIns="18288" anchor="ctr" anchorCtr="1">
      <a:spAutoFit/>
    </cs:bodyPr>
  </cs:dataLabelCallout>
  <cs:dataPoint>
    <cs:lnRef idx="0">
      <cs:styleClr val="auto"/>
    </cs:lnRef>
    <cs:fillRef idx="1">
      <cs:styleClr val="auto"/>
    </cs:fillRef>
    <cs:effectRef idx="0"/>
    <cs:fontRef idx="minor">
      <a:schemeClr val="dk1"/>
    </cs:fontRef>
    <cs:spPr>
      <a:ln>
        <a:solidFill>
          <a:schemeClr val="bg1"/>
        </a:solidFill>
      </a:ln>
      <a:effectLst/>
    </cs:spPr>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lt1">
            <a:lumMod val="902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75000"/>
        <a:lumOff val="25000"/>
      </a:schemeClr>
    </cs:fontRef>
    <cs:defRPr sz="1400" b="1" kern="120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10019">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10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1000" kern="1200"/>
    <cs:bodyPr rot="0" spcFirstLastPara="1" vertOverflow="clip" horzOverflow="clip" vert="horz" wrap="square" lIns="36576" tIns="18288" rIns="36576" bIns="18288" anchor="ctr" anchorCtr="1">
      <a:spAutoFit/>
    </cs:bodyPr>
  </cs:dataLabelCallout>
  <cs:dataPoint>
    <cs:lnRef idx="0">
      <cs:styleClr val="auto"/>
    </cs:lnRef>
    <cs:fillRef idx="1">
      <cs:styleClr val="auto"/>
    </cs:fillRef>
    <cs:effectRef idx="0"/>
    <cs:fontRef idx="minor">
      <a:schemeClr val="dk1"/>
    </cs:fontRef>
    <cs:spPr>
      <a:ln>
        <a:solidFill>
          <a:schemeClr val="bg1"/>
        </a:solidFill>
      </a:ln>
      <a:effectLst/>
    </cs:spPr>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lt1">
            <a:lumMod val="902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75000"/>
        <a:lumOff val="25000"/>
      </a:schemeClr>
    </cs:fontRef>
    <cs:defRPr sz="1400" b="1" kern="120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10019">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10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1000" kern="1200"/>
    <cs:bodyPr rot="0" spcFirstLastPara="1" vertOverflow="clip" horzOverflow="clip" vert="horz" wrap="square" lIns="36576" tIns="18288" rIns="36576" bIns="18288" anchor="ctr" anchorCtr="1">
      <a:spAutoFit/>
    </cs:bodyPr>
  </cs:dataLabelCallout>
  <cs:dataPoint>
    <cs:lnRef idx="0">
      <cs:styleClr val="auto"/>
    </cs:lnRef>
    <cs:fillRef idx="1">
      <cs:styleClr val="auto"/>
    </cs:fillRef>
    <cs:effectRef idx="0"/>
    <cs:fontRef idx="minor">
      <a:schemeClr val="dk1"/>
    </cs:fontRef>
    <cs:spPr>
      <a:ln>
        <a:solidFill>
          <a:schemeClr val="bg1"/>
        </a:solidFill>
      </a:ln>
      <a:effectLst/>
    </cs:spPr>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lt1">
            <a:lumMod val="902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75000"/>
        <a:lumOff val="25000"/>
      </a:schemeClr>
    </cs:fontRef>
    <cs:defRPr sz="1400" b="1" kern="120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10084">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cs:styleClr val="auto"/>
    </cs:fontRef>
    <cs:defRPr sz="1000" b="1" i="0" u="none" strike="noStrike" kern="1200" spc="0" baseline="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1000" kern="1200"/>
    <cs:bodyPr rot="0" spcFirstLastPara="1" vertOverflow="clip" horzOverflow="clip" vert="horz" wrap="square" lIns="36576" tIns="18288" rIns="36576" bIns="18288" anchor="ctr" anchorCtr="1">
      <a:spAutoFit/>
    </cs:bodyPr>
  </cs:dataLabelCallout>
  <cs:dataPoint>
    <cs:lnRef idx="0">
      <cs:styleClr val="auto"/>
    </cs:lnRef>
    <cs:fillRef idx="1">
      <cs:styleClr val="auto"/>
    </cs:fillRef>
    <cs:effectRef idx="0"/>
    <cs:fontRef idx="minor">
      <a:schemeClr val="dk1"/>
    </cs:fontRef>
    <cs:spPr>
      <a:ln>
        <a:solidFill>
          <a:schemeClr val="bg1"/>
        </a:solidFill>
      </a:ln>
      <a:effectLst/>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lt1">
            <a:lumMod val="902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75000"/>
        <a:lumOff val="25000"/>
      </a:schemeClr>
    </cs:fontRef>
    <cs:defRPr sz="1400" b="1" kern="120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100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10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1000" kern="1200"/>
    <cs:bodyPr rot="0" spcFirstLastPara="1" vertOverflow="clip" horzOverflow="clip" vert="horz" wrap="square" lIns="36576" tIns="18288" rIns="36576" bIns="18288" anchor="ctr" anchorCtr="1">
      <a:spAutoFit/>
    </cs:bodyPr>
  </cs:dataLabelCallout>
  <cs:dataPoint>
    <cs:lnRef idx="0">
      <cs:styleClr val="auto"/>
    </cs:lnRef>
    <cs:fillRef idx="1">
      <cs:styleClr val="auto"/>
    </cs:fillRef>
    <cs:effectRef idx="0"/>
    <cs:fontRef idx="minor">
      <a:schemeClr val="dk1"/>
    </cs:fontRef>
    <cs:spPr>
      <a:ln>
        <a:noFill/>
      </a:ln>
      <a:effectLst/>
    </cs:spPr>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lt1">
            <a:lumMod val="902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75000"/>
        <a:lumOff val="25000"/>
      </a:schemeClr>
    </cs:fontRef>
    <cs:defRPr sz="1400" b="1" kern="120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10084">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cs:styleClr val="auto"/>
    </cs:fontRef>
    <cs:defRPr sz="1000" b="1" i="0" u="none" strike="noStrike" kern="1200" spc="0" baseline="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1000" kern="1200"/>
    <cs:bodyPr rot="0" spcFirstLastPara="1" vertOverflow="clip" horzOverflow="clip" vert="horz" wrap="square" lIns="36576" tIns="18288" rIns="36576" bIns="18288" anchor="ctr" anchorCtr="1">
      <a:spAutoFit/>
    </cs:bodyPr>
  </cs:dataLabelCallout>
  <cs:dataPoint>
    <cs:lnRef idx="0">
      <cs:styleClr val="auto"/>
    </cs:lnRef>
    <cs:fillRef idx="1">
      <cs:styleClr val="auto"/>
    </cs:fillRef>
    <cs:effectRef idx="0"/>
    <cs:fontRef idx="minor">
      <a:schemeClr val="dk1"/>
    </cs:fontRef>
    <cs:spPr>
      <a:ln>
        <a:solidFill>
          <a:schemeClr val="bg1"/>
        </a:solidFill>
      </a:ln>
      <a:effectLst/>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lt1">
            <a:lumMod val="902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75000"/>
        <a:lumOff val="25000"/>
      </a:schemeClr>
    </cs:fontRef>
    <cs:defRPr sz="1400" b="1" kern="120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0CE971F-C2BB-4C0B-928D-026FE46A8537}">
  <ds:schemaRefs/>
</ds:datastoreItem>
</file>

<file path=docProps/app.xml><?xml version="1.0" encoding="utf-8"?>
<Properties xmlns="http://schemas.openxmlformats.org/officeDocument/2006/extended-properties" xmlns:vt="http://schemas.openxmlformats.org/officeDocument/2006/docPropsVTypes">
  <Template>Normal.dotm</Template>
  <Pages>79</Pages>
  <Words>3858</Words>
  <Characters>4809</Characters>
  <Lines>1</Lines>
  <Paragraphs>1</Paragraphs>
  <TotalTime>10</TotalTime>
  <ScaleCrop>false</ScaleCrop>
  <LinksUpToDate>false</LinksUpToDate>
  <CharactersWithSpaces>5131</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2024-07-08T08:05:00Z</dcterms:created>
  <dc:creator>Administrator</dc:creator>
  <cp:lastModifiedBy>吕文婷</cp:lastModifiedBy>
  <cp:lastPrinted>2024-07-09T01:56:00Z</cp:lastPrinted>
  <dcterms:modified xsi:type="dcterms:W3CDTF">2025-07-10T03:42:37Z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4E43760CB0B54377A640D56584DCC30D_13</vt:lpwstr>
  </property>
  <property fmtid="{D5CDD505-2E9C-101B-9397-08002B2CF9AE}" pid="4" name="KSOTemplateDocerSaveRecord">
    <vt:lpwstr>eyJoZGlkIjoiYzhkODk5ZmE3NWZkZmQzMDI4ZGMyN2U0NGUwNTU1NzciLCJ1c2VySWQiOiIzMjY2MjcyMjgifQ==</vt:lpwstr>
  </property>
</Properties>
</file>