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0" w:firstLineChars="200"/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247015</wp:posOffset>
            </wp:positionH>
            <wp:positionV relativeFrom="margin">
              <wp:posOffset>1200150</wp:posOffset>
            </wp:positionV>
            <wp:extent cx="5295900" cy="3695700"/>
            <wp:effectExtent l="4445" t="4445" r="14605" b="14605"/>
            <wp:wrapSquare wrapText="bothSides"/>
            <wp:docPr id="1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图1：投诉性质比例图（%）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图2：商品大类投诉量图（单位:件）</w:t>
      </w:r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430530</wp:posOffset>
            </wp:positionH>
            <wp:positionV relativeFrom="margin">
              <wp:posOffset>4217670</wp:posOffset>
            </wp:positionV>
            <wp:extent cx="5343525" cy="2867025"/>
            <wp:effectExtent l="0" t="0" r="0" b="0"/>
            <wp:wrapSquare wrapText="bothSides"/>
            <wp:docPr id="2" name="对象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spacing w:line="600" w:lineRule="exact"/>
        <w:ind w:firstLine="645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p>
      <w:pPr>
        <w:widowControl/>
        <w:spacing w:line="600" w:lineRule="exact"/>
        <w:ind w:firstLine="704" w:firstLineChars="220"/>
        <w:jc w:val="center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center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center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center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center"/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center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图3  服务大类投诉量图（单位：件）</w:t>
      </w: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132715</wp:posOffset>
            </wp:positionH>
            <wp:positionV relativeFrom="paragraph">
              <wp:posOffset>-50800</wp:posOffset>
            </wp:positionV>
            <wp:extent cx="5486400" cy="3657600"/>
            <wp:effectExtent l="0" t="0" r="0" b="0"/>
            <wp:wrapNone/>
            <wp:docPr id="3" name="对象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600" w:lineRule="exact"/>
        <w:ind w:firstLine="704" w:firstLineChars="220"/>
        <w:jc w:val="left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5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5A577BB"/>
    <w:rsid w:val="36987F37"/>
    <w:rsid w:val="36A91D74"/>
    <w:rsid w:val="379949F2"/>
    <w:rsid w:val="384C5036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6C603C2"/>
    <w:rsid w:val="46D80051"/>
    <w:rsid w:val="46ED5E37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投诉量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Lbls>
            <c:dLbl>
              <c:idx val="0"/>
              <c:layout>
                <c:manualLayout>
                  <c:x val="-0.00219610322432324"/>
                  <c:y val="-0.2285931248885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28937486828745"/>
                  <c:y val="0.1057363096603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20403663045769"/>
                  <c:y val="0.064769003389139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0388757974596255"/>
                  <c:y val="-0.057676783120556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310289863402111"/>
                  <c:y val="-0.020703055321968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802136138092226"/>
                  <c:y val="-0.0279221772035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73851370768435"/>
                  <c:y val="-0.066113956629207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459138120555448"/>
                  <c:y val="-0.092774382223201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217081441462158"/>
                  <c:y val="-0.105550034401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648876372205324"/>
                  <c:y val="-0.089356827969320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Sheet1!$A$2:$A$11</c:f>
              <c:strCache>
                <c:ptCount val="10"/>
                <c:pt idx="0">
                  <c:v>质量</c:v>
                </c:pt>
                <c:pt idx="1">
                  <c:v>售后服务</c:v>
                </c:pt>
                <c:pt idx="2">
                  <c:v>价格</c:v>
                </c:pt>
                <c:pt idx="3">
                  <c:v>合同</c:v>
                </c:pt>
                <c:pt idx="4">
                  <c:v>安全</c:v>
                </c:pt>
                <c:pt idx="5">
                  <c:v>虚假宣传</c:v>
                </c:pt>
                <c:pt idx="6">
                  <c:v>其他</c:v>
                </c:pt>
                <c:pt idx="7">
                  <c:v>计量</c:v>
                </c:pt>
                <c:pt idx="8">
                  <c:v>假冒</c:v>
                </c:pt>
                <c:pt idx="9">
                  <c:v>人格尊严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23809</c:v>
                </c:pt>
                <c:pt idx="1">
                  <c:v>12115</c:v>
                </c:pt>
                <c:pt idx="2">
                  <c:v>8315</c:v>
                </c:pt>
                <c:pt idx="3">
                  <c:v>7099</c:v>
                </c:pt>
                <c:pt idx="4">
                  <c:v>5458</c:v>
                </c:pt>
                <c:pt idx="5">
                  <c:v>5406</c:v>
                </c:pt>
                <c:pt idx="6">
                  <c:v>3169</c:v>
                </c:pt>
                <c:pt idx="7">
                  <c:v>1598</c:v>
                </c:pt>
                <c:pt idx="8">
                  <c:v>1052</c:v>
                </c:pt>
                <c:pt idx="9">
                  <c:v>449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853711735230957"/>
          <c:y val="0.0643388181128522"/>
          <c:w val="0.884341637010689"/>
          <c:h val="0.5757575757575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00374340907921269"/>
                  <c:y val="-0.30012260095395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>
                      <a:defRPr lang="zh-CN" sz="880" b="0" i="0" u="none" strike="noStrike" kern="1200" baseline="0">
                        <a:solidFill>
                          <a:srgbClr val="000000"/>
                        </a:solidFill>
                        <a:latin typeface="宋体" panose="02010600030101010101" charset="-122"/>
                        <a:ea typeface="宋体" panose="02010600030101010101" charset="-122"/>
                        <a:cs typeface="宋体" panose="02010600030101010101" charset="-122"/>
                      </a:defRPr>
                    </a:pPr>
                    <a:r>
                      <a:rPr lang="en-US" altLang="en-US" sz="880"/>
                      <a:t>10556</a:t>
                    </a:r>
                    <a:endParaRPr lang="en-US" altLang="en-US" sz="880"/>
                  </a:p>
                </c:rich>
              </c:tx>
              <c:numFmt formatCode="General" sourceLinked="1"/>
              <c:spPr>
                <a:solidFill>
                  <a:srgbClr val="FFFFFF"/>
                </a:solidFill>
                <a:ln w="25400"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880" b="0" i="0" u="none" strike="noStrike" kern="1200" baseline="0">
                      <a:solidFill>
                        <a:srgbClr val="000000"/>
                      </a:solidFill>
                      <a:latin typeface="宋体" panose="02010600030101010101" charset="-122"/>
                      <a:ea typeface="宋体" panose="02010600030101010101" charset="-122"/>
                      <a:cs typeface="宋体" panose="02010600030101010101" charset="-122"/>
                    </a:defRPr>
                  </a:pPr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341963511032631"/>
                  <c:y val="-0.19919656979647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131673380399643"/>
                  <c:y val="-0.19086125862174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231438984565432"/>
                  <c:y val="-0.15424769578221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0808839213663708"/>
                  <c:y val="-0.1238860742256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40439597456735"/>
                  <c:y val="-0.11510607685667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194122793474345"/>
                  <c:y val="-0.0976224483567461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161749115267734"/>
                  <c:y val="-0.09685541398827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0108261868335977"/>
                  <c:y val="-0.083347372276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00498075659333179"/>
                  <c:y val="-0.05236926364452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875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Sheet1!$B$1:$M$1</c:f>
              <c:strCache>
                <c:ptCount val="10"/>
                <c:pt idx="0">
                  <c:v>食品类</c:v>
                </c:pt>
                <c:pt idx="1">
                  <c:v>家用电子电器类</c:v>
                </c:pt>
                <c:pt idx="2">
                  <c:v>服装鞋帽类</c:v>
                </c:pt>
                <c:pt idx="3">
                  <c:v>日用商品类</c:v>
                </c:pt>
                <c:pt idx="4">
                  <c:v>房屋及建材类</c:v>
                </c:pt>
                <c:pt idx="5">
                  <c:v>医药及医疗用品类</c:v>
                </c:pt>
                <c:pt idx="6">
                  <c:v>首饰及文体类</c:v>
                </c:pt>
                <c:pt idx="7">
                  <c:v>交通工具类</c:v>
                </c:pt>
                <c:pt idx="8">
                  <c:v>烟、酒和饮料类</c:v>
                </c:pt>
                <c:pt idx="9">
                  <c:v>农用生产资料类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10556</c:v>
                </c:pt>
                <c:pt idx="1">
                  <c:v>6355</c:v>
                </c:pt>
                <c:pt idx="2">
                  <c:v>6300</c:v>
                </c:pt>
                <c:pt idx="3">
                  <c:v>4484</c:v>
                </c:pt>
                <c:pt idx="4">
                  <c:v>3275</c:v>
                </c:pt>
                <c:pt idx="5">
                  <c:v>2491</c:v>
                </c:pt>
                <c:pt idx="6">
                  <c:v>2103</c:v>
                </c:pt>
                <c:pt idx="7">
                  <c:v>2056</c:v>
                </c:pt>
                <c:pt idx="8">
                  <c:v>1810</c:v>
                </c:pt>
                <c:pt idx="9">
                  <c:v>320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33458048"/>
        <c:axId val="333463936"/>
      </c:barChart>
      <c:catAx>
        <c:axId val="3334580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2460000" spcFirstLastPara="0" vertOverflow="ellipsis" vert="horz" wrap="square" anchor="ctr" anchorCtr="1"/>
          <a:lstStyle/>
          <a:p>
            <a:pPr>
              <a:defRPr lang="zh-CN" sz="9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333463936"/>
        <c:crosses val="autoZero"/>
        <c:auto val="1"/>
        <c:lblAlgn val="ctr"/>
        <c:lblOffset val="100"/>
        <c:tickLblSkip val="1"/>
        <c:noMultiLvlLbl val="0"/>
      </c:catAx>
      <c:valAx>
        <c:axId val="33346393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975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3334580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18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77679352581"/>
          <c:y val="0.038644739720035"/>
          <c:w val="0.852596314907873"/>
          <c:h val="0.6599423631123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9CC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0.00253116797900262"/>
                  <c:y val="-0.3347006233595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0284576407115777"/>
                  <c:y val="-0.19093257874015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0328266258384369"/>
                  <c:y val="-0.12465578521434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164916885389326"/>
                  <c:y val="-0.11060258092738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0272637795275591"/>
                  <c:y val="-0.09101213910761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186187664041995"/>
                  <c:y val="-0.059853455818022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615941236512103"/>
                  <c:y val="-0.052817421259842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0492144211140274"/>
                  <c:y val="-0.048816983814523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356135170603675"/>
                  <c:y val="-0.051687992125984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296314523184611"/>
                  <c:y val="-0.05196276246719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00172517497812773"/>
                  <c:y val="-0.049997812773403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00511683435403908"/>
                  <c:y val="-0.035060148731408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0.00220363079615049"/>
                  <c:y val="-0.0372599518810149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rgbClr val="FFFFFF"/>
              </a:solidFill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75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Sheet1!$B$1:$N$1</c:f>
              <c:strCache>
                <c:ptCount val="13"/>
                <c:pt idx="0">
                  <c:v>生活、社会服务类</c:v>
                </c:pt>
                <c:pt idx="1">
                  <c:v>销售服务</c:v>
                </c:pt>
                <c:pt idx="2">
                  <c:v>房屋装修及物业服务</c:v>
                </c:pt>
                <c:pt idx="3">
                  <c:v>文化、娱乐、体育服务</c:v>
                </c:pt>
                <c:pt idx="4">
                  <c:v>教育培训服务</c:v>
                </c:pt>
                <c:pt idx="5">
                  <c:v>公共设施服务</c:v>
                </c:pt>
                <c:pt idx="6">
                  <c:v>通信服务</c:v>
                </c:pt>
                <c:pt idx="7">
                  <c:v>旅游服务</c:v>
                </c:pt>
                <c:pt idx="8">
                  <c:v>互联网服务</c:v>
                </c:pt>
                <c:pt idx="9">
                  <c:v>卫生保健服务</c:v>
                </c:pt>
                <c:pt idx="10">
                  <c:v>邮政业服务</c:v>
                </c:pt>
                <c:pt idx="11">
                  <c:v>保险服务</c:v>
                </c:pt>
                <c:pt idx="12">
                  <c:v>银行服务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10808</c:v>
                </c:pt>
                <c:pt idx="1">
                  <c:v>5501</c:v>
                </c:pt>
                <c:pt idx="2">
                  <c:v>2692</c:v>
                </c:pt>
                <c:pt idx="3">
                  <c:v>2434</c:v>
                </c:pt>
                <c:pt idx="4">
                  <c:v>1873</c:v>
                </c:pt>
                <c:pt idx="5">
                  <c:v>917</c:v>
                </c:pt>
                <c:pt idx="6">
                  <c:v>646</c:v>
                </c:pt>
                <c:pt idx="7">
                  <c:v>463</c:v>
                </c:pt>
                <c:pt idx="8">
                  <c:v>429</c:v>
                </c:pt>
                <c:pt idx="9">
                  <c:v>307</c:v>
                </c:pt>
                <c:pt idx="10">
                  <c:v>222</c:v>
                </c:pt>
                <c:pt idx="11">
                  <c:v>50</c:v>
                </c:pt>
                <c:pt idx="12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85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Sheet1!$B$1:$N$1</c:f>
              <c:strCache>
                <c:ptCount val="13"/>
                <c:pt idx="0">
                  <c:v>生活、社会服务类</c:v>
                </c:pt>
                <c:pt idx="1">
                  <c:v>销售服务</c:v>
                </c:pt>
                <c:pt idx="2">
                  <c:v>房屋装修及物业服务</c:v>
                </c:pt>
                <c:pt idx="3">
                  <c:v>文化、娱乐、体育服务</c:v>
                </c:pt>
                <c:pt idx="4">
                  <c:v>教育培训服务</c:v>
                </c:pt>
                <c:pt idx="5">
                  <c:v>公共设施服务</c:v>
                </c:pt>
                <c:pt idx="6">
                  <c:v>通信服务</c:v>
                </c:pt>
                <c:pt idx="7">
                  <c:v>旅游服务</c:v>
                </c:pt>
                <c:pt idx="8">
                  <c:v>互联网服务</c:v>
                </c:pt>
                <c:pt idx="9">
                  <c:v>卫生保健服务</c:v>
                </c:pt>
                <c:pt idx="10">
                  <c:v>邮政业服务</c:v>
                </c:pt>
                <c:pt idx="11">
                  <c:v>保险服务</c:v>
                </c:pt>
                <c:pt idx="12">
                  <c:v>银行服务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85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Sheet1!$B$1:$N$1</c:f>
              <c:strCache>
                <c:ptCount val="13"/>
                <c:pt idx="0">
                  <c:v>生活、社会服务类</c:v>
                </c:pt>
                <c:pt idx="1">
                  <c:v>销售服务</c:v>
                </c:pt>
                <c:pt idx="2">
                  <c:v>房屋装修及物业服务</c:v>
                </c:pt>
                <c:pt idx="3">
                  <c:v>文化、娱乐、体育服务</c:v>
                </c:pt>
                <c:pt idx="4">
                  <c:v>教育培训服务</c:v>
                </c:pt>
                <c:pt idx="5">
                  <c:v>公共设施服务</c:v>
                </c:pt>
                <c:pt idx="6">
                  <c:v>通信服务</c:v>
                </c:pt>
                <c:pt idx="7">
                  <c:v>旅游服务</c:v>
                </c:pt>
                <c:pt idx="8">
                  <c:v>互联网服务</c:v>
                </c:pt>
                <c:pt idx="9">
                  <c:v>卫生保健服务</c:v>
                </c:pt>
                <c:pt idx="10">
                  <c:v>邮政业服务</c:v>
                </c:pt>
                <c:pt idx="11">
                  <c:v>保险服务</c:v>
                </c:pt>
                <c:pt idx="12">
                  <c:v>银行服务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850" b="0" i="0" u="none" strike="noStrike" kern="1200" baseline="0">
                    <a:solidFill>
                      <a:srgbClr val="000000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Sheet1!$B$1:$N$1</c:f>
              <c:strCache>
                <c:ptCount val="13"/>
                <c:pt idx="0">
                  <c:v>生活、社会服务类</c:v>
                </c:pt>
                <c:pt idx="1">
                  <c:v>销售服务</c:v>
                </c:pt>
                <c:pt idx="2">
                  <c:v>房屋装修及物业服务</c:v>
                </c:pt>
                <c:pt idx="3">
                  <c:v>文化、娱乐、体育服务</c:v>
                </c:pt>
                <c:pt idx="4">
                  <c:v>教育培训服务</c:v>
                </c:pt>
                <c:pt idx="5">
                  <c:v>公共设施服务</c:v>
                </c:pt>
                <c:pt idx="6">
                  <c:v>通信服务</c:v>
                </c:pt>
                <c:pt idx="7">
                  <c:v>旅游服务</c:v>
                </c:pt>
                <c:pt idx="8">
                  <c:v>互联网服务</c:v>
                </c:pt>
                <c:pt idx="9">
                  <c:v>卫生保健服务</c:v>
                </c:pt>
                <c:pt idx="10">
                  <c:v>邮政业服务</c:v>
                </c:pt>
                <c:pt idx="11">
                  <c:v>保险服务</c:v>
                </c:pt>
                <c:pt idx="12">
                  <c:v>银行服务</c:v>
                </c:pt>
              </c:strCache>
            </c:strRef>
          </c:cat>
          <c:val>
            <c:numRef>
              <c:f>Sheet1!$B$5:$N$5</c:f>
              <c:numCache>
                <c:formatCode>General</c:formatCode>
                <c:ptCount val="1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33504512"/>
        <c:axId val="333506048"/>
      </c:barChart>
      <c:catAx>
        <c:axId val="3335045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-27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333506048"/>
        <c:crosses val="autoZero"/>
        <c:auto val="1"/>
        <c:lblAlgn val="ctr"/>
        <c:lblOffset val="100"/>
        <c:tickLblSkip val="1"/>
        <c:noMultiLvlLbl val="0"/>
      </c:catAx>
      <c:valAx>
        <c:axId val="3335060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rgbClr val="000000"/>
              </a:solidFill>
              <a:prstDash val="solid"/>
              <a:round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rgbClr val="000000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33350451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zh-CN" sz="1725" b="0" i="0" u="none" strike="noStrike" baseline="0">
          <a:solidFill>
            <a:srgbClr val="000000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1</TotalTime>
  <ScaleCrop>false</ScaleCrop>
  <LinksUpToDate>false</LinksUpToDate>
  <CharactersWithSpaces>347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2024-02-05T02:05:45Z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D6E944EE7C634BF08324A9CBCF86E6EE_13</vt:lpwstr>
  </property>
</Properties>
</file>