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5"/>
        <w:shd w:val="clear" w:color="auto" w:fill="FFFFFF"/>
        <w:snapToGrid w:val="0"/>
        <w:spacing w:before="0" w:beforeAutospacing="0" w:after="0" w:afterAutospacing="0"/>
        <w:ind w:right="641"/>
        <w:rPr>
          <w:rFonts w:ascii="方正黑体简体" w:eastAsia="方正黑体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简体" w:eastAsia="方正黑体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</w:p>
    <w:p>
      <w:pPr>
        <w:pStyle w:val="1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612"/>
        <w:jc w:val="center"/>
        <w:textAlignment w:val="auto"/>
        <w:rPr>
          <w:rFonts w:hint="eastAsia" w:ascii="方正小标宋简体" w:eastAsia="方正小标宋简体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eastAsia="方正小标宋简体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方正小标宋简体" w:eastAsia="方正小标宋简体"/>
          <w:color w:val="000000" w:themeColor="text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方正小标宋简体" w:eastAsia="方正小标宋简体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>年度地方标准制修订项目立项计划（第</w:t>
      </w:r>
      <w:r>
        <w:rPr>
          <w:rFonts w:hint="eastAsia" w:ascii="方正小标宋简体" w:eastAsia="方正小标宋简体"/>
          <w:color w:val="000000" w:themeColor="text1"/>
          <w:sz w:val="40"/>
          <w:szCs w:val="40"/>
          <w:lang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方正小标宋简体" w:eastAsia="方正小标宋简体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>批）汇总表</w:t>
      </w:r>
    </w:p>
    <w:bookmarkEnd w:id="0"/>
    <w:tbl>
      <w:tblPr>
        <w:tblStyle w:val="8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1"/>
        <w:gridCol w:w="4558"/>
        <w:gridCol w:w="975"/>
        <w:gridCol w:w="1"/>
        <w:gridCol w:w="2475"/>
        <w:gridCol w:w="4"/>
        <w:gridCol w:w="70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标准名称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制修订</w:t>
            </w:r>
          </w:p>
        </w:tc>
        <w:tc>
          <w:tcPr>
            <w:tcW w:w="79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项目归口单位</w:t>
            </w:r>
          </w:p>
        </w:tc>
        <w:tc>
          <w:tcPr>
            <w:tcW w:w="225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主要起草单位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川产道地药材生产技术规程 甘松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制定</w:t>
            </w:r>
          </w:p>
        </w:tc>
        <w:tc>
          <w:tcPr>
            <w:tcW w:w="2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四川省中医药管理局</w:t>
            </w:r>
          </w:p>
        </w:tc>
        <w:tc>
          <w:tcPr>
            <w:tcW w:w="70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四川省草原科学研究院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川产道地药材生产技术规程 佛手（川佛手）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制定</w:t>
            </w:r>
          </w:p>
        </w:tc>
        <w:tc>
          <w:tcPr>
            <w:tcW w:w="2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四川省中医药管理局</w:t>
            </w:r>
          </w:p>
        </w:tc>
        <w:tc>
          <w:tcPr>
            <w:tcW w:w="70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四川省农业科学院经济作物研究所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高寒草地生态修复碳汇核算技术规范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制定</w:t>
            </w:r>
          </w:p>
        </w:tc>
        <w:tc>
          <w:tcPr>
            <w:tcW w:w="2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四川省自然资源厅</w:t>
            </w:r>
          </w:p>
        </w:tc>
        <w:tc>
          <w:tcPr>
            <w:tcW w:w="70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四川省核地质调查研究所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城市生态系统温室气体清除碳汇核算技术规范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制定</w:t>
            </w:r>
          </w:p>
        </w:tc>
        <w:tc>
          <w:tcPr>
            <w:tcW w:w="2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四川省林草局</w:t>
            </w:r>
          </w:p>
        </w:tc>
        <w:tc>
          <w:tcPr>
            <w:tcW w:w="70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四川天府新区生态环境和城市管理局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城市湿地水生态修复成效评估技术规范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制定</w:t>
            </w:r>
          </w:p>
        </w:tc>
        <w:tc>
          <w:tcPr>
            <w:tcW w:w="2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四川省林草局</w:t>
            </w:r>
          </w:p>
        </w:tc>
        <w:tc>
          <w:tcPr>
            <w:tcW w:w="70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四川省自然资源科学研究院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四川省工业园区新污染物调查评估技术规范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制定</w:t>
            </w:r>
          </w:p>
        </w:tc>
        <w:tc>
          <w:tcPr>
            <w:tcW w:w="2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四川省生态环境厅</w:t>
            </w:r>
          </w:p>
        </w:tc>
        <w:tc>
          <w:tcPr>
            <w:tcW w:w="70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四川省生态环境科学研究院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四川省美丽河湖保护与建设成效评价指南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制定</w:t>
            </w:r>
          </w:p>
        </w:tc>
        <w:tc>
          <w:tcPr>
            <w:tcW w:w="2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四川省生态环境厅</w:t>
            </w:r>
          </w:p>
        </w:tc>
        <w:tc>
          <w:tcPr>
            <w:tcW w:w="70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四川省生态环境科学研究院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四川省汽车维修行业大气污染物排放标准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制定</w:t>
            </w:r>
          </w:p>
        </w:tc>
        <w:tc>
          <w:tcPr>
            <w:tcW w:w="2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四川省生态环境厅</w:t>
            </w:r>
          </w:p>
        </w:tc>
        <w:tc>
          <w:tcPr>
            <w:tcW w:w="70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四川省生态环境科学研究院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抗生素环境耐药风险调查技术规范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制定</w:t>
            </w:r>
          </w:p>
        </w:tc>
        <w:tc>
          <w:tcPr>
            <w:tcW w:w="2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四川省生态环境厅</w:t>
            </w:r>
          </w:p>
        </w:tc>
        <w:tc>
          <w:tcPr>
            <w:tcW w:w="70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四川省固体废物与化学品管理中心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产品碳足迹评价技术规范 草甘膦原药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制定</w:t>
            </w:r>
          </w:p>
        </w:tc>
        <w:tc>
          <w:tcPr>
            <w:tcW w:w="2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四川省成都海关</w:t>
            </w:r>
          </w:p>
        </w:tc>
        <w:tc>
          <w:tcPr>
            <w:tcW w:w="70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福华通达化学股份公司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产品碳足迹评价技术规范 电池级碳酸锂、氢氧化锂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制定</w:t>
            </w:r>
          </w:p>
        </w:tc>
        <w:tc>
          <w:tcPr>
            <w:tcW w:w="2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四川省商务厅</w:t>
            </w:r>
          </w:p>
        </w:tc>
        <w:tc>
          <w:tcPr>
            <w:tcW w:w="70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四川省国际经济贸易研究所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设施农业土壤熏蒸消毒技术规程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四川省农业农村厅</w:t>
            </w:r>
          </w:p>
        </w:tc>
        <w:tc>
          <w:tcPr>
            <w:tcW w:w="7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四川省农业科学院植物保护研究所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4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柑橘木虱普查与综合防控技术规程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四川省农业农村厅</w:t>
            </w:r>
          </w:p>
        </w:tc>
        <w:tc>
          <w:tcPr>
            <w:tcW w:w="7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四川省农业科学院植物保护研究所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4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水稻再生力鉴定技术规范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四川省农业农村厅</w:t>
            </w:r>
          </w:p>
        </w:tc>
        <w:tc>
          <w:tcPr>
            <w:tcW w:w="7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四川省农业科学院水稻高粱研究所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姜黄挖掘机设计规范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四川省经济和信息化厅</w:t>
            </w:r>
          </w:p>
        </w:tc>
        <w:tc>
          <w:tcPr>
            <w:tcW w:w="7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四川省机械研究设计院（集团）有限公司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4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农用无人飞机施药施肥作业技术规程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四川省农业农村厅</w:t>
            </w:r>
          </w:p>
        </w:tc>
        <w:tc>
          <w:tcPr>
            <w:tcW w:w="7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四川省农业机械化发展推广中心（四川省机电排灌推广总站）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4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猕猴桃雄花粉脱除溃疡病菌生产技术规程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四川省农业农村厅</w:t>
            </w:r>
          </w:p>
        </w:tc>
        <w:tc>
          <w:tcPr>
            <w:tcW w:w="7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四川农业大学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4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带状复合种植大豆种质耐荫性鉴定技术规程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四川省农业农村厅</w:t>
            </w:r>
          </w:p>
        </w:tc>
        <w:tc>
          <w:tcPr>
            <w:tcW w:w="7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四川农业大学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4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淫羊藿林下种植技术规程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四川省林草局</w:t>
            </w:r>
          </w:p>
        </w:tc>
        <w:tc>
          <w:tcPr>
            <w:tcW w:w="7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四川省林业科学研究院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造林碳普惠核算与监测技术规范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四川省林草局</w:t>
            </w:r>
          </w:p>
        </w:tc>
        <w:tc>
          <w:tcPr>
            <w:tcW w:w="7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四川省林业和草原调查规划院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4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八月竹笋用林培育技术规程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四川省林草局</w:t>
            </w:r>
          </w:p>
        </w:tc>
        <w:tc>
          <w:tcPr>
            <w:tcW w:w="7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四川省自然资源科学研究院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4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大型无人机人工增雨（雪）作业规程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四川省气象局</w:t>
            </w:r>
          </w:p>
        </w:tc>
        <w:tc>
          <w:tcPr>
            <w:tcW w:w="7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四川省人工影响天气办公室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4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基层气象防灾减灾地图编绘规范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四川省气象局</w:t>
            </w:r>
          </w:p>
        </w:tc>
        <w:tc>
          <w:tcPr>
            <w:tcW w:w="7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彭州市气象局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4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地震灾害损失预评估规范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四川省地震局</w:t>
            </w:r>
          </w:p>
        </w:tc>
        <w:tc>
          <w:tcPr>
            <w:tcW w:w="7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四川省地震应急服务中心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4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应急广播预警信息呈现规范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四川省广播电视局</w:t>
            </w:r>
          </w:p>
        </w:tc>
        <w:tc>
          <w:tcPr>
            <w:tcW w:w="7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四川省广播电视科学技术研究所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4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地质灾害治理工程（试）运行效果监测规范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四川省自然资源厅</w:t>
            </w:r>
          </w:p>
        </w:tc>
        <w:tc>
          <w:tcPr>
            <w:tcW w:w="7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四川省国土空间生态修复与地质灾害防治研究院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4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单晶硅单位产品能源消耗限额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四川省发展和改革委员会</w:t>
            </w:r>
          </w:p>
        </w:tc>
        <w:tc>
          <w:tcPr>
            <w:tcW w:w="7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四川省工业环境监测研究院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4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Ti3C2Tx MXene防腐耐磨涂料生产技术通则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四川省经济和信息化厅</w:t>
            </w:r>
          </w:p>
        </w:tc>
        <w:tc>
          <w:tcPr>
            <w:tcW w:w="7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西南交通大学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4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薄壁金属构件激光电弧增减材复合制造 工艺规范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四川省经济和信息化厅</w:t>
            </w:r>
          </w:p>
        </w:tc>
        <w:tc>
          <w:tcPr>
            <w:tcW w:w="7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四川省增材制造技术协会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4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基于PECVD工艺的TOPCon电池制备技术通则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四川省经济和信息化厅</w:t>
            </w:r>
          </w:p>
        </w:tc>
        <w:tc>
          <w:tcPr>
            <w:tcW w:w="7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通威太阳能（成都）有限公司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4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电弧炉冶炼含钒钛渣钢、渣铁单位产品能源消耗限额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四川省经济和信息化厅</w:t>
            </w:r>
          </w:p>
        </w:tc>
        <w:tc>
          <w:tcPr>
            <w:tcW w:w="7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攀西钒钛检验检测院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4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企业重点用能设备更新改造规范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四川省经济和信息化厅</w:t>
            </w:r>
          </w:p>
        </w:tc>
        <w:tc>
          <w:tcPr>
            <w:tcW w:w="7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四川省工业环境监测研究院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4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纯电动商用车换电场站技术规范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四川省经济和信息化厅</w:t>
            </w:r>
          </w:p>
        </w:tc>
        <w:tc>
          <w:tcPr>
            <w:tcW w:w="7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蜀道投资集团有限责任公司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4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炉灶用合成液体燃料经营管理规范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四川省经济和信息化厅</w:t>
            </w:r>
          </w:p>
        </w:tc>
        <w:tc>
          <w:tcPr>
            <w:tcW w:w="7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四川省产品质量监督检验检测院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4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液化石油气快速筛查通则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四川省经济和信息化厅</w:t>
            </w:r>
          </w:p>
        </w:tc>
        <w:tc>
          <w:tcPr>
            <w:tcW w:w="7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四川省产品质量监督检验检测院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4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电动自行车用锂离子蓄电池维修保养规范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四川省经济和信息化厅</w:t>
            </w:r>
          </w:p>
        </w:tc>
        <w:tc>
          <w:tcPr>
            <w:tcW w:w="7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四川省产品质量监督检验检测院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4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锂离子电池检测产生的废弃物管理规范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四川省产品质量监督检验检测院</w:t>
            </w:r>
          </w:p>
        </w:tc>
        <w:tc>
          <w:tcPr>
            <w:tcW w:w="7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四川省产品质量监督检验检测院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4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卫星遥感解译样本数据库建设规范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四川省测绘地理信息局</w:t>
            </w:r>
          </w:p>
        </w:tc>
        <w:tc>
          <w:tcPr>
            <w:tcW w:w="7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自然资源部第三地理信息制图院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4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四川省自然资源综合动态监测技术规范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四川省自然资源厅</w:t>
            </w:r>
          </w:p>
        </w:tc>
        <w:tc>
          <w:tcPr>
            <w:tcW w:w="7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四川省国土科学技术研究院（四川省卫星应用技术中心）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4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四川省村规划指南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四川省自然资源厅</w:t>
            </w:r>
          </w:p>
        </w:tc>
        <w:tc>
          <w:tcPr>
            <w:tcW w:w="7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四川省国土空间规划研究院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4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山坪塘综合整治技术规范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四川省水利厅</w:t>
            </w:r>
          </w:p>
        </w:tc>
        <w:tc>
          <w:tcPr>
            <w:tcW w:w="7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四川省农村水利中心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4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四川省水利江河湖泊类对象编码规范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四川省水利厅</w:t>
            </w:r>
          </w:p>
        </w:tc>
        <w:tc>
          <w:tcPr>
            <w:tcW w:w="7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四川省水利科学研究院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4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四川省河流（湖库）健康评价指南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四川省水利厅</w:t>
            </w:r>
          </w:p>
        </w:tc>
        <w:tc>
          <w:tcPr>
            <w:tcW w:w="7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四川省河湖保护和监管事务中心（四川省农村水电中心）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4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四川省灌区量水设施设备建设指南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四川省水利厅</w:t>
            </w:r>
          </w:p>
        </w:tc>
        <w:tc>
          <w:tcPr>
            <w:tcW w:w="7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四川省都江堰水利发展中心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4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水质 高氯酸盐的测定 离子色谱法和高效液相色谱-质谱法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四川省生态环境厅</w:t>
            </w:r>
          </w:p>
        </w:tc>
        <w:tc>
          <w:tcPr>
            <w:tcW w:w="7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四川省生态环境监测总站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4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公共数据资源管理 第2部分：数据资源归集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制定</w:t>
            </w:r>
          </w:p>
        </w:tc>
        <w:tc>
          <w:tcPr>
            <w:tcW w:w="2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</w:t>
            </w: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省大数据中心</w:t>
            </w:r>
          </w:p>
        </w:tc>
        <w:tc>
          <w:tcPr>
            <w:tcW w:w="70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</w:t>
            </w: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省大数据中心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4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公共数据资源管理 第3部分：数据资源登记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制定</w:t>
            </w:r>
          </w:p>
        </w:tc>
        <w:tc>
          <w:tcPr>
            <w:tcW w:w="2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</w:t>
            </w: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省大数据中心</w:t>
            </w:r>
          </w:p>
        </w:tc>
        <w:tc>
          <w:tcPr>
            <w:tcW w:w="70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</w:t>
            </w: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省大数据中心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公共资源交易见证服务规范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制定</w:t>
            </w:r>
          </w:p>
        </w:tc>
        <w:tc>
          <w:tcPr>
            <w:tcW w:w="2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四川省政府政务服务和公共资源交易服务中心</w:t>
            </w:r>
          </w:p>
        </w:tc>
        <w:tc>
          <w:tcPr>
            <w:tcW w:w="70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四川省政府政务服务和公共资源交易服务中心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基层公共就业创业服务站点服务规范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制定</w:t>
            </w:r>
          </w:p>
        </w:tc>
        <w:tc>
          <w:tcPr>
            <w:tcW w:w="2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四川省人力资源社会保障厅</w:t>
            </w:r>
          </w:p>
        </w:tc>
        <w:tc>
          <w:tcPr>
            <w:tcW w:w="70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成都市温江区就业服务管理局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产业数据要素确权信息技术规范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制定</w:t>
            </w:r>
          </w:p>
        </w:tc>
        <w:tc>
          <w:tcPr>
            <w:tcW w:w="2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四川省经济和信息化厅</w:t>
            </w:r>
          </w:p>
        </w:tc>
        <w:tc>
          <w:tcPr>
            <w:tcW w:w="70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成都工业学院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儿童口腔数据资源管理规范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制定</w:t>
            </w:r>
          </w:p>
        </w:tc>
        <w:tc>
          <w:tcPr>
            <w:tcW w:w="2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四川省卫生健康委</w:t>
            </w:r>
          </w:p>
        </w:tc>
        <w:tc>
          <w:tcPr>
            <w:tcW w:w="70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四川大学华西口腔医院</w:t>
            </w:r>
          </w:p>
        </w:tc>
      </w:tr>
    </w:tbl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footerReference r:id="rId4" w:type="even"/>
      <w:pgSz w:w="16838" w:h="11906" w:orient="landscape"/>
      <w:pgMar w:top="550" w:right="720" w:bottom="720" w:left="720" w:header="851" w:footer="992" w:gutter="0"/>
      <w:pgNumType w:fmt="numberInDash"/>
      <w:cols w:space="0" w:num="1"/>
      <w:docGrid w:type="linesAndChars" w:linePitch="43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right"/>
      <w:rPr>
        <w:rFonts w:ascii="方正仿宋简体" w:eastAsia="方正仿宋简体"/>
        <w:sz w:val="21"/>
        <w:szCs w:val="21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2105154997"/>
                          </w:sdtPr>
                          <w:sdtEndPr>
                            <w:rPr>
                              <w:rFonts w:hint="eastAsia" w:ascii="方正仿宋简体" w:eastAsia="方正仿宋简体"/>
                              <w:sz w:val="21"/>
                              <w:szCs w:val="21"/>
                            </w:rPr>
                          </w:sdtEndPr>
                          <w:sdtContent>
                            <w:p>
                              <w:pPr>
                                <w:pStyle w:val="6"/>
                                <w:jc w:val="right"/>
                                <w:rPr>
                                  <w:rFonts w:ascii="方正仿宋简体" w:eastAsia="方正仿宋简体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方正仿宋简体" w:eastAsia="方正仿宋简体"/>
                                  <w:sz w:val="21"/>
                                  <w:szCs w:val="21"/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 w:ascii="方正仿宋简体" w:eastAsia="方正仿宋简体"/>
                                  <w:sz w:val="21"/>
                                  <w:szCs w:val="21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hint="eastAsia" w:ascii="方正仿宋简体" w:eastAsia="方正仿宋简体"/>
                                  <w:sz w:val="21"/>
                                  <w:szCs w:val="21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方正仿宋简体" w:eastAsia="方正仿宋简体"/>
                                  <w:sz w:val="21"/>
                                  <w:szCs w:val="21"/>
                                  <w:lang w:val="zh-CN"/>
                                </w:rPr>
                                <w:t>-</w:t>
                              </w:r>
                              <w:r>
                                <w:rPr>
                                  <w:rFonts w:ascii="方正仿宋简体" w:eastAsia="方正仿宋简体"/>
                                  <w:sz w:val="21"/>
                                  <w:szCs w:val="21"/>
                                </w:rPr>
                                <w:t xml:space="preserve"> 1 -</w:t>
                              </w:r>
                              <w:r>
                                <w:rPr>
                                  <w:rFonts w:hint="eastAsia" w:ascii="方正仿宋简体" w:eastAsia="方正仿宋简体"/>
                                  <w:sz w:val="21"/>
                                  <w:szCs w:val="21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>
                          <w:pPr>
                            <w:rPr>
                              <w:rFonts w:ascii="方正仿宋简体" w:eastAsia="方正仿宋简体"/>
                              <w:sz w:val="21"/>
                              <w:szCs w:val="2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2105154997"/>
                    </w:sdtPr>
                    <w:sdtEndPr>
                      <w:rPr>
                        <w:rFonts w:hint="eastAsia" w:ascii="方正仿宋简体" w:eastAsia="方正仿宋简体"/>
                        <w:sz w:val="21"/>
                        <w:szCs w:val="21"/>
                      </w:rPr>
                    </w:sdtEndPr>
                    <w:sdtContent>
                      <w:p>
                        <w:pPr>
                          <w:pStyle w:val="6"/>
                          <w:jc w:val="right"/>
                          <w:rPr>
                            <w:rFonts w:ascii="方正仿宋简体" w:eastAsia="方正仿宋简体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 w:ascii="方正仿宋简体" w:eastAsia="方正仿宋简体"/>
                            <w:sz w:val="21"/>
                            <w:szCs w:val="21"/>
                          </w:rPr>
                          <w:fldChar w:fldCharType="begin"/>
                        </w:r>
                        <w:r>
                          <w:rPr>
                            <w:rFonts w:hint="eastAsia" w:ascii="方正仿宋简体" w:eastAsia="方正仿宋简体"/>
                            <w:sz w:val="21"/>
                            <w:szCs w:val="21"/>
                          </w:rPr>
                          <w:instrText xml:space="preserve">PAGE   \* MERGEFORMAT</w:instrText>
                        </w:r>
                        <w:r>
                          <w:rPr>
                            <w:rFonts w:hint="eastAsia" w:ascii="方正仿宋简体" w:eastAsia="方正仿宋简体"/>
                            <w:sz w:val="21"/>
                            <w:szCs w:val="21"/>
                          </w:rPr>
                          <w:fldChar w:fldCharType="separate"/>
                        </w:r>
                        <w:r>
                          <w:rPr>
                            <w:rFonts w:ascii="方正仿宋简体" w:eastAsia="方正仿宋简体"/>
                            <w:sz w:val="21"/>
                            <w:szCs w:val="21"/>
                            <w:lang w:val="zh-CN"/>
                          </w:rPr>
                          <w:t>-</w:t>
                        </w:r>
                        <w:r>
                          <w:rPr>
                            <w:rFonts w:ascii="方正仿宋简体" w:eastAsia="方正仿宋简体"/>
                            <w:sz w:val="21"/>
                            <w:szCs w:val="21"/>
                          </w:rPr>
                          <w:t xml:space="preserve"> 1 -</w:t>
                        </w:r>
                        <w:r>
                          <w:rPr>
                            <w:rFonts w:hint="eastAsia" w:ascii="方正仿宋简体" w:eastAsia="方正仿宋简体"/>
                            <w:sz w:val="21"/>
                            <w:szCs w:val="21"/>
                          </w:rPr>
                          <w:fldChar w:fldCharType="end"/>
                        </w:r>
                      </w:p>
                    </w:sdtContent>
                  </w:sdt>
                  <w:p>
                    <w:pPr>
                      <w:rPr>
                        <w:rFonts w:ascii="方正仿宋简体" w:eastAsia="方正仿宋简体"/>
                        <w:sz w:val="21"/>
                        <w:szCs w:val="21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Fonts w:ascii="方正仿宋简体" w:eastAsia="方正仿宋简体"/>
        <w:sz w:val="21"/>
        <w:szCs w:val="21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-51079465"/>
                          </w:sdtPr>
                          <w:sdtEndPr>
                            <w:rPr>
                              <w:rFonts w:hint="eastAsia" w:ascii="方正仿宋简体" w:eastAsia="方正仿宋简体"/>
                              <w:sz w:val="21"/>
                              <w:szCs w:val="21"/>
                            </w:rPr>
                          </w:sdtEndPr>
                          <w:sdtContent>
                            <w:p>
                              <w:pPr>
                                <w:pStyle w:val="6"/>
                                <w:rPr>
                                  <w:rFonts w:ascii="方正仿宋简体" w:eastAsia="方正仿宋简体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方正仿宋简体" w:eastAsia="方正仿宋简体"/>
                                  <w:sz w:val="21"/>
                                  <w:szCs w:val="21"/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 w:ascii="方正仿宋简体" w:eastAsia="方正仿宋简体"/>
                                  <w:sz w:val="21"/>
                                  <w:szCs w:val="21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hint="eastAsia" w:ascii="方正仿宋简体" w:eastAsia="方正仿宋简体"/>
                                  <w:sz w:val="21"/>
                                  <w:szCs w:val="21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方正仿宋简体" w:eastAsia="方正仿宋简体"/>
                                  <w:sz w:val="21"/>
                                  <w:szCs w:val="21"/>
                                  <w:lang w:val="zh-CN"/>
                                </w:rPr>
                                <w:t>-</w:t>
                              </w:r>
                              <w:r>
                                <w:rPr>
                                  <w:rFonts w:ascii="方正仿宋简体" w:eastAsia="方正仿宋简体"/>
                                  <w:sz w:val="21"/>
                                  <w:szCs w:val="21"/>
                                </w:rPr>
                                <w:t xml:space="preserve"> 2 -</w:t>
                              </w:r>
                              <w:r>
                                <w:rPr>
                                  <w:rFonts w:hint="eastAsia" w:ascii="方正仿宋简体" w:eastAsia="方正仿宋简体"/>
                                  <w:sz w:val="21"/>
                                  <w:szCs w:val="21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>
                          <w:pPr>
                            <w:rPr>
                              <w:rFonts w:ascii="方正仿宋简体" w:eastAsia="方正仿宋简体"/>
                              <w:sz w:val="21"/>
                              <w:szCs w:val="2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-51079465"/>
                    </w:sdtPr>
                    <w:sdtEndPr>
                      <w:rPr>
                        <w:rFonts w:hint="eastAsia" w:ascii="方正仿宋简体" w:eastAsia="方正仿宋简体"/>
                        <w:sz w:val="21"/>
                        <w:szCs w:val="21"/>
                      </w:rPr>
                    </w:sdtEndPr>
                    <w:sdtContent>
                      <w:p>
                        <w:pPr>
                          <w:pStyle w:val="6"/>
                          <w:rPr>
                            <w:rFonts w:ascii="方正仿宋简体" w:eastAsia="方正仿宋简体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 w:ascii="方正仿宋简体" w:eastAsia="方正仿宋简体"/>
                            <w:sz w:val="21"/>
                            <w:szCs w:val="21"/>
                          </w:rPr>
                          <w:fldChar w:fldCharType="begin"/>
                        </w:r>
                        <w:r>
                          <w:rPr>
                            <w:rFonts w:hint="eastAsia" w:ascii="方正仿宋简体" w:eastAsia="方正仿宋简体"/>
                            <w:sz w:val="21"/>
                            <w:szCs w:val="21"/>
                          </w:rPr>
                          <w:instrText xml:space="preserve">PAGE   \* MERGEFORMAT</w:instrText>
                        </w:r>
                        <w:r>
                          <w:rPr>
                            <w:rFonts w:hint="eastAsia" w:ascii="方正仿宋简体" w:eastAsia="方正仿宋简体"/>
                            <w:sz w:val="21"/>
                            <w:szCs w:val="21"/>
                          </w:rPr>
                          <w:fldChar w:fldCharType="separate"/>
                        </w:r>
                        <w:r>
                          <w:rPr>
                            <w:rFonts w:ascii="方正仿宋简体" w:eastAsia="方正仿宋简体"/>
                            <w:sz w:val="21"/>
                            <w:szCs w:val="21"/>
                            <w:lang w:val="zh-CN"/>
                          </w:rPr>
                          <w:t>-</w:t>
                        </w:r>
                        <w:r>
                          <w:rPr>
                            <w:rFonts w:ascii="方正仿宋简体" w:eastAsia="方正仿宋简体"/>
                            <w:sz w:val="21"/>
                            <w:szCs w:val="21"/>
                          </w:rPr>
                          <w:t xml:space="preserve"> 2 -</w:t>
                        </w:r>
                        <w:r>
                          <w:rPr>
                            <w:rFonts w:hint="eastAsia" w:ascii="方正仿宋简体" w:eastAsia="方正仿宋简体"/>
                            <w:sz w:val="21"/>
                            <w:szCs w:val="21"/>
                          </w:rPr>
                          <w:fldChar w:fldCharType="end"/>
                        </w:r>
                      </w:p>
                    </w:sdtContent>
                  </w:sdt>
                  <w:p>
                    <w:pPr>
                      <w:rPr>
                        <w:rFonts w:ascii="方正仿宋简体" w:eastAsia="方正仿宋简体"/>
                        <w:sz w:val="21"/>
                        <w:szCs w:val="21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evenAndOddHeaders w:val="1"/>
  <w:drawingGridHorizontalSpacing w:val="160"/>
  <w:drawingGridVerticalSpacing w:val="21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5YjY0ZDZhNGI1MDI5NWM3YTViOTViODI4ZmVhNjYifQ=="/>
  </w:docVars>
  <w:rsids>
    <w:rsidRoot w:val="00D47D44"/>
    <w:rsid w:val="000D7111"/>
    <w:rsid w:val="000E0081"/>
    <w:rsid w:val="00152FF9"/>
    <w:rsid w:val="00156E80"/>
    <w:rsid w:val="00187AF7"/>
    <w:rsid w:val="001B6E00"/>
    <w:rsid w:val="002D10F3"/>
    <w:rsid w:val="00397D67"/>
    <w:rsid w:val="00497AD5"/>
    <w:rsid w:val="004D6E49"/>
    <w:rsid w:val="005038E2"/>
    <w:rsid w:val="005140EC"/>
    <w:rsid w:val="005C00AC"/>
    <w:rsid w:val="00634126"/>
    <w:rsid w:val="00667581"/>
    <w:rsid w:val="00674680"/>
    <w:rsid w:val="00695F3B"/>
    <w:rsid w:val="00782695"/>
    <w:rsid w:val="007A12B9"/>
    <w:rsid w:val="007A4C1F"/>
    <w:rsid w:val="007C6D92"/>
    <w:rsid w:val="00923153"/>
    <w:rsid w:val="00A1490D"/>
    <w:rsid w:val="00A915F0"/>
    <w:rsid w:val="00BC1059"/>
    <w:rsid w:val="00BD36EC"/>
    <w:rsid w:val="00C67F3B"/>
    <w:rsid w:val="00CD121E"/>
    <w:rsid w:val="00D47D44"/>
    <w:rsid w:val="00E36B84"/>
    <w:rsid w:val="00E71CEC"/>
    <w:rsid w:val="00E84720"/>
    <w:rsid w:val="00EC793E"/>
    <w:rsid w:val="00F42E92"/>
    <w:rsid w:val="00F57F23"/>
    <w:rsid w:val="00F73C95"/>
    <w:rsid w:val="00F953BD"/>
    <w:rsid w:val="00FB2E49"/>
    <w:rsid w:val="051F6107"/>
    <w:rsid w:val="08FC205C"/>
    <w:rsid w:val="305E75BF"/>
    <w:rsid w:val="321534FD"/>
    <w:rsid w:val="393D0B45"/>
    <w:rsid w:val="3FBFC35D"/>
    <w:rsid w:val="3FFFFB7C"/>
    <w:rsid w:val="41524762"/>
    <w:rsid w:val="4F0E533E"/>
    <w:rsid w:val="4FE2CD00"/>
    <w:rsid w:val="54115613"/>
    <w:rsid w:val="54DF1BD2"/>
    <w:rsid w:val="5FDBCC66"/>
    <w:rsid w:val="61FB3481"/>
    <w:rsid w:val="69FA25FB"/>
    <w:rsid w:val="6B2EA7C6"/>
    <w:rsid w:val="6D000739"/>
    <w:rsid w:val="6FD44E29"/>
    <w:rsid w:val="6FFB1418"/>
    <w:rsid w:val="716B3889"/>
    <w:rsid w:val="7B427D86"/>
    <w:rsid w:val="7D777082"/>
    <w:rsid w:val="7F6F3223"/>
    <w:rsid w:val="7F76608E"/>
    <w:rsid w:val="7FBB6994"/>
    <w:rsid w:val="7FD7A867"/>
    <w:rsid w:val="7FF73C34"/>
    <w:rsid w:val="9E361E6A"/>
    <w:rsid w:val="BBA73717"/>
    <w:rsid w:val="C9BFFC64"/>
    <w:rsid w:val="EBF55A0D"/>
    <w:rsid w:val="EFE6F4A0"/>
    <w:rsid w:val="F7F73368"/>
    <w:rsid w:val="F9BD4FAC"/>
    <w:rsid w:val="FF142F8C"/>
    <w:rsid w:val="FF7F1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22"/>
      <w:lang w:val="en-US" w:eastAsia="zh-CN" w:bidi="ar-SA"/>
    </w:rPr>
  </w:style>
  <w:style w:type="paragraph" w:styleId="2">
    <w:name w:val="heading 2"/>
    <w:basedOn w:val="1"/>
    <w:next w:val="1"/>
    <w:link w:val="14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Emphasis"/>
    <w:basedOn w:val="10"/>
    <w:qFormat/>
    <w:uiPriority w:val="20"/>
    <w:rPr>
      <w:i/>
      <w:iCs/>
    </w:rPr>
  </w:style>
  <w:style w:type="character" w:styleId="12">
    <w:name w:val="Hyperlink"/>
    <w:basedOn w:val="10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3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4">
    <w:name w:val="标题 2 Char"/>
    <w:basedOn w:val="10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paragraph" w:customStyle="1" w:styleId="15">
    <w:name w:val="custom_unionstyl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6">
    <w:name w:val="日期 Char"/>
    <w:basedOn w:val="10"/>
    <w:link w:val="4"/>
    <w:semiHidden/>
    <w:qFormat/>
    <w:uiPriority w:val="99"/>
  </w:style>
  <w:style w:type="character" w:customStyle="1" w:styleId="17">
    <w:name w:val="页眉 Char"/>
    <w:basedOn w:val="10"/>
    <w:link w:val="7"/>
    <w:qFormat/>
    <w:uiPriority w:val="99"/>
    <w:rPr>
      <w:sz w:val="18"/>
      <w:szCs w:val="18"/>
    </w:rPr>
  </w:style>
  <w:style w:type="character" w:customStyle="1" w:styleId="18">
    <w:name w:val="页脚 Char"/>
    <w:basedOn w:val="10"/>
    <w:link w:val="6"/>
    <w:qFormat/>
    <w:uiPriority w:val="99"/>
    <w:rPr>
      <w:sz w:val="18"/>
      <w:szCs w:val="18"/>
    </w:rPr>
  </w:style>
  <w:style w:type="character" w:customStyle="1" w:styleId="19">
    <w:name w:val="批注框文本 Char"/>
    <w:basedOn w:val="10"/>
    <w:link w:val="5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2289</Words>
  <Characters>2396</Characters>
  <Lines>11</Lines>
  <Paragraphs>3</Paragraphs>
  <TotalTime>8</TotalTime>
  <ScaleCrop>false</ScaleCrop>
  <LinksUpToDate>false</LinksUpToDate>
  <CharactersWithSpaces>2434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2019-03-12T03:02:00Z</dcterms:created>
  <dc:creator>四川省质量技术监督局：蒲贵昌</dc:creator>
  <cp:lastModifiedBy>素袖清裳</cp:lastModifiedBy>
  <cp:lastPrinted>2023-03-15T10:03:00Z</cp:lastPrinted>
  <dcterms:modified xsi:type="dcterms:W3CDTF">2024-06-27T08:22:33Z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32DA70D2643743AB9E86660B9976C9DB_13</vt:lpwstr>
  </property>
</Properties>
</file>