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A6962">
      <w:pPr>
        <w:widowControl/>
        <w:spacing w:line="600" w:lineRule="exact"/>
        <w:ind w:firstLine="640" w:firstLineChars="200"/>
        <w:jc w:val="center"/>
        <w:rPr>
          <w:rFonts w:ascii="方正仿宋简体" w:hAnsi="仿宋" w:eastAsia="方正仿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图1：投诉性质比例图（%）</w:t>
      </w:r>
      <w:r>
        <w:rPr>
          <w:rFonts w:hint="eastAsia" w:ascii="方正仿宋简体" w:hAnsi="仿宋" w:eastAsia="方正仿宋简体" w:cs="宋体"/>
          <w:color w:val="B68C02" w:themeColor="accent3" w:themeShade="BF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75565</wp:posOffset>
            </wp:positionH>
            <wp:positionV relativeFrom="margin">
              <wp:posOffset>523875</wp:posOffset>
            </wp:positionV>
            <wp:extent cx="5295900" cy="3695700"/>
            <wp:effectExtent l="6350" t="6350" r="16510" b="16510"/>
            <wp:wrapSquare wrapText="bothSides"/>
            <wp:docPr id="10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005263E6">
      <w:pPr>
        <w:spacing w:line="600" w:lineRule="exact"/>
        <w:jc w:val="center"/>
        <w:rPr>
          <w:rFonts w:hint="eastAsia" w:ascii="方正仿宋简体" w:hAnsi="仿宋" w:eastAsia="方正仿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0F2F8C">
      <w:pPr>
        <w:spacing w:line="600" w:lineRule="exact"/>
        <w:jc w:val="center"/>
        <w:rPr>
          <w:rFonts w:ascii="方正仿宋简体" w:hAnsi="仿宋" w:eastAsia="方正仿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256540</wp:posOffset>
            </wp:positionH>
            <wp:positionV relativeFrom="margin">
              <wp:posOffset>5259705</wp:posOffset>
            </wp:positionV>
            <wp:extent cx="5343525" cy="2867025"/>
            <wp:effectExtent l="0" t="0" r="0" b="0"/>
            <wp:wrapSquare wrapText="bothSides"/>
            <wp:docPr id="4" name="对象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方正仿宋简体" w:hAnsi="仿宋" w:eastAsia="方正仿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图2：商品大类投诉量图（单位:件）</w:t>
      </w:r>
    </w:p>
    <w:p w14:paraId="187C190F"/>
    <w:p w14:paraId="768E9749"/>
    <w:p w14:paraId="4889B655"/>
    <w:p w14:paraId="67744898">
      <w:pPr>
        <w:widowControl/>
        <w:spacing w:line="600" w:lineRule="exact"/>
        <w:ind w:firstLine="704" w:firstLineChars="220"/>
        <w:jc w:val="left"/>
        <w:rPr>
          <w:rFonts w:ascii="仿宋" w:hAnsi="仿宋" w:eastAsia="仿宋"/>
          <w:color w:val="B68C02" w:themeColor="accent3" w:themeShade="BF"/>
          <w:sz w:val="32"/>
          <w:szCs w:val="32"/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132715</wp:posOffset>
            </wp:positionH>
            <wp:positionV relativeFrom="paragraph">
              <wp:posOffset>-50800</wp:posOffset>
            </wp:positionV>
            <wp:extent cx="5486400" cy="3657600"/>
            <wp:effectExtent l="0" t="0" r="0" b="0"/>
            <wp:wrapNone/>
            <wp:docPr id="1" name="对象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42A5904A">
      <w:pPr>
        <w:widowControl/>
        <w:spacing w:line="600" w:lineRule="exact"/>
        <w:ind w:firstLine="704" w:firstLineChars="220"/>
        <w:jc w:val="left"/>
        <w:rPr>
          <w:rFonts w:ascii="仿宋" w:hAnsi="仿宋" w:eastAsia="仿宋"/>
          <w:color w:val="B68C02" w:themeColor="accent3" w:themeShade="BF"/>
          <w:sz w:val="32"/>
          <w:szCs w:val="32"/>
        </w:rPr>
      </w:pPr>
    </w:p>
    <w:p w14:paraId="0B2949DD">
      <w:pPr>
        <w:widowControl/>
        <w:spacing w:line="600" w:lineRule="exact"/>
        <w:ind w:firstLine="704" w:firstLineChars="220"/>
        <w:jc w:val="left"/>
        <w:rPr>
          <w:rFonts w:ascii="仿宋" w:hAnsi="仿宋" w:eastAsia="仿宋"/>
          <w:color w:val="B68C02" w:themeColor="accent3" w:themeShade="BF"/>
          <w:sz w:val="32"/>
          <w:szCs w:val="32"/>
        </w:rPr>
      </w:pPr>
    </w:p>
    <w:p w14:paraId="331B951F">
      <w:pPr>
        <w:widowControl/>
        <w:spacing w:line="600" w:lineRule="exact"/>
        <w:ind w:firstLine="704" w:firstLineChars="220"/>
        <w:jc w:val="left"/>
        <w:rPr>
          <w:rFonts w:ascii="仿宋" w:hAnsi="仿宋" w:eastAsia="仿宋"/>
          <w:color w:val="B68C02" w:themeColor="accent3" w:themeShade="BF"/>
          <w:sz w:val="32"/>
          <w:szCs w:val="32"/>
        </w:rPr>
      </w:pPr>
    </w:p>
    <w:p w14:paraId="2BB06FC4">
      <w:pPr>
        <w:widowControl/>
        <w:spacing w:line="600" w:lineRule="exact"/>
        <w:ind w:firstLine="704" w:firstLineChars="220"/>
        <w:jc w:val="left"/>
        <w:rPr>
          <w:rFonts w:ascii="仿宋" w:hAnsi="仿宋" w:eastAsia="仿宋"/>
          <w:color w:val="B68C02" w:themeColor="accent3" w:themeShade="BF"/>
          <w:sz w:val="32"/>
          <w:szCs w:val="32"/>
        </w:rPr>
      </w:pPr>
    </w:p>
    <w:p w14:paraId="4A00C744">
      <w:pPr>
        <w:widowControl/>
        <w:spacing w:line="600" w:lineRule="exact"/>
        <w:ind w:firstLine="704" w:firstLineChars="220"/>
        <w:jc w:val="left"/>
        <w:rPr>
          <w:rFonts w:ascii="方正仿宋简体" w:hAnsi="仿宋" w:eastAsia="方正仿宋简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623667">
      <w:pPr>
        <w:widowControl/>
        <w:spacing w:line="600" w:lineRule="exact"/>
        <w:ind w:firstLine="704" w:firstLineChars="220"/>
        <w:jc w:val="left"/>
        <w:rPr>
          <w:rFonts w:ascii="方正仿宋简体" w:hAnsi="仿宋" w:eastAsia="方正仿宋简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271BB0">
      <w:pPr>
        <w:widowControl/>
        <w:spacing w:line="600" w:lineRule="exact"/>
        <w:ind w:firstLine="704" w:firstLineChars="220"/>
        <w:jc w:val="left"/>
        <w:rPr>
          <w:rFonts w:ascii="方正仿宋简体" w:hAnsi="仿宋" w:eastAsia="方正仿宋简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A1E735">
      <w:pPr>
        <w:widowControl/>
        <w:spacing w:line="600" w:lineRule="exact"/>
        <w:ind w:firstLine="704" w:firstLineChars="220"/>
        <w:jc w:val="left"/>
        <w:rPr>
          <w:rFonts w:ascii="方正仿宋简体" w:hAnsi="仿宋" w:eastAsia="方正仿宋简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C68995">
      <w:pPr>
        <w:widowControl/>
        <w:spacing w:line="600" w:lineRule="exact"/>
        <w:ind w:firstLine="704" w:firstLineChars="220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图3   服务大类投诉量图（单位：件）</w:t>
      </w:r>
    </w:p>
    <w:p w14:paraId="7B13D2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ODBmN2Q2ODEwMzA4NTNkNGM1NTg0ZTE1ZTJjZDcifQ=="/>
  </w:docVars>
  <w:rsids>
    <w:rsidRoot w:val="50F36726"/>
    <w:rsid w:val="50F3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3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投诉量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Lbls>
            <c:dLbl>
              <c:idx val="0"/>
              <c:layout>
                <c:manualLayout>
                  <c:x val="-0.00219610322432324"/>
                  <c:y val="-0.22859312488851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28937486828745"/>
                  <c:y val="0.10573630966032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0403663045769"/>
                  <c:y val="0.064769003389139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388757974596255"/>
                  <c:y val="-0.057676783120556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310289863402111"/>
                  <c:y val="-0.020703055321968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802136138092226"/>
                  <c:y val="-0.02792217720357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73851370768435"/>
                  <c:y val="-0.066113956629207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459138120555448"/>
                  <c:y val="-0.092774382223201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217081441462158"/>
                  <c:y val="-0.1055500344010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648876372205324"/>
                  <c:y val="-0.089356827969320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Sheet1!$A$2:$A$11</c:f>
              <c:strCache>
                <c:ptCount val="10"/>
                <c:pt idx="0">
                  <c:v>质量</c:v>
                </c:pt>
                <c:pt idx="1">
                  <c:v>售后服务</c:v>
                </c:pt>
                <c:pt idx="2">
                  <c:v>安全</c:v>
                </c:pt>
                <c:pt idx="3">
                  <c:v>虚假宣传</c:v>
                </c:pt>
                <c:pt idx="4">
                  <c:v>合同</c:v>
                </c:pt>
                <c:pt idx="5">
                  <c:v>价格</c:v>
                </c:pt>
                <c:pt idx="6">
                  <c:v>其他</c:v>
                </c:pt>
                <c:pt idx="7">
                  <c:v>计量</c:v>
                </c:pt>
                <c:pt idx="8">
                  <c:v>假冒</c:v>
                </c:pt>
                <c:pt idx="9">
                  <c:v>人格权益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4760</c:v>
                </c:pt>
                <c:pt idx="1">
                  <c:v>2376</c:v>
                </c:pt>
                <c:pt idx="2">
                  <c:v>1672</c:v>
                </c:pt>
                <c:pt idx="3">
                  <c:v>1447</c:v>
                </c:pt>
                <c:pt idx="4">
                  <c:v>1352</c:v>
                </c:pt>
                <c:pt idx="5">
                  <c:v>1024</c:v>
                </c:pt>
                <c:pt idx="6">
                  <c:v>1012</c:v>
                </c:pt>
                <c:pt idx="7">
                  <c:v>214</c:v>
                </c:pt>
                <c:pt idx="8">
                  <c:v>118</c:v>
                </c:pt>
                <c:pt idx="9">
                  <c:v>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3673e94-0b2e-4aa0-a435-5ef886eacc96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711109239687285"/>
          <c:y val="0.121924643140538"/>
          <c:w val="0.884341637010689"/>
          <c:h val="0.57575757575757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9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.00374340907921269"/>
                  <c:y val="-0.3001226009539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880" b="0" i="0" u="none" strike="noStrike" kern="1200" baseline="0">
                        <a:solidFill>
                          <a:srgbClr val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defRPr>
                    </a:pPr>
                    <a:r>
                      <a:rPr lang="en-US" altLang="en-US" sz="880"/>
                      <a:t>3567</a:t>
                    </a:r>
                    <a:endParaRPr lang="en-US" altLang="en-US" sz="880"/>
                  </a:p>
                </c:rich>
              </c:tx>
              <c:numFmt formatCode="General" sourceLinked="1"/>
              <c:spPr>
                <a:solidFill>
                  <a:srgbClr val="FFFFFF"/>
                </a:solidFill>
                <a:ln w="25400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880" b="0" i="0" u="none" strike="noStrike" kern="1200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34196527573091"/>
                  <c:y val="-0.12835011902581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343668271412597"/>
                  <c:y val="-0.11555706699453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243921381485068"/>
                  <c:y val="-0.10995090729937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318553763667242"/>
                  <c:y val="-0.10176123333420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6672514866123"/>
                  <c:y val="-0.09738736146353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431774905142205"/>
                  <c:y val="-0.093192769508462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00161747161283984"/>
                  <c:y val="-0.070258543263487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0108261868335977"/>
                  <c:y val="-0.056769299186438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00224009431976083"/>
                  <c:y val="-0.065672604877878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rgbClr val="FFFFFF"/>
              </a:solidFill>
              <a:ln w="25400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75" b="0" i="0" u="none" strike="noStrike" kern="1200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Sheet1!$B$1:$K$1</c:f>
              <c:strCache>
                <c:ptCount val="10"/>
                <c:pt idx="0">
                  <c:v>食品类</c:v>
                </c:pt>
                <c:pt idx="1">
                  <c:v>日用商品类</c:v>
                </c:pt>
                <c:pt idx="2">
                  <c:v>家用电子电器类</c:v>
                </c:pt>
                <c:pt idx="3">
                  <c:v>服装鞋帽类</c:v>
                </c:pt>
                <c:pt idx="4">
                  <c:v>烟、酒和饮料类</c:v>
                </c:pt>
                <c:pt idx="5">
                  <c:v>房屋及建材类</c:v>
                </c:pt>
                <c:pt idx="6">
                  <c:v>交通工具类</c:v>
                </c:pt>
                <c:pt idx="7">
                  <c:v>首饰及文体类</c:v>
                </c:pt>
                <c:pt idx="8">
                  <c:v>医药及医疗用品类</c:v>
                </c:pt>
                <c:pt idx="9">
                  <c:v>农用生产资料类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3567</c:v>
                </c:pt>
                <c:pt idx="1">
                  <c:v>914</c:v>
                </c:pt>
                <c:pt idx="2">
                  <c:v>770</c:v>
                </c:pt>
                <c:pt idx="3">
                  <c:v>587</c:v>
                </c:pt>
                <c:pt idx="4">
                  <c:v>451</c:v>
                </c:pt>
                <c:pt idx="5">
                  <c:v>433</c:v>
                </c:pt>
                <c:pt idx="6">
                  <c:v>392</c:v>
                </c:pt>
                <c:pt idx="7">
                  <c:v>386</c:v>
                </c:pt>
                <c:pt idx="8">
                  <c:v>310</c:v>
                </c:pt>
                <c:pt idx="9">
                  <c:v>39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21701376"/>
        <c:axId val="321702912"/>
      </c:barChart>
      <c:catAx>
        <c:axId val="32170137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-2460000" spcFirstLastPara="0" vertOverflow="ellipsis" vert="horz" wrap="square" anchor="ctr" anchorCtr="1"/>
          <a:lstStyle/>
          <a:p>
            <a:pPr>
              <a:defRPr lang="zh-CN" sz="975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21702912"/>
        <c:crosses val="autoZero"/>
        <c:auto val="1"/>
        <c:lblAlgn val="ctr"/>
        <c:lblOffset val="100"/>
        <c:tickLblSkip val="1"/>
        <c:noMultiLvlLbl val="0"/>
      </c:catAx>
      <c:valAx>
        <c:axId val="321702912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975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217013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  <c:extLst>
      <c:ext uri="{0b15fc19-7d7d-44ad-8c2d-2c3a37ce22c3}">
        <chartProps xmlns="https://web.wps.cn/et/2018/main" chartId="{5b0d406b-6143-4fcf-bd14-99d9ae65ca4c}"/>
      </c:ext>
    </c:extLst>
  </c:chart>
  <c:spPr>
    <a:noFill/>
    <a:ln w="9525" cap="flat" cmpd="sng" algn="ctr">
      <a:noFill/>
      <a:prstDash val="solid"/>
      <a:round/>
    </a:ln>
  </c:spPr>
  <c:txPr>
    <a:bodyPr/>
    <a:lstStyle/>
    <a:p>
      <a:pPr>
        <a:defRPr lang="zh-CN" sz="1825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674941673958"/>
          <c:y val="0.0475923591098292"/>
          <c:w val="0.852596314907873"/>
          <c:h val="0.65994236311239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9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0.002098461650627"/>
                  <c:y val="-0.33122840113735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284576407115777"/>
                  <c:y val="-0.17009924540682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430136337124526"/>
                  <c:y val="-0.11076689632545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164935112277632"/>
                  <c:y val="-0.096713692038495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0411563137941091"/>
                  <c:y val="-0.091012139107611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186187664041995"/>
                  <c:y val="-0.066797900262467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0309984689413823"/>
                  <c:y val="-0.063234087926509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20230023330417"/>
                  <c:y val="-0.062705872703412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356135170603675"/>
                  <c:y val="-0.051687992125984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296314523184611"/>
                  <c:y val="-0.05196276246719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0172517497812773"/>
                  <c:y val="-0.049997812773403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00511683435403908"/>
                  <c:y val="-0.035060148731408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0.00220363079615049"/>
                  <c:y val="-0.037259951881014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rgbClr val="FFFFFF"/>
              </a:solidFill>
              <a:ln w="25400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75" b="0" i="0" u="none" strike="noStrike" kern="1200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Sheet1!$B$1:$N$1</c:f>
              <c:strCache>
                <c:ptCount val="13"/>
                <c:pt idx="0">
                  <c:v>生活、社会服务类</c:v>
                </c:pt>
                <c:pt idx="1">
                  <c:v>销售服务</c:v>
                </c:pt>
                <c:pt idx="2">
                  <c:v>教育培训服务</c:v>
                </c:pt>
                <c:pt idx="3">
                  <c:v>文化、娱乐、体育服务</c:v>
                </c:pt>
                <c:pt idx="4">
                  <c:v>房屋装修及物业服务</c:v>
                </c:pt>
                <c:pt idx="5">
                  <c:v>互联网服务</c:v>
                </c:pt>
                <c:pt idx="6">
                  <c:v>公共设施服务</c:v>
                </c:pt>
                <c:pt idx="7">
                  <c:v>电信服务</c:v>
                </c:pt>
                <c:pt idx="8">
                  <c:v>旅游服务</c:v>
                </c:pt>
                <c:pt idx="9">
                  <c:v>卫生保健服务</c:v>
                </c:pt>
                <c:pt idx="10">
                  <c:v>邮政业服务</c:v>
                </c:pt>
                <c:pt idx="11">
                  <c:v>金融服务</c:v>
                </c:pt>
                <c:pt idx="12">
                  <c:v>保险服务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2141</c:v>
                </c:pt>
                <c:pt idx="1">
                  <c:v>1067</c:v>
                </c:pt>
                <c:pt idx="2">
                  <c:v>537</c:v>
                </c:pt>
                <c:pt idx="3">
                  <c:v>460</c:v>
                </c:pt>
                <c:pt idx="4">
                  <c:v>359</c:v>
                </c:pt>
                <c:pt idx="5">
                  <c:v>202</c:v>
                </c:pt>
                <c:pt idx="6">
                  <c:v>185</c:v>
                </c:pt>
                <c:pt idx="7">
                  <c:v>165</c:v>
                </c:pt>
                <c:pt idx="8">
                  <c:v>120</c:v>
                </c:pt>
                <c:pt idx="9">
                  <c:v>106</c:v>
                </c:pt>
                <c:pt idx="10">
                  <c:v>73</c:v>
                </c:pt>
                <c:pt idx="11">
                  <c:v>37</c:v>
                </c:pt>
                <c:pt idx="12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850" b="0" i="0" u="none" strike="noStrike" kern="1200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Sheet1!$B$1:$N$1</c:f>
              <c:strCache>
                <c:ptCount val="13"/>
                <c:pt idx="0">
                  <c:v>生活、社会服务类</c:v>
                </c:pt>
                <c:pt idx="1">
                  <c:v>销售服务</c:v>
                </c:pt>
                <c:pt idx="2">
                  <c:v>教育培训服务</c:v>
                </c:pt>
                <c:pt idx="3">
                  <c:v>文化、娱乐、体育服务</c:v>
                </c:pt>
                <c:pt idx="4">
                  <c:v>房屋装修及物业服务</c:v>
                </c:pt>
                <c:pt idx="5">
                  <c:v>互联网服务</c:v>
                </c:pt>
                <c:pt idx="6">
                  <c:v>公共设施服务</c:v>
                </c:pt>
                <c:pt idx="7">
                  <c:v>电信服务</c:v>
                </c:pt>
                <c:pt idx="8">
                  <c:v>旅游服务</c:v>
                </c:pt>
                <c:pt idx="9">
                  <c:v>卫生保健服务</c:v>
                </c:pt>
                <c:pt idx="10">
                  <c:v>邮政业服务</c:v>
                </c:pt>
                <c:pt idx="11">
                  <c:v>金融服务</c:v>
                </c:pt>
                <c:pt idx="12">
                  <c:v>保险服务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850" b="0" i="0" u="none" strike="noStrike" kern="1200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Sheet1!$B$1:$N$1</c:f>
              <c:strCache>
                <c:ptCount val="13"/>
                <c:pt idx="0">
                  <c:v>生活、社会服务类</c:v>
                </c:pt>
                <c:pt idx="1">
                  <c:v>销售服务</c:v>
                </c:pt>
                <c:pt idx="2">
                  <c:v>教育培训服务</c:v>
                </c:pt>
                <c:pt idx="3">
                  <c:v>文化、娱乐、体育服务</c:v>
                </c:pt>
                <c:pt idx="4">
                  <c:v>房屋装修及物业服务</c:v>
                </c:pt>
                <c:pt idx="5">
                  <c:v>互联网服务</c:v>
                </c:pt>
                <c:pt idx="6">
                  <c:v>公共设施服务</c:v>
                </c:pt>
                <c:pt idx="7">
                  <c:v>电信服务</c:v>
                </c:pt>
                <c:pt idx="8">
                  <c:v>旅游服务</c:v>
                </c:pt>
                <c:pt idx="9">
                  <c:v>卫生保健服务</c:v>
                </c:pt>
                <c:pt idx="10">
                  <c:v>邮政业服务</c:v>
                </c:pt>
                <c:pt idx="11">
                  <c:v>金融服务</c:v>
                </c:pt>
                <c:pt idx="12">
                  <c:v>保险服务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850" b="0" i="0" u="none" strike="noStrike" kern="1200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Sheet1!$B$1:$N$1</c:f>
              <c:strCache>
                <c:ptCount val="13"/>
                <c:pt idx="0">
                  <c:v>生活、社会服务类</c:v>
                </c:pt>
                <c:pt idx="1">
                  <c:v>销售服务</c:v>
                </c:pt>
                <c:pt idx="2">
                  <c:v>教育培训服务</c:v>
                </c:pt>
                <c:pt idx="3">
                  <c:v>文化、娱乐、体育服务</c:v>
                </c:pt>
                <c:pt idx="4">
                  <c:v>房屋装修及物业服务</c:v>
                </c:pt>
                <c:pt idx="5">
                  <c:v>互联网服务</c:v>
                </c:pt>
                <c:pt idx="6">
                  <c:v>公共设施服务</c:v>
                </c:pt>
                <c:pt idx="7">
                  <c:v>电信服务</c:v>
                </c:pt>
                <c:pt idx="8">
                  <c:v>旅游服务</c:v>
                </c:pt>
                <c:pt idx="9">
                  <c:v>卫生保健服务</c:v>
                </c:pt>
                <c:pt idx="10">
                  <c:v>邮政业服务</c:v>
                </c:pt>
                <c:pt idx="11">
                  <c:v>金融服务</c:v>
                </c:pt>
                <c:pt idx="12">
                  <c:v>保险服务</c:v>
                </c:pt>
              </c:strCache>
            </c:strRef>
          </c:cat>
          <c:val>
            <c:numRef>
              <c:f>Sheet1!$B$5:$N$5</c:f>
              <c:numCache>
                <c:formatCode>General</c:formatCode>
                <c:ptCount val="13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36632064"/>
        <c:axId val="336650240"/>
      </c:barChart>
      <c:catAx>
        <c:axId val="33663206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-27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36650240"/>
        <c:crosses val="autoZero"/>
        <c:auto val="1"/>
        <c:lblAlgn val="ctr"/>
        <c:lblOffset val="100"/>
        <c:tickLblSkip val="1"/>
        <c:noMultiLvlLbl val="0"/>
      </c:catAx>
      <c:valAx>
        <c:axId val="336650240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rgbClr val="000000"/>
              </a:solidFill>
              <a:prstDash val="solid"/>
              <a:round/>
            </a:ln>
          </c:spPr>
        </c:majorGridlines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3663206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  <c:extLst>
      <c:ext uri="{0b15fc19-7d7d-44ad-8c2d-2c3a37ce22c3}">
        <chartProps xmlns="https://web.wps.cn/et/2018/main" chartId="{0e5baf33-c874-4d76-b5ad-ab6457b68203}"/>
      </c:ext>
    </c:extLst>
  </c:chart>
  <c:spPr>
    <a:noFill/>
    <a:ln w="9525" cap="flat" cmpd="sng" algn="ctr">
      <a:noFill/>
      <a:prstDash val="solid"/>
      <a:round/>
    </a:ln>
  </c:spPr>
  <c:txPr>
    <a:bodyPr/>
    <a:lstStyle/>
    <a:p>
      <a:pPr>
        <a:defRPr lang="zh-CN" sz="1725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2024-11-12T03:01:00Z</dcterms:created>
  <dc:creator>素袖清裳</dc:creator>
  <cp:lastModifiedBy>素袖清裳</cp:lastModifiedBy>
  <dcterms:modified xsi:type="dcterms:W3CDTF">2024-11-12T03:03:04Z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9A564D1B5CE44397BFA8599F14F02A31_11</vt:lpwstr>
  </property>
</Properties>
</file>