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A5650">
      <w:pPr>
        <w:pStyle w:val="23"/>
        <w:ind w:left="0" w:leftChars="0" w:firstLine="0" w:firstLineChars="0"/>
      </w:pPr>
      <w:bookmarkStart w:id="0" w:name="_GoBack"/>
      <w:bookmarkEnd w:id="0"/>
    </w:p>
    <w:p w14:paraId="2B964718">
      <w:pPr>
        <w:spacing w:line="600" w:lineRule="exact"/>
        <w:jc w:val="center"/>
        <w:rPr>
          <w:rFonts w:hint="eastAsia" w:ascii="方正小标宋简体" w:eastAsia="方正小标宋简体"/>
          <w:b/>
          <w:color w:val="000000" w:themeColor="text1"/>
          <w:spacing w:val="-34"/>
          <w:sz w:val="44"/>
          <w:szCs w:val="44"/>
          <w14:textFill>
            <w14:solidFill>
              <w14:schemeClr w14:val="tx1"/>
            </w14:solidFill>
          </w14:textFill>
        </w:rPr>
      </w:pPr>
      <w:r>
        <w:rPr>
          <w:rFonts w:hint="eastAsia" w:ascii="方正小标宋简体" w:hAnsi="宋体" w:eastAsia="方正小标宋简体"/>
          <w:b/>
          <w:color w:val="000000" w:themeColor="text1"/>
          <w:sz w:val="44"/>
          <w:szCs w:val="44"/>
          <w14:textFill>
            <w14:solidFill>
              <w14:schemeClr w14:val="tx1"/>
            </w14:solidFill>
          </w14:textFill>
        </w:rPr>
        <w:t>四川省保护消费者权益委员会</w:t>
      </w:r>
    </w:p>
    <w:p w14:paraId="5C9BD5DE">
      <w:pPr>
        <w:spacing w:line="600" w:lineRule="exact"/>
        <w:jc w:val="center"/>
        <w:rPr>
          <w:rFonts w:hint="eastAsia" w:ascii="方正小标宋简体" w:eastAsia="方正小标宋简体"/>
          <w:b/>
          <w:color w:val="000000" w:themeColor="text1"/>
          <w:spacing w:val="-11"/>
          <w:sz w:val="44"/>
          <w:szCs w:val="44"/>
          <w14:textFill>
            <w14:solidFill>
              <w14:schemeClr w14:val="tx1"/>
            </w14:solidFill>
          </w14:textFill>
        </w:rPr>
      </w:pPr>
      <w:r>
        <w:rPr>
          <w:rFonts w:hint="eastAsia" w:ascii="方正小标宋简体" w:hAnsi="宋体" w:eastAsia="方正小标宋简体"/>
          <w:b/>
          <w:color w:val="000000" w:themeColor="text1"/>
          <w:spacing w:val="-11"/>
          <w:sz w:val="44"/>
          <w:szCs w:val="44"/>
          <w14:textFill>
            <w14:solidFill>
              <w14:schemeClr w14:val="tx1"/>
            </w14:solidFill>
          </w14:textFill>
        </w:rPr>
        <w:t>关于2024年第三季度消费者投诉信息统计分析的报告</w:t>
      </w:r>
    </w:p>
    <w:p w14:paraId="7657AA9A">
      <w:pPr>
        <w:widowControl/>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第三季度，四川省各级保护消费者权益委员会共受理消费者投诉14074件；解决9768件，投诉解决率69.40%；为消费者挽回经济损失567.68万元，其中因经营者有欺诈行为消费者获得加倍赔偿金额7.09万元。全省各级消委组织接待来访、接受消费者咨询共计8197人次。</w:t>
      </w:r>
    </w:p>
    <w:p w14:paraId="7DE11109">
      <w:pPr>
        <w:pStyle w:val="26"/>
        <w:widowControl/>
        <w:numPr>
          <w:ilvl w:val="0"/>
          <w:numId w:val="1"/>
        </w:numPr>
        <w:spacing w:line="600" w:lineRule="exact"/>
        <w:ind w:firstLineChars="0"/>
        <w:rPr>
          <w:rFonts w:ascii="方正黑体简体" w:hAnsi="黑体" w:eastAsia="方正黑体简体" w:cs="宋体"/>
          <w:color w:val="000000" w:themeColor="text1"/>
          <w:kern w:val="0"/>
          <w:sz w:val="32"/>
          <w:szCs w:val="32"/>
          <w14:textFill>
            <w14:solidFill>
              <w14:schemeClr w14:val="tx1"/>
            </w14:solidFill>
          </w14:textFill>
        </w:rPr>
      </w:pPr>
      <w:r>
        <w:rPr>
          <w:rFonts w:hint="eastAsia" w:ascii="方正黑体简体" w:hAnsi="黑体" w:eastAsia="方正黑体简体" w:cs="宋体"/>
          <w:color w:val="000000" w:themeColor="text1"/>
          <w:kern w:val="0"/>
          <w:sz w:val="32"/>
          <w:szCs w:val="32"/>
          <w14:textFill>
            <w14:solidFill>
              <w14:schemeClr w14:val="tx1"/>
            </w14:solidFill>
          </w14:textFill>
        </w:rPr>
        <w:t>投诉基本情况</w:t>
      </w:r>
    </w:p>
    <w:p w14:paraId="15AEB205">
      <w:pPr>
        <w:spacing w:line="600" w:lineRule="exact"/>
        <w:ind w:firstLine="630" w:firstLineChars="196"/>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（一）投诉性质类分析</w:t>
      </w:r>
    </w:p>
    <w:p w14:paraId="75AA98ED">
      <w:pPr>
        <w:widowControl/>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在2024年第三季度的消费者投诉案件中，按投诉性质划分：涉及质量问题方面的投诉案件4760件，占总量的33.82%；售后服务问题2376件，占16.88%；安全问题1672件，占11.88%；虚假宣传问题1447件，占10.28%；合同问题1352件，占9.61%；价格问题1024件，占7.28%；计量问题214件，占1.52%；假冒问题118件，占0.84%；人格权益问题99件，占0.70%；其他问题（涉及多项投诉性质或难以归类的投诉问题）1012件，占7.19%。</w:t>
      </w:r>
    </w:p>
    <w:p w14:paraId="473EE68C">
      <w:pPr>
        <w:widowControl/>
        <w:spacing w:line="600" w:lineRule="exact"/>
        <w:ind w:firstLine="640" w:firstLineChars="200"/>
        <w:jc w:val="center"/>
        <w:rPr>
          <w:rFonts w:ascii="方正仿宋简体" w:hAnsi="仿宋" w:eastAsia="方正仿宋简体"/>
          <w:color w:val="000000" w:themeColor="text1"/>
          <w:kern w:val="0"/>
          <w:sz w:val="32"/>
          <w:szCs w:val="32"/>
          <w14:textFill>
            <w14:solidFill>
              <w14:schemeClr w14:val="tx1"/>
            </w14:solidFill>
          </w14:textFill>
        </w:rPr>
      </w:pPr>
      <w:r>
        <w:rPr>
          <w:rFonts w:hint="eastAsia" w:ascii="方正仿宋简体" w:hAnsi="仿宋" w:eastAsia="方正仿宋简体"/>
          <w:color w:val="000000" w:themeColor="text1"/>
          <w:kern w:val="0"/>
          <w:sz w:val="32"/>
          <w:szCs w:val="32"/>
          <w14:textFill>
            <w14:solidFill>
              <w14:schemeClr w14:val="tx1"/>
            </w14:solidFill>
          </w14:textFill>
        </w:rPr>
        <w:t>图1：投诉性质比例图（%）</w:t>
      </w:r>
      <w:r>
        <w:rPr>
          <w:rFonts w:hint="eastAsia" w:ascii="方正仿宋简体" w:hAnsi="仿宋" w:eastAsia="方正仿宋简体" w:cs="宋体"/>
          <w:color w:val="77933C" w:themeColor="accent3" w:themeShade="BF"/>
          <w:kern w:val="0"/>
          <w:sz w:val="32"/>
          <w:szCs w:val="32"/>
        </w:rPr>
        <w:drawing>
          <wp:anchor distT="0" distB="0" distL="114300" distR="114300" simplePos="0" relativeHeight="251660288" behindDoc="0" locked="0" layoutInCell="1" allowOverlap="1">
            <wp:simplePos x="0" y="0"/>
            <wp:positionH relativeFrom="margin">
              <wp:posOffset>75565</wp:posOffset>
            </wp:positionH>
            <wp:positionV relativeFrom="margin">
              <wp:posOffset>523875</wp:posOffset>
            </wp:positionV>
            <wp:extent cx="5295900" cy="3695700"/>
            <wp:effectExtent l="0" t="0" r="19050" b="19050"/>
            <wp:wrapSquare wrapText="bothSides"/>
            <wp:docPr id="10"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E7E6689">
      <w:pPr>
        <w:widowControl/>
        <w:spacing w:line="600" w:lineRule="exact"/>
        <w:ind w:firstLine="640" w:firstLineChars="200"/>
        <w:rPr>
          <w:rFonts w:ascii="方正仿宋简体" w:hAnsi="仿宋" w:eastAsia="方正仿宋简体" w:cs="宋体"/>
          <w:kern w:val="0"/>
          <w:sz w:val="32"/>
          <w:szCs w:val="32"/>
        </w:rPr>
      </w:pPr>
      <w:r>
        <w:rPr>
          <w:rFonts w:hint="eastAsia" w:ascii="方正仿宋简体" w:hAnsi="仿宋" w:eastAsia="方正仿宋简体" w:cs="宋体"/>
          <w:kern w:val="0"/>
          <w:sz w:val="32"/>
          <w:szCs w:val="32"/>
        </w:rPr>
        <w:t>从统计数据来看，质量、售后服务、安全、虚假宣传、合同占据了消费者投诉的前5名，商品、服务的质量问题仍居投诉总量之首，成为消费者投诉的主要方面，涉及消费者安全权和涉嫌虚假宣传的投诉比例上升幅度较大（见表1），但与去年同期相比，商品、服务的价格方面的投诉呈明显下降趋势，说明价格标示和告知进一步规范。</w:t>
      </w:r>
    </w:p>
    <w:p w14:paraId="058C56FA">
      <w:pPr>
        <w:widowControl/>
        <w:spacing w:line="600" w:lineRule="exact"/>
        <w:ind w:firstLine="640" w:firstLineChars="200"/>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表1 投诉问题性质分类占比变化情况表</w:t>
      </w:r>
    </w:p>
    <w:tbl>
      <w:tblPr>
        <w:tblStyle w:val="15"/>
        <w:tblW w:w="932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9"/>
        <w:gridCol w:w="2846"/>
        <w:gridCol w:w="2846"/>
        <w:gridCol w:w="1518"/>
      </w:tblGrid>
      <w:tr w14:paraId="244A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627AEBD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投诉</w:t>
            </w:r>
          </w:p>
          <w:p w14:paraId="7BCBDDF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类别</w:t>
            </w:r>
          </w:p>
        </w:tc>
        <w:tc>
          <w:tcPr>
            <w:tcW w:w="2846" w:type="dxa"/>
            <w:vAlign w:val="center"/>
          </w:tcPr>
          <w:p w14:paraId="769385B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2023年第三季度投诉量占投诉总量的比重（%）</w:t>
            </w:r>
          </w:p>
        </w:tc>
        <w:tc>
          <w:tcPr>
            <w:tcW w:w="2846" w:type="dxa"/>
            <w:vAlign w:val="center"/>
          </w:tcPr>
          <w:p w14:paraId="1E66403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2024年第三季度投诉量占投诉总量的比重（%）</w:t>
            </w:r>
          </w:p>
        </w:tc>
        <w:tc>
          <w:tcPr>
            <w:tcW w:w="1518" w:type="dxa"/>
            <w:vAlign w:val="center"/>
          </w:tcPr>
          <w:p w14:paraId="13533F1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14:paraId="12CB6FC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14:paraId="6257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11D7CFB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安全</w:t>
            </w:r>
          </w:p>
        </w:tc>
        <w:tc>
          <w:tcPr>
            <w:tcW w:w="2846" w:type="dxa"/>
            <w:vAlign w:val="center"/>
          </w:tcPr>
          <w:p w14:paraId="7D9EF8E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7.42</w:t>
            </w:r>
          </w:p>
        </w:tc>
        <w:tc>
          <w:tcPr>
            <w:tcW w:w="2846" w:type="dxa"/>
            <w:vAlign w:val="center"/>
          </w:tcPr>
          <w:p w14:paraId="210483D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11.88</w:t>
            </w:r>
          </w:p>
        </w:tc>
        <w:tc>
          <w:tcPr>
            <w:tcW w:w="1518" w:type="dxa"/>
            <w:vAlign w:val="center"/>
          </w:tcPr>
          <w:p w14:paraId="7CBEEB1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↑4.46</w:t>
            </w:r>
          </w:p>
        </w:tc>
      </w:tr>
      <w:tr w14:paraId="1EC2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7EEE881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虚假宣传</w:t>
            </w:r>
          </w:p>
        </w:tc>
        <w:tc>
          <w:tcPr>
            <w:tcW w:w="2846" w:type="dxa"/>
            <w:vAlign w:val="center"/>
          </w:tcPr>
          <w:p w14:paraId="2FE7D2E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7.09</w:t>
            </w:r>
          </w:p>
        </w:tc>
        <w:tc>
          <w:tcPr>
            <w:tcW w:w="2846" w:type="dxa"/>
            <w:vAlign w:val="center"/>
          </w:tcPr>
          <w:p w14:paraId="5A2B546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10.28</w:t>
            </w:r>
          </w:p>
        </w:tc>
        <w:tc>
          <w:tcPr>
            <w:tcW w:w="1518" w:type="dxa"/>
            <w:vAlign w:val="center"/>
          </w:tcPr>
          <w:p w14:paraId="22E5521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↑3.19</w:t>
            </w:r>
          </w:p>
        </w:tc>
      </w:tr>
      <w:tr w14:paraId="65BF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7090486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质量</w:t>
            </w:r>
          </w:p>
        </w:tc>
        <w:tc>
          <w:tcPr>
            <w:tcW w:w="2846" w:type="dxa"/>
            <w:vAlign w:val="center"/>
          </w:tcPr>
          <w:p w14:paraId="27B9ED5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33.01</w:t>
            </w:r>
          </w:p>
        </w:tc>
        <w:tc>
          <w:tcPr>
            <w:tcW w:w="2846" w:type="dxa"/>
            <w:vAlign w:val="center"/>
          </w:tcPr>
          <w:p w14:paraId="363E382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33.82</w:t>
            </w:r>
          </w:p>
        </w:tc>
        <w:tc>
          <w:tcPr>
            <w:tcW w:w="1518" w:type="dxa"/>
            <w:vAlign w:val="center"/>
          </w:tcPr>
          <w:p w14:paraId="17D8A98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↑0.81</w:t>
            </w:r>
          </w:p>
        </w:tc>
      </w:tr>
      <w:tr w14:paraId="48CF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08C75E0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人格权益</w:t>
            </w:r>
          </w:p>
        </w:tc>
        <w:tc>
          <w:tcPr>
            <w:tcW w:w="2846" w:type="dxa"/>
            <w:vAlign w:val="center"/>
          </w:tcPr>
          <w:p w14:paraId="35083E0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0.43</w:t>
            </w:r>
          </w:p>
        </w:tc>
        <w:tc>
          <w:tcPr>
            <w:tcW w:w="2846" w:type="dxa"/>
            <w:vAlign w:val="center"/>
          </w:tcPr>
          <w:p w14:paraId="5A8C66C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0.70</w:t>
            </w:r>
          </w:p>
        </w:tc>
        <w:tc>
          <w:tcPr>
            <w:tcW w:w="1518" w:type="dxa"/>
            <w:vAlign w:val="center"/>
          </w:tcPr>
          <w:p w14:paraId="5CA1D45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↑0.27</w:t>
            </w:r>
          </w:p>
        </w:tc>
      </w:tr>
      <w:tr w14:paraId="537B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14AB2EB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假冒</w:t>
            </w:r>
          </w:p>
        </w:tc>
        <w:tc>
          <w:tcPr>
            <w:tcW w:w="2846" w:type="dxa"/>
            <w:vAlign w:val="center"/>
          </w:tcPr>
          <w:p w14:paraId="154556E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1.14</w:t>
            </w:r>
          </w:p>
        </w:tc>
        <w:tc>
          <w:tcPr>
            <w:tcW w:w="2846" w:type="dxa"/>
            <w:vAlign w:val="center"/>
          </w:tcPr>
          <w:p w14:paraId="7583A3A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0.84</w:t>
            </w:r>
          </w:p>
        </w:tc>
        <w:tc>
          <w:tcPr>
            <w:tcW w:w="1518" w:type="dxa"/>
            <w:vAlign w:val="center"/>
          </w:tcPr>
          <w:p w14:paraId="1326C63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↓0.30</w:t>
            </w:r>
          </w:p>
        </w:tc>
      </w:tr>
      <w:tr w14:paraId="0D6E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3FFC8A6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计量</w:t>
            </w:r>
          </w:p>
        </w:tc>
        <w:tc>
          <w:tcPr>
            <w:tcW w:w="2846" w:type="dxa"/>
            <w:vAlign w:val="center"/>
          </w:tcPr>
          <w:p w14:paraId="7FD006B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2.40</w:t>
            </w:r>
          </w:p>
        </w:tc>
        <w:tc>
          <w:tcPr>
            <w:tcW w:w="2846" w:type="dxa"/>
            <w:vAlign w:val="center"/>
          </w:tcPr>
          <w:p w14:paraId="2B12872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1.52</w:t>
            </w:r>
          </w:p>
        </w:tc>
        <w:tc>
          <w:tcPr>
            <w:tcW w:w="1518" w:type="dxa"/>
            <w:vAlign w:val="center"/>
          </w:tcPr>
          <w:p w14:paraId="664A7B6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↓0.88</w:t>
            </w:r>
          </w:p>
        </w:tc>
      </w:tr>
      <w:tr w14:paraId="6E4F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0864C42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售后服务</w:t>
            </w:r>
          </w:p>
        </w:tc>
        <w:tc>
          <w:tcPr>
            <w:tcW w:w="2846" w:type="dxa"/>
            <w:vAlign w:val="center"/>
          </w:tcPr>
          <w:p w14:paraId="1D1EB54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19.49</w:t>
            </w:r>
          </w:p>
        </w:tc>
        <w:tc>
          <w:tcPr>
            <w:tcW w:w="2846" w:type="dxa"/>
            <w:vAlign w:val="center"/>
          </w:tcPr>
          <w:p w14:paraId="31C11A3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16.88</w:t>
            </w:r>
          </w:p>
        </w:tc>
        <w:tc>
          <w:tcPr>
            <w:tcW w:w="1518" w:type="dxa"/>
            <w:vAlign w:val="center"/>
          </w:tcPr>
          <w:p w14:paraId="0293A81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↓2.61</w:t>
            </w:r>
          </w:p>
        </w:tc>
      </w:tr>
      <w:tr w14:paraId="2B19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57B6588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合同</w:t>
            </w:r>
          </w:p>
        </w:tc>
        <w:tc>
          <w:tcPr>
            <w:tcW w:w="2846" w:type="dxa"/>
            <w:vAlign w:val="center"/>
          </w:tcPr>
          <w:p w14:paraId="3BA02D8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12.41</w:t>
            </w:r>
          </w:p>
        </w:tc>
        <w:tc>
          <w:tcPr>
            <w:tcW w:w="2846" w:type="dxa"/>
            <w:vAlign w:val="center"/>
          </w:tcPr>
          <w:p w14:paraId="1D1489F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9.61</w:t>
            </w:r>
          </w:p>
        </w:tc>
        <w:tc>
          <w:tcPr>
            <w:tcW w:w="1518" w:type="dxa"/>
            <w:vAlign w:val="center"/>
          </w:tcPr>
          <w:p w14:paraId="3F9224C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↓2.80</w:t>
            </w:r>
          </w:p>
        </w:tc>
      </w:tr>
      <w:tr w14:paraId="0F0F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1746194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价格</w:t>
            </w:r>
          </w:p>
        </w:tc>
        <w:tc>
          <w:tcPr>
            <w:tcW w:w="2846" w:type="dxa"/>
            <w:vAlign w:val="center"/>
          </w:tcPr>
          <w:p w14:paraId="7E06622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11.21</w:t>
            </w:r>
          </w:p>
        </w:tc>
        <w:tc>
          <w:tcPr>
            <w:tcW w:w="2846" w:type="dxa"/>
            <w:vAlign w:val="center"/>
          </w:tcPr>
          <w:p w14:paraId="0A2747F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7.28</w:t>
            </w:r>
          </w:p>
        </w:tc>
        <w:tc>
          <w:tcPr>
            <w:tcW w:w="1518" w:type="dxa"/>
            <w:vAlign w:val="center"/>
          </w:tcPr>
          <w:p w14:paraId="7C1EEE0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↓3.93</w:t>
            </w:r>
          </w:p>
        </w:tc>
      </w:tr>
      <w:tr w14:paraId="123E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119" w:type="dxa"/>
            <w:vAlign w:val="center"/>
          </w:tcPr>
          <w:p w14:paraId="2ADE0DC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其他</w:t>
            </w:r>
          </w:p>
        </w:tc>
        <w:tc>
          <w:tcPr>
            <w:tcW w:w="2846" w:type="dxa"/>
            <w:vAlign w:val="center"/>
          </w:tcPr>
          <w:p w14:paraId="1A19345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5.38</w:t>
            </w:r>
          </w:p>
        </w:tc>
        <w:tc>
          <w:tcPr>
            <w:tcW w:w="2846" w:type="dxa"/>
            <w:vAlign w:val="center"/>
          </w:tcPr>
          <w:p w14:paraId="41F3839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7.19</w:t>
            </w:r>
          </w:p>
        </w:tc>
        <w:tc>
          <w:tcPr>
            <w:tcW w:w="1518" w:type="dxa"/>
            <w:vAlign w:val="center"/>
          </w:tcPr>
          <w:p w14:paraId="3E9E51F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↑1.81</w:t>
            </w:r>
          </w:p>
        </w:tc>
      </w:tr>
    </w:tbl>
    <w:p w14:paraId="01B764BA">
      <w:pPr>
        <w:spacing w:line="600" w:lineRule="exact"/>
        <w:ind w:firstLine="643" w:firstLineChars="200"/>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（二）商品类投诉分析</w:t>
      </w:r>
    </w:p>
    <w:p w14:paraId="600F2A86">
      <w:pPr>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在2024年第三季度的消费者投诉案件中，根据投诉商品种类分析，涉及食品类、日用商品类和家用电子电器类占据了消费者投诉的前三位（见图2）。</w:t>
      </w:r>
    </w:p>
    <w:p w14:paraId="1B117204">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margin">
              <wp:posOffset>256540</wp:posOffset>
            </wp:positionH>
            <wp:positionV relativeFrom="margin">
              <wp:posOffset>5259705</wp:posOffset>
            </wp:positionV>
            <wp:extent cx="5343525" cy="2867025"/>
            <wp:effectExtent l="0" t="0" r="0" b="0"/>
            <wp:wrapSquare wrapText="bothSides"/>
            <wp:docPr id="4" name="对象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方正仿宋简体" w:hAnsi="仿宋" w:eastAsia="方正仿宋简体" w:cs="宋体"/>
          <w:color w:val="000000" w:themeColor="text1"/>
          <w:kern w:val="0"/>
          <w:sz w:val="32"/>
          <w:szCs w:val="32"/>
          <w14:textFill>
            <w14:solidFill>
              <w14:schemeClr w14:val="tx1"/>
            </w14:solidFill>
          </w14:textFill>
        </w:rPr>
        <w:t>图2：商品大类投诉量图（单位:件）</w:t>
      </w:r>
    </w:p>
    <w:p w14:paraId="543AC6F6">
      <w:pPr>
        <w:spacing w:line="600" w:lineRule="exact"/>
        <w:ind w:firstLine="640" w:firstLineChars="200"/>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仿宋"/>
          <w:color w:val="000000" w:themeColor="text1"/>
          <w:kern w:val="0"/>
          <w:sz w:val="32"/>
          <w:szCs w:val="32"/>
          <w14:textFill>
            <w14:solidFill>
              <w14:schemeClr w14:val="tx1"/>
            </w14:solidFill>
          </w14:textFill>
        </w:rPr>
        <w:t>与去年同期相比，</w:t>
      </w:r>
      <w:r>
        <w:rPr>
          <w:rFonts w:hint="eastAsia" w:ascii="方正仿宋简体" w:hAnsi="仿宋" w:eastAsia="方正仿宋简体" w:cs="宋体"/>
          <w:color w:val="000000" w:themeColor="text1"/>
          <w:kern w:val="0"/>
          <w:sz w:val="32"/>
          <w:szCs w:val="32"/>
          <w14:textFill>
            <w14:solidFill>
              <w14:schemeClr w14:val="tx1"/>
            </w14:solidFill>
          </w14:textFill>
        </w:rPr>
        <w:t>食品类</w:t>
      </w:r>
      <w:r>
        <w:rPr>
          <w:rFonts w:hint="eastAsia" w:ascii="方正仿宋简体" w:hAnsi="仿宋" w:eastAsia="方正仿宋简体" w:cs="仿宋"/>
          <w:color w:val="000000" w:themeColor="text1"/>
          <w:kern w:val="0"/>
          <w:sz w:val="32"/>
          <w:szCs w:val="32"/>
          <w14:textFill>
            <w14:solidFill>
              <w14:schemeClr w14:val="tx1"/>
            </w14:solidFill>
          </w14:textFill>
        </w:rPr>
        <w:t>的投诉呈显著上升趋势，而</w:t>
      </w:r>
      <w:r>
        <w:rPr>
          <w:rFonts w:hint="eastAsia" w:ascii="方正仿宋简体" w:hAnsi="仿宋" w:eastAsia="方正仿宋简体" w:cs="宋体"/>
          <w:color w:val="000000" w:themeColor="text1"/>
          <w:kern w:val="0"/>
          <w:sz w:val="32"/>
          <w:szCs w:val="32"/>
          <w14:textFill>
            <w14:solidFill>
              <w14:schemeClr w14:val="tx1"/>
            </w14:solidFill>
          </w14:textFill>
        </w:rPr>
        <w:t>家用电子电器类、服装鞋帽类、房屋及建材类等</w:t>
      </w:r>
      <w:r>
        <w:rPr>
          <w:rFonts w:hint="eastAsia" w:ascii="方正仿宋简体" w:hAnsi="仿宋" w:eastAsia="方正仿宋简体" w:cs="仿宋"/>
          <w:color w:val="000000" w:themeColor="text1"/>
          <w:kern w:val="0"/>
          <w:sz w:val="32"/>
          <w:szCs w:val="32"/>
          <w14:textFill>
            <w14:solidFill>
              <w14:schemeClr w14:val="tx1"/>
            </w14:solidFill>
          </w14:textFill>
        </w:rPr>
        <w:t>下降趋势较为明显（见表2）。食品关系到每一位消费者的切身权益，食品安全任重而道远。</w:t>
      </w:r>
    </w:p>
    <w:p w14:paraId="4498FDE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表2 商品大类占总投诉量变化表</w:t>
      </w:r>
    </w:p>
    <w:tbl>
      <w:tblPr>
        <w:tblStyle w:val="15"/>
        <w:tblW w:w="878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76"/>
        <w:gridCol w:w="2299"/>
        <w:gridCol w:w="2299"/>
        <w:gridCol w:w="1315"/>
      </w:tblGrid>
      <w:tr w14:paraId="6C5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443FFCF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商品大类</w:t>
            </w:r>
          </w:p>
        </w:tc>
        <w:tc>
          <w:tcPr>
            <w:tcW w:w="2299" w:type="dxa"/>
            <w:vAlign w:val="center"/>
          </w:tcPr>
          <w:p w14:paraId="2EB534B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2023年第三季度投诉量占投诉总量比（%）</w:t>
            </w:r>
          </w:p>
        </w:tc>
        <w:tc>
          <w:tcPr>
            <w:tcW w:w="2299" w:type="dxa"/>
          </w:tcPr>
          <w:p w14:paraId="310ED0B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2024年第三季度投诉量占投诉总量比（%）</w:t>
            </w:r>
          </w:p>
        </w:tc>
        <w:tc>
          <w:tcPr>
            <w:tcW w:w="1315" w:type="dxa"/>
            <w:vAlign w:val="center"/>
          </w:tcPr>
          <w:p w14:paraId="374FC7E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14:paraId="66B2EFB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14:paraId="41B9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2BBC7EB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食品类</w:t>
            </w:r>
          </w:p>
        </w:tc>
        <w:tc>
          <w:tcPr>
            <w:tcW w:w="2299" w:type="dxa"/>
          </w:tcPr>
          <w:p w14:paraId="76AE8C3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18.15</w:t>
            </w:r>
          </w:p>
        </w:tc>
        <w:tc>
          <w:tcPr>
            <w:tcW w:w="2299" w:type="dxa"/>
          </w:tcPr>
          <w:p w14:paraId="78E18AF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25.34</w:t>
            </w:r>
          </w:p>
        </w:tc>
        <w:tc>
          <w:tcPr>
            <w:tcW w:w="1315" w:type="dxa"/>
            <w:vAlign w:val="center"/>
          </w:tcPr>
          <w:p w14:paraId="5A341B2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↑7.19</w:t>
            </w:r>
          </w:p>
        </w:tc>
      </w:tr>
      <w:tr w14:paraId="23EE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2314500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烟、酒和饮料类</w:t>
            </w:r>
          </w:p>
        </w:tc>
        <w:tc>
          <w:tcPr>
            <w:tcW w:w="2299" w:type="dxa"/>
          </w:tcPr>
          <w:p w14:paraId="14AB8F7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2.85</w:t>
            </w:r>
          </w:p>
        </w:tc>
        <w:tc>
          <w:tcPr>
            <w:tcW w:w="2299" w:type="dxa"/>
          </w:tcPr>
          <w:p w14:paraId="38D1D6A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3.20</w:t>
            </w:r>
          </w:p>
        </w:tc>
        <w:tc>
          <w:tcPr>
            <w:tcW w:w="1315" w:type="dxa"/>
            <w:vAlign w:val="center"/>
          </w:tcPr>
          <w:p w14:paraId="2372106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↑0.35</w:t>
            </w:r>
          </w:p>
        </w:tc>
      </w:tr>
      <w:tr w14:paraId="13AC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309161E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交通工具类</w:t>
            </w:r>
          </w:p>
        </w:tc>
        <w:tc>
          <w:tcPr>
            <w:tcW w:w="2299" w:type="dxa"/>
          </w:tcPr>
          <w:p w14:paraId="35D8015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2.56</w:t>
            </w:r>
          </w:p>
        </w:tc>
        <w:tc>
          <w:tcPr>
            <w:tcW w:w="2299" w:type="dxa"/>
          </w:tcPr>
          <w:p w14:paraId="5CE4ED8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2.79</w:t>
            </w:r>
          </w:p>
        </w:tc>
        <w:tc>
          <w:tcPr>
            <w:tcW w:w="1315" w:type="dxa"/>
            <w:vAlign w:val="center"/>
          </w:tcPr>
          <w:p w14:paraId="772C5B0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↑0.23</w:t>
            </w:r>
          </w:p>
        </w:tc>
      </w:tr>
      <w:tr w14:paraId="011F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26D283A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日用商品类</w:t>
            </w:r>
          </w:p>
        </w:tc>
        <w:tc>
          <w:tcPr>
            <w:tcW w:w="2299" w:type="dxa"/>
          </w:tcPr>
          <w:p w14:paraId="463C2CC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6.39</w:t>
            </w:r>
          </w:p>
        </w:tc>
        <w:tc>
          <w:tcPr>
            <w:tcW w:w="2299" w:type="dxa"/>
          </w:tcPr>
          <w:p w14:paraId="1CB86BA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6.49</w:t>
            </w:r>
          </w:p>
        </w:tc>
        <w:tc>
          <w:tcPr>
            <w:tcW w:w="1315" w:type="dxa"/>
            <w:vAlign w:val="center"/>
          </w:tcPr>
          <w:p w14:paraId="7E6CCFB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↑0.10</w:t>
            </w:r>
          </w:p>
        </w:tc>
      </w:tr>
      <w:tr w14:paraId="295A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4A78BAA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首饰及文体用品类</w:t>
            </w:r>
          </w:p>
        </w:tc>
        <w:tc>
          <w:tcPr>
            <w:tcW w:w="2299" w:type="dxa"/>
          </w:tcPr>
          <w:p w14:paraId="3790A5A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2.85</w:t>
            </w:r>
          </w:p>
        </w:tc>
        <w:tc>
          <w:tcPr>
            <w:tcW w:w="2299" w:type="dxa"/>
          </w:tcPr>
          <w:p w14:paraId="0EDD732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2.74</w:t>
            </w:r>
          </w:p>
        </w:tc>
        <w:tc>
          <w:tcPr>
            <w:tcW w:w="1315" w:type="dxa"/>
            <w:vAlign w:val="center"/>
          </w:tcPr>
          <w:p w14:paraId="7AB3A9B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↓0.11</w:t>
            </w:r>
          </w:p>
        </w:tc>
      </w:tr>
      <w:tr w14:paraId="14F8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1EC1F13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农用生产资料类</w:t>
            </w:r>
          </w:p>
        </w:tc>
        <w:tc>
          <w:tcPr>
            <w:tcW w:w="2299" w:type="dxa"/>
          </w:tcPr>
          <w:p w14:paraId="1123938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0.56</w:t>
            </w:r>
          </w:p>
        </w:tc>
        <w:tc>
          <w:tcPr>
            <w:tcW w:w="2299" w:type="dxa"/>
          </w:tcPr>
          <w:p w14:paraId="420542D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0.28</w:t>
            </w:r>
          </w:p>
        </w:tc>
        <w:tc>
          <w:tcPr>
            <w:tcW w:w="1315" w:type="dxa"/>
            <w:vAlign w:val="center"/>
          </w:tcPr>
          <w:p w14:paraId="29151A1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↓0.28</w:t>
            </w:r>
          </w:p>
        </w:tc>
      </w:tr>
      <w:tr w14:paraId="220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70D9F3B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医药及医疗用品类</w:t>
            </w:r>
          </w:p>
        </w:tc>
        <w:tc>
          <w:tcPr>
            <w:tcW w:w="2299" w:type="dxa"/>
          </w:tcPr>
          <w:p w14:paraId="10F9C3E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2.66</w:t>
            </w:r>
          </w:p>
        </w:tc>
        <w:tc>
          <w:tcPr>
            <w:tcW w:w="2299" w:type="dxa"/>
          </w:tcPr>
          <w:p w14:paraId="61F4368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2.20</w:t>
            </w:r>
          </w:p>
        </w:tc>
        <w:tc>
          <w:tcPr>
            <w:tcW w:w="1315" w:type="dxa"/>
            <w:vAlign w:val="center"/>
          </w:tcPr>
          <w:p w14:paraId="534FE2B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↓0.46</w:t>
            </w:r>
          </w:p>
        </w:tc>
      </w:tr>
      <w:tr w14:paraId="4BE2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3341BAE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房屋及建材类</w:t>
            </w:r>
          </w:p>
        </w:tc>
        <w:tc>
          <w:tcPr>
            <w:tcW w:w="2299" w:type="dxa"/>
          </w:tcPr>
          <w:p w14:paraId="0318738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5.46</w:t>
            </w:r>
          </w:p>
        </w:tc>
        <w:tc>
          <w:tcPr>
            <w:tcW w:w="2299" w:type="dxa"/>
          </w:tcPr>
          <w:p w14:paraId="6480303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3.08</w:t>
            </w:r>
          </w:p>
        </w:tc>
        <w:tc>
          <w:tcPr>
            <w:tcW w:w="1315" w:type="dxa"/>
            <w:vAlign w:val="center"/>
          </w:tcPr>
          <w:p w14:paraId="20E7087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↓2.38</w:t>
            </w:r>
          </w:p>
        </w:tc>
      </w:tr>
      <w:tr w14:paraId="2308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191A05C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服装鞋帽类</w:t>
            </w:r>
          </w:p>
        </w:tc>
        <w:tc>
          <w:tcPr>
            <w:tcW w:w="2299" w:type="dxa"/>
          </w:tcPr>
          <w:p w14:paraId="56971AD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7.83</w:t>
            </w:r>
          </w:p>
        </w:tc>
        <w:tc>
          <w:tcPr>
            <w:tcW w:w="2299" w:type="dxa"/>
          </w:tcPr>
          <w:p w14:paraId="17BF6BA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4.17</w:t>
            </w:r>
          </w:p>
        </w:tc>
        <w:tc>
          <w:tcPr>
            <w:tcW w:w="1315" w:type="dxa"/>
            <w:vAlign w:val="center"/>
          </w:tcPr>
          <w:p w14:paraId="4478040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↓3.66</w:t>
            </w:r>
          </w:p>
        </w:tc>
      </w:tr>
      <w:tr w14:paraId="0DCB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876" w:type="dxa"/>
            <w:vAlign w:val="center"/>
          </w:tcPr>
          <w:p w14:paraId="34E0A44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家用电子电器类</w:t>
            </w:r>
          </w:p>
        </w:tc>
        <w:tc>
          <w:tcPr>
            <w:tcW w:w="2299" w:type="dxa"/>
          </w:tcPr>
          <w:p w14:paraId="48D8422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9.78</w:t>
            </w:r>
          </w:p>
        </w:tc>
        <w:tc>
          <w:tcPr>
            <w:tcW w:w="2299" w:type="dxa"/>
          </w:tcPr>
          <w:p w14:paraId="743F059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5.47</w:t>
            </w:r>
          </w:p>
        </w:tc>
        <w:tc>
          <w:tcPr>
            <w:tcW w:w="1315" w:type="dxa"/>
            <w:vAlign w:val="center"/>
          </w:tcPr>
          <w:p w14:paraId="25AE79D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↓4.31</w:t>
            </w:r>
          </w:p>
        </w:tc>
      </w:tr>
    </w:tbl>
    <w:p w14:paraId="5E0CE0BC">
      <w:pPr>
        <w:widowControl/>
        <w:spacing w:line="600" w:lineRule="exact"/>
        <w:ind w:firstLine="707" w:firstLineChars="220"/>
        <w:jc w:val="left"/>
        <w:rPr>
          <w:rFonts w:ascii="方正楷体简体" w:hAnsi="仿宋" w:eastAsia="方正楷体简体" w:cs="宋体"/>
          <w:b/>
          <w:color w:val="000000" w:themeColor="text1"/>
          <w:kern w:val="0"/>
          <w:sz w:val="32"/>
          <w:szCs w:val="32"/>
          <w14:textFill>
            <w14:solidFill>
              <w14:schemeClr w14:val="tx1"/>
            </w14:solidFill>
          </w14:textFill>
        </w:rPr>
      </w:pPr>
    </w:p>
    <w:p w14:paraId="69B0464E">
      <w:pPr>
        <w:widowControl/>
        <w:spacing w:line="600" w:lineRule="exact"/>
        <w:ind w:firstLine="707" w:firstLineChars="220"/>
        <w:jc w:val="left"/>
        <w:rPr>
          <w:rFonts w:ascii="方正楷体简体" w:hAnsi="仿宋" w:eastAsia="方正楷体简体" w:cs="宋体"/>
          <w:b/>
          <w:color w:val="000000" w:themeColor="text1"/>
          <w:kern w:val="0"/>
          <w:sz w:val="32"/>
          <w:szCs w:val="32"/>
          <w14:textFill>
            <w14:solidFill>
              <w14:schemeClr w14:val="tx1"/>
            </w14:solidFill>
          </w14:textFill>
        </w:rPr>
      </w:pPr>
    </w:p>
    <w:p w14:paraId="28B426FF">
      <w:pPr>
        <w:widowControl/>
        <w:spacing w:line="600" w:lineRule="exact"/>
        <w:ind w:firstLine="707" w:firstLineChars="220"/>
        <w:jc w:val="left"/>
        <w:rPr>
          <w:rFonts w:ascii="方正楷体简体" w:hAnsi="仿宋" w:eastAsia="方正楷体简体" w:cs="宋体"/>
          <w:b/>
          <w:color w:val="000000" w:themeColor="text1"/>
          <w:kern w:val="0"/>
          <w:sz w:val="32"/>
          <w:szCs w:val="32"/>
          <w14:textFill>
            <w14:solidFill>
              <w14:schemeClr w14:val="tx1"/>
            </w14:solidFill>
          </w14:textFill>
        </w:rPr>
      </w:pPr>
      <w:r>
        <w:rPr>
          <w:rFonts w:hint="eastAsia" w:ascii="方正楷体简体" w:hAnsi="仿宋" w:eastAsia="方正楷体简体" w:cs="宋体"/>
          <w:b/>
          <w:color w:val="000000" w:themeColor="text1"/>
          <w:kern w:val="0"/>
          <w:sz w:val="32"/>
          <w:szCs w:val="32"/>
          <w14:textFill>
            <w14:solidFill>
              <w14:schemeClr w14:val="tx1"/>
            </w14:solidFill>
          </w14:textFill>
        </w:rPr>
        <w:t>（三）服务类投诉分析</w:t>
      </w:r>
    </w:p>
    <w:p w14:paraId="22792C86">
      <w:pPr>
        <w:widowControl/>
        <w:spacing w:line="600" w:lineRule="exact"/>
        <w:ind w:firstLine="704" w:firstLineChars="220"/>
        <w:jc w:val="left"/>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按服务种类来分，涉及生活、社会服务类，</w:t>
      </w:r>
      <w:r>
        <w:rPr>
          <w:rFonts w:hint="eastAsia" w:ascii="方正仿宋简体" w:hAnsi="仿宋" w:eastAsia="方正仿宋简体" w:cs="仿宋"/>
          <w:color w:val="000000" w:themeColor="text1"/>
          <w:kern w:val="0"/>
          <w:sz w:val="32"/>
          <w:szCs w:val="32"/>
          <w14:textFill>
            <w14:solidFill>
              <w14:schemeClr w14:val="tx1"/>
            </w14:solidFill>
          </w14:textFill>
        </w:rPr>
        <w:t>销售服务及</w:t>
      </w:r>
      <w:r>
        <w:rPr>
          <w:rFonts w:hint="eastAsia" w:ascii="方正仿宋简体" w:hAnsi="仿宋" w:eastAsia="方正仿宋简体" w:cs="宋体"/>
          <w:color w:val="000000" w:themeColor="text1"/>
          <w:kern w:val="0"/>
          <w:sz w:val="32"/>
          <w:szCs w:val="32"/>
          <w14:textFill>
            <w14:solidFill>
              <w14:schemeClr w14:val="tx1"/>
            </w14:solidFill>
          </w14:textFill>
        </w:rPr>
        <w:t>教育培训服务的消费者投诉居前三位（见图3）。</w:t>
      </w:r>
    </w:p>
    <w:p w14:paraId="328B21D2">
      <w:pPr>
        <w:pStyle w:val="6"/>
      </w:pPr>
    </w:p>
    <w:p w14:paraId="2416DA07">
      <w:pPr>
        <w:widowControl/>
        <w:spacing w:line="600" w:lineRule="exact"/>
        <w:ind w:firstLine="704" w:firstLineChars="220"/>
        <w:jc w:val="left"/>
        <w:rPr>
          <w:rFonts w:ascii="仿宋" w:hAnsi="仿宋" w:eastAsia="仿宋"/>
          <w:color w:val="77933C" w:themeColor="accent3" w:themeShade="BF"/>
          <w:sz w:val="32"/>
          <w:szCs w:val="32"/>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0" locked="0" layoutInCell="1" allowOverlap="0">
            <wp:simplePos x="0" y="0"/>
            <wp:positionH relativeFrom="column">
              <wp:posOffset>132715</wp:posOffset>
            </wp:positionH>
            <wp:positionV relativeFrom="paragraph">
              <wp:posOffset>-50800</wp:posOffset>
            </wp:positionV>
            <wp:extent cx="5486400" cy="3657600"/>
            <wp:effectExtent l="0" t="0" r="0" b="0"/>
            <wp:wrapNone/>
            <wp:docPr id="1" name="对象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4055ECF">
      <w:pPr>
        <w:widowControl/>
        <w:spacing w:line="600" w:lineRule="exact"/>
        <w:ind w:firstLine="704" w:firstLineChars="220"/>
        <w:jc w:val="left"/>
        <w:rPr>
          <w:rFonts w:ascii="仿宋" w:hAnsi="仿宋" w:eastAsia="仿宋"/>
          <w:color w:val="77933C" w:themeColor="accent3" w:themeShade="BF"/>
          <w:sz w:val="32"/>
          <w:szCs w:val="32"/>
        </w:rPr>
      </w:pPr>
    </w:p>
    <w:p w14:paraId="751A86FD">
      <w:pPr>
        <w:widowControl/>
        <w:spacing w:line="600" w:lineRule="exact"/>
        <w:ind w:firstLine="704" w:firstLineChars="220"/>
        <w:jc w:val="left"/>
        <w:rPr>
          <w:rFonts w:ascii="仿宋" w:hAnsi="仿宋" w:eastAsia="仿宋"/>
          <w:color w:val="77933C" w:themeColor="accent3" w:themeShade="BF"/>
          <w:sz w:val="32"/>
          <w:szCs w:val="32"/>
        </w:rPr>
      </w:pPr>
    </w:p>
    <w:p w14:paraId="0D28A814">
      <w:pPr>
        <w:widowControl/>
        <w:spacing w:line="600" w:lineRule="exact"/>
        <w:ind w:firstLine="704" w:firstLineChars="220"/>
        <w:jc w:val="left"/>
        <w:rPr>
          <w:rFonts w:ascii="仿宋" w:hAnsi="仿宋" w:eastAsia="仿宋"/>
          <w:color w:val="77933C" w:themeColor="accent3" w:themeShade="BF"/>
          <w:sz w:val="32"/>
          <w:szCs w:val="32"/>
        </w:rPr>
      </w:pPr>
    </w:p>
    <w:p w14:paraId="2F1FC2D8">
      <w:pPr>
        <w:widowControl/>
        <w:spacing w:line="600" w:lineRule="exact"/>
        <w:ind w:firstLine="704" w:firstLineChars="220"/>
        <w:jc w:val="left"/>
        <w:rPr>
          <w:rFonts w:ascii="仿宋" w:hAnsi="仿宋" w:eastAsia="仿宋"/>
          <w:color w:val="77933C" w:themeColor="accent3" w:themeShade="BF"/>
          <w:sz w:val="32"/>
          <w:szCs w:val="32"/>
        </w:rPr>
      </w:pPr>
    </w:p>
    <w:p w14:paraId="65DCC724">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61F2B63E">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4A75E0CD">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16024C25">
      <w:pPr>
        <w:widowControl/>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p>
    <w:p w14:paraId="4388D2D1">
      <w:pPr>
        <w:widowControl/>
        <w:spacing w:line="600" w:lineRule="exact"/>
        <w:ind w:firstLine="704" w:firstLineChars="220"/>
        <w:jc w:val="center"/>
        <w:rPr>
          <w:rFonts w:ascii="仿宋" w:hAnsi="仿宋" w:eastAsia="仿宋"/>
          <w:color w:val="000000" w:themeColor="text1"/>
          <w:sz w:val="32"/>
          <w:szCs w:val="32"/>
          <w14:textFill>
            <w14:solidFill>
              <w14:schemeClr w14:val="tx1"/>
            </w14:solidFill>
          </w14:textFill>
        </w:rPr>
      </w:pPr>
      <w:r>
        <w:rPr>
          <w:rFonts w:hint="eastAsia" w:ascii="方正仿宋简体" w:hAnsi="仿宋" w:eastAsia="方正仿宋简体"/>
          <w:color w:val="000000" w:themeColor="text1"/>
          <w:sz w:val="32"/>
          <w:szCs w:val="32"/>
          <w14:textFill>
            <w14:solidFill>
              <w14:schemeClr w14:val="tx1"/>
            </w14:solidFill>
          </w14:textFill>
        </w:rPr>
        <w:t>图3   服务大类投诉量图（单位：件）</w:t>
      </w:r>
    </w:p>
    <w:p w14:paraId="4B422247">
      <w:pPr>
        <w:widowControl/>
        <w:tabs>
          <w:tab w:val="left" w:pos="6165"/>
        </w:tabs>
        <w:spacing w:line="600" w:lineRule="exact"/>
        <w:ind w:firstLine="704" w:firstLineChars="220"/>
        <w:jc w:val="left"/>
        <w:rPr>
          <w:rFonts w:ascii="方正仿宋简体" w:hAnsi="仿宋" w:eastAsia="方正仿宋简体" w:cs="仿宋"/>
          <w:color w:val="000000" w:themeColor="text1"/>
          <w:kern w:val="0"/>
          <w:sz w:val="32"/>
          <w:szCs w:val="32"/>
          <w14:textFill>
            <w14:solidFill>
              <w14:schemeClr w14:val="tx1"/>
            </w14:solidFill>
          </w14:textFill>
        </w:rPr>
      </w:pPr>
      <w:r>
        <w:rPr>
          <w:rFonts w:ascii="方正仿宋简体" w:hAnsi="仿宋" w:eastAsia="方正仿宋简体" w:cs="仿宋"/>
          <w:color w:val="000000" w:themeColor="text1"/>
          <w:kern w:val="0"/>
          <w:sz w:val="32"/>
          <w:szCs w:val="32"/>
          <w14:textFill>
            <w14:solidFill>
              <w14:schemeClr w14:val="tx1"/>
            </w14:solidFill>
          </w14:textFill>
        </w:rPr>
        <w:tab/>
      </w:r>
    </w:p>
    <w:p w14:paraId="3D9FD445">
      <w:pPr>
        <w:widowControl/>
        <w:spacing w:line="600" w:lineRule="exact"/>
        <w:ind w:firstLine="704" w:firstLineChars="220"/>
        <w:jc w:val="left"/>
        <w:rPr>
          <w:rFonts w:ascii="方正仿宋简体" w:hAnsi="仿宋" w:eastAsia="方正仿宋简体"/>
          <w:color w:val="77933C" w:themeColor="accent3" w:themeShade="BF"/>
          <w:sz w:val="32"/>
          <w:szCs w:val="32"/>
        </w:rPr>
      </w:pPr>
      <w:r>
        <w:rPr>
          <w:rFonts w:hint="eastAsia" w:ascii="方正仿宋简体" w:hAnsi="仿宋" w:eastAsia="方正仿宋简体" w:cs="仿宋"/>
          <w:color w:val="000000" w:themeColor="text1"/>
          <w:kern w:val="0"/>
          <w:sz w:val="32"/>
          <w:szCs w:val="32"/>
          <w14:textFill>
            <w14:solidFill>
              <w14:schemeClr w14:val="tx1"/>
            </w14:solidFill>
          </w14:textFill>
        </w:rPr>
        <w:t>与去年期相比，</w:t>
      </w:r>
      <w:r>
        <w:rPr>
          <w:rFonts w:hint="eastAsia" w:ascii="方正仿宋简体" w:hAnsi="仿宋" w:eastAsia="方正仿宋简体" w:cs="宋体"/>
          <w:color w:val="000000" w:themeColor="text1"/>
          <w:kern w:val="0"/>
          <w:sz w:val="32"/>
          <w:szCs w:val="32"/>
          <w14:textFill>
            <w14:solidFill>
              <w14:schemeClr w14:val="tx1"/>
            </w14:solidFill>
          </w14:textFill>
        </w:rPr>
        <w:t>教育培训服务类和互联网服务类</w:t>
      </w:r>
      <w:r>
        <w:rPr>
          <w:rFonts w:hint="eastAsia" w:ascii="方正仿宋简体" w:hAnsi="仿宋" w:eastAsia="方正仿宋简体" w:cs="仿宋"/>
          <w:color w:val="000000" w:themeColor="text1"/>
          <w:kern w:val="0"/>
          <w:sz w:val="32"/>
          <w:szCs w:val="32"/>
          <w14:textFill>
            <w14:solidFill>
              <w14:schemeClr w14:val="tx1"/>
            </w14:solidFill>
          </w14:textFill>
        </w:rPr>
        <w:t>等消费投诉呈上升趋势，而销售服务、</w:t>
      </w:r>
      <w:r>
        <w:rPr>
          <w:rFonts w:hint="eastAsia" w:ascii="方正仿宋简体" w:hAnsi="仿宋" w:eastAsia="方正仿宋简体" w:cs="宋体"/>
          <w:color w:val="000000" w:themeColor="text1"/>
          <w:kern w:val="0"/>
          <w:sz w:val="32"/>
          <w:szCs w:val="32"/>
          <w14:textFill>
            <w14:solidFill>
              <w14:schemeClr w14:val="tx1"/>
            </w14:solidFill>
          </w14:textFill>
        </w:rPr>
        <w:t>文化、娱乐、体育服务和房屋装修及物业服务</w:t>
      </w:r>
      <w:r>
        <w:rPr>
          <w:rFonts w:hint="eastAsia" w:ascii="方正仿宋简体" w:hAnsi="仿宋" w:eastAsia="方正仿宋简体" w:cs="仿宋"/>
          <w:color w:val="000000" w:themeColor="text1"/>
          <w:kern w:val="0"/>
          <w:sz w:val="32"/>
          <w:szCs w:val="32"/>
          <w14:textFill>
            <w14:solidFill>
              <w14:schemeClr w14:val="tx1"/>
            </w14:solidFill>
          </w14:textFill>
        </w:rPr>
        <w:t>等呈下降趋势（见表3）。</w:t>
      </w:r>
    </w:p>
    <w:p w14:paraId="49AFBD3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表3 服务大类投诉量占比变化表</w:t>
      </w:r>
    </w:p>
    <w:tbl>
      <w:tblPr>
        <w:tblStyle w:val="15"/>
        <w:tblW w:w="883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85"/>
        <w:gridCol w:w="2021"/>
        <w:gridCol w:w="2225"/>
        <w:gridCol w:w="1400"/>
      </w:tblGrid>
      <w:tr w14:paraId="5044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070A5DA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服务大类</w:t>
            </w:r>
          </w:p>
        </w:tc>
        <w:tc>
          <w:tcPr>
            <w:tcW w:w="2021" w:type="dxa"/>
            <w:vAlign w:val="center"/>
          </w:tcPr>
          <w:p w14:paraId="265B9C3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2023年第三季度投诉量占投诉总量比（%）</w:t>
            </w:r>
          </w:p>
        </w:tc>
        <w:tc>
          <w:tcPr>
            <w:tcW w:w="2225" w:type="dxa"/>
            <w:vAlign w:val="center"/>
          </w:tcPr>
          <w:p w14:paraId="3B4F669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2024年第三季度投诉量占投诉总量比（%）</w:t>
            </w:r>
          </w:p>
        </w:tc>
        <w:tc>
          <w:tcPr>
            <w:tcW w:w="1400" w:type="dxa"/>
            <w:vAlign w:val="center"/>
          </w:tcPr>
          <w:p w14:paraId="37E52AA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比较结果</w:t>
            </w:r>
          </w:p>
          <w:p w14:paraId="2364DD6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（百分点）</w:t>
            </w:r>
          </w:p>
        </w:tc>
      </w:tr>
      <w:tr w14:paraId="3463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1C1F65A5">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教育培训服务</w:t>
            </w:r>
          </w:p>
        </w:tc>
        <w:tc>
          <w:tcPr>
            <w:tcW w:w="2021" w:type="dxa"/>
            <w:vAlign w:val="center"/>
          </w:tcPr>
          <w:p w14:paraId="36F241E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2.44</w:t>
            </w:r>
          </w:p>
        </w:tc>
        <w:tc>
          <w:tcPr>
            <w:tcW w:w="2225" w:type="dxa"/>
            <w:vAlign w:val="center"/>
          </w:tcPr>
          <w:p w14:paraId="6F10833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3.82</w:t>
            </w:r>
          </w:p>
        </w:tc>
        <w:tc>
          <w:tcPr>
            <w:tcW w:w="1400" w:type="dxa"/>
            <w:vAlign w:val="center"/>
          </w:tcPr>
          <w:p w14:paraId="49FAE4B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↑1.38</w:t>
            </w:r>
          </w:p>
        </w:tc>
      </w:tr>
      <w:tr w14:paraId="73A4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7797E50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互联网服务</w:t>
            </w:r>
          </w:p>
        </w:tc>
        <w:tc>
          <w:tcPr>
            <w:tcW w:w="2021" w:type="dxa"/>
            <w:vAlign w:val="center"/>
          </w:tcPr>
          <w:p w14:paraId="5729452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0.58</w:t>
            </w:r>
          </w:p>
        </w:tc>
        <w:tc>
          <w:tcPr>
            <w:tcW w:w="2225" w:type="dxa"/>
            <w:vAlign w:val="center"/>
          </w:tcPr>
          <w:p w14:paraId="488E434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1.44</w:t>
            </w:r>
          </w:p>
        </w:tc>
        <w:tc>
          <w:tcPr>
            <w:tcW w:w="1400" w:type="dxa"/>
            <w:vAlign w:val="center"/>
          </w:tcPr>
          <w:p w14:paraId="296DBD30">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↑0.86</w:t>
            </w:r>
          </w:p>
        </w:tc>
      </w:tr>
      <w:tr w14:paraId="65CE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59D0866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公共设施服务</w:t>
            </w:r>
          </w:p>
        </w:tc>
        <w:tc>
          <w:tcPr>
            <w:tcW w:w="2021" w:type="dxa"/>
            <w:vAlign w:val="center"/>
          </w:tcPr>
          <w:p w14:paraId="5C9ADC1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0.50</w:t>
            </w:r>
          </w:p>
        </w:tc>
        <w:tc>
          <w:tcPr>
            <w:tcW w:w="2225" w:type="dxa"/>
            <w:vAlign w:val="center"/>
          </w:tcPr>
          <w:p w14:paraId="69BEC3E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1.31</w:t>
            </w:r>
          </w:p>
        </w:tc>
        <w:tc>
          <w:tcPr>
            <w:tcW w:w="1400" w:type="dxa"/>
            <w:vAlign w:val="center"/>
          </w:tcPr>
          <w:p w14:paraId="525B556F">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↑0.81</w:t>
            </w:r>
          </w:p>
        </w:tc>
      </w:tr>
      <w:tr w14:paraId="4AA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54B6295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生活、社会服务类</w:t>
            </w:r>
          </w:p>
        </w:tc>
        <w:tc>
          <w:tcPr>
            <w:tcW w:w="2021" w:type="dxa"/>
            <w:vAlign w:val="center"/>
          </w:tcPr>
          <w:p w14:paraId="10F20C5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14.61</w:t>
            </w:r>
          </w:p>
        </w:tc>
        <w:tc>
          <w:tcPr>
            <w:tcW w:w="2225" w:type="dxa"/>
            <w:vAlign w:val="center"/>
          </w:tcPr>
          <w:p w14:paraId="2C4D78D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15.21</w:t>
            </w:r>
          </w:p>
        </w:tc>
        <w:tc>
          <w:tcPr>
            <w:tcW w:w="1400" w:type="dxa"/>
            <w:vAlign w:val="center"/>
          </w:tcPr>
          <w:p w14:paraId="4BED351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↑0.60</w:t>
            </w:r>
          </w:p>
        </w:tc>
      </w:tr>
      <w:tr w14:paraId="54B9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621F656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电信服务类</w:t>
            </w:r>
          </w:p>
        </w:tc>
        <w:tc>
          <w:tcPr>
            <w:tcW w:w="2021" w:type="dxa"/>
            <w:vAlign w:val="center"/>
          </w:tcPr>
          <w:p w14:paraId="198F304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0.72</w:t>
            </w:r>
          </w:p>
        </w:tc>
        <w:tc>
          <w:tcPr>
            <w:tcW w:w="2225" w:type="dxa"/>
            <w:vAlign w:val="center"/>
          </w:tcPr>
          <w:p w14:paraId="2164493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1.17</w:t>
            </w:r>
          </w:p>
        </w:tc>
        <w:tc>
          <w:tcPr>
            <w:tcW w:w="1400" w:type="dxa"/>
            <w:vAlign w:val="center"/>
          </w:tcPr>
          <w:p w14:paraId="3243ADB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↑0.45</w:t>
            </w:r>
          </w:p>
        </w:tc>
      </w:tr>
      <w:tr w14:paraId="30BD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423A9E9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卫生保健服务</w:t>
            </w:r>
          </w:p>
        </w:tc>
        <w:tc>
          <w:tcPr>
            <w:tcW w:w="2021" w:type="dxa"/>
            <w:vAlign w:val="center"/>
          </w:tcPr>
          <w:p w14:paraId="44D280B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0.43</w:t>
            </w:r>
          </w:p>
        </w:tc>
        <w:tc>
          <w:tcPr>
            <w:tcW w:w="2225" w:type="dxa"/>
            <w:vAlign w:val="center"/>
          </w:tcPr>
          <w:p w14:paraId="499C2A1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0.75</w:t>
            </w:r>
          </w:p>
        </w:tc>
        <w:tc>
          <w:tcPr>
            <w:tcW w:w="1400" w:type="dxa"/>
            <w:vAlign w:val="center"/>
          </w:tcPr>
          <w:p w14:paraId="71E3056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↑0.32</w:t>
            </w:r>
          </w:p>
        </w:tc>
      </w:tr>
      <w:tr w14:paraId="23DD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57AD436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金融服务</w:t>
            </w:r>
          </w:p>
        </w:tc>
        <w:tc>
          <w:tcPr>
            <w:tcW w:w="2021" w:type="dxa"/>
            <w:vAlign w:val="center"/>
          </w:tcPr>
          <w:p w14:paraId="16F86809">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0.01</w:t>
            </w:r>
          </w:p>
        </w:tc>
        <w:tc>
          <w:tcPr>
            <w:tcW w:w="2225" w:type="dxa"/>
            <w:vAlign w:val="center"/>
          </w:tcPr>
          <w:p w14:paraId="19820E9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0.26</w:t>
            </w:r>
          </w:p>
        </w:tc>
        <w:tc>
          <w:tcPr>
            <w:tcW w:w="1400" w:type="dxa"/>
            <w:vAlign w:val="center"/>
          </w:tcPr>
          <w:p w14:paraId="6807BD4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↑0.25</w:t>
            </w:r>
          </w:p>
        </w:tc>
      </w:tr>
      <w:tr w14:paraId="1D3E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6DBFB31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邮政业服务</w:t>
            </w:r>
          </w:p>
        </w:tc>
        <w:tc>
          <w:tcPr>
            <w:tcW w:w="2021" w:type="dxa"/>
            <w:vAlign w:val="center"/>
          </w:tcPr>
          <w:p w14:paraId="291BCD3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0.29</w:t>
            </w:r>
          </w:p>
        </w:tc>
        <w:tc>
          <w:tcPr>
            <w:tcW w:w="2225" w:type="dxa"/>
            <w:vAlign w:val="center"/>
          </w:tcPr>
          <w:p w14:paraId="4D23682C">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0.52</w:t>
            </w:r>
          </w:p>
        </w:tc>
        <w:tc>
          <w:tcPr>
            <w:tcW w:w="1400" w:type="dxa"/>
            <w:vAlign w:val="center"/>
          </w:tcPr>
          <w:p w14:paraId="32B5936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↑0.23</w:t>
            </w:r>
          </w:p>
        </w:tc>
      </w:tr>
      <w:tr w14:paraId="2FD8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1CB0D59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旅游服务</w:t>
            </w:r>
          </w:p>
        </w:tc>
        <w:tc>
          <w:tcPr>
            <w:tcW w:w="2021" w:type="dxa"/>
            <w:vAlign w:val="center"/>
          </w:tcPr>
          <w:p w14:paraId="4648E7E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0.73</w:t>
            </w:r>
          </w:p>
        </w:tc>
        <w:tc>
          <w:tcPr>
            <w:tcW w:w="2225" w:type="dxa"/>
            <w:vAlign w:val="center"/>
          </w:tcPr>
          <w:p w14:paraId="2076C78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0.85</w:t>
            </w:r>
          </w:p>
        </w:tc>
        <w:tc>
          <w:tcPr>
            <w:tcW w:w="1400" w:type="dxa"/>
            <w:vAlign w:val="center"/>
          </w:tcPr>
          <w:p w14:paraId="77A98EBE">
            <w:pPr>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↑0.12</w:t>
            </w:r>
          </w:p>
        </w:tc>
      </w:tr>
      <w:tr w14:paraId="623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63E7034E">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保险服务</w:t>
            </w:r>
          </w:p>
        </w:tc>
        <w:tc>
          <w:tcPr>
            <w:tcW w:w="2021" w:type="dxa"/>
            <w:vAlign w:val="center"/>
          </w:tcPr>
          <w:p w14:paraId="69342AB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0.10</w:t>
            </w:r>
          </w:p>
        </w:tc>
        <w:tc>
          <w:tcPr>
            <w:tcW w:w="2225" w:type="dxa"/>
            <w:vAlign w:val="center"/>
          </w:tcPr>
          <w:p w14:paraId="7666BACA">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0.09</w:t>
            </w:r>
          </w:p>
        </w:tc>
        <w:tc>
          <w:tcPr>
            <w:tcW w:w="1400" w:type="dxa"/>
            <w:vAlign w:val="center"/>
          </w:tcPr>
          <w:p w14:paraId="1503FD4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↓0.01</w:t>
            </w:r>
          </w:p>
        </w:tc>
      </w:tr>
      <w:tr w14:paraId="69AF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4918338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房屋装修及物业服务</w:t>
            </w:r>
          </w:p>
        </w:tc>
        <w:tc>
          <w:tcPr>
            <w:tcW w:w="2021" w:type="dxa"/>
            <w:vAlign w:val="center"/>
          </w:tcPr>
          <w:p w14:paraId="7D6E1EB4">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2.77</w:t>
            </w:r>
          </w:p>
        </w:tc>
        <w:tc>
          <w:tcPr>
            <w:tcW w:w="2225" w:type="dxa"/>
            <w:vAlign w:val="center"/>
          </w:tcPr>
          <w:p w14:paraId="70E37772">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2.55</w:t>
            </w:r>
          </w:p>
        </w:tc>
        <w:tc>
          <w:tcPr>
            <w:tcW w:w="1400" w:type="dxa"/>
            <w:vAlign w:val="center"/>
          </w:tcPr>
          <w:p w14:paraId="53A172CD">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↓0.22</w:t>
            </w:r>
          </w:p>
        </w:tc>
      </w:tr>
      <w:tr w14:paraId="7040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276D8063">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文化、娱乐、体育服务</w:t>
            </w:r>
          </w:p>
        </w:tc>
        <w:tc>
          <w:tcPr>
            <w:tcW w:w="2021" w:type="dxa"/>
            <w:vAlign w:val="center"/>
          </w:tcPr>
          <w:p w14:paraId="6052BEC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4.01</w:t>
            </w:r>
          </w:p>
        </w:tc>
        <w:tc>
          <w:tcPr>
            <w:tcW w:w="2225" w:type="dxa"/>
            <w:vAlign w:val="center"/>
          </w:tcPr>
          <w:p w14:paraId="611E3BAB">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3.27</w:t>
            </w:r>
          </w:p>
        </w:tc>
        <w:tc>
          <w:tcPr>
            <w:tcW w:w="1400" w:type="dxa"/>
            <w:vAlign w:val="center"/>
          </w:tcPr>
          <w:p w14:paraId="365C7A91">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↓0.74</w:t>
            </w:r>
          </w:p>
        </w:tc>
      </w:tr>
      <w:tr w14:paraId="38F3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3185" w:type="dxa"/>
            <w:vAlign w:val="center"/>
          </w:tcPr>
          <w:p w14:paraId="1EAD6127">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销售服务</w:t>
            </w:r>
          </w:p>
        </w:tc>
        <w:tc>
          <w:tcPr>
            <w:tcW w:w="2021" w:type="dxa"/>
            <w:vAlign w:val="center"/>
          </w:tcPr>
          <w:p w14:paraId="6FF9A5F8">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10.16</w:t>
            </w:r>
          </w:p>
        </w:tc>
        <w:tc>
          <w:tcPr>
            <w:tcW w:w="2225" w:type="dxa"/>
            <w:vAlign w:val="center"/>
          </w:tcPr>
          <w:p w14:paraId="77E594FF">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7.58</w:t>
            </w:r>
          </w:p>
        </w:tc>
        <w:tc>
          <w:tcPr>
            <w:tcW w:w="1400" w:type="dxa"/>
            <w:vAlign w:val="center"/>
          </w:tcPr>
          <w:p w14:paraId="0C4CC146">
            <w:pPr>
              <w:widowControl/>
              <w:spacing w:line="600" w:lineRule="exact"/>
              <w:jc w:val="center"/>
              <w:rPr>
                <w:rFonts w:ascii="方正仿宋简体" w:hAnsi="仿宋" w:eastAsia="方正仿宋简体" w:cs="宋体"/>
                <w:color w:val="000000" w:themeColor="text1"/>
                <w:kern w:val="0"/>
                <w:sz w:val="32"/>
                <w:szCs w:val="32"/>
                <w14:textFill>
                  <w14:solidFill>
                    <w14:schemeClr w14:val="tx1"/>
                  </w14:solidFill>
                </w14:textFill>
              </w:rPr>
            </w:pPr>
            <w:r>
              <w:rPr>
                <w:rFonts w:hint="eastAsia" w:ascii="方正仿宋简体" w:hAnsi="仿宋" w:eastAsia="方正仿宋简体" w:cs="宋体"/>
                <w:color w:val="000000" w:themeColor="text1"/>
                <w:kern w:val="0"/>
                <w:sz w:val="32"/>
                <w:szCs w:val="32"/>
                <w14:textFill>
                  <w14:solidFill>
                    <w14:schemeClr w14:val="tx1"/>
                  </w14:solidFill>
                </w14:textFill>
              </w:rPr>
              <w:t>↓2.58</w:t>
            </w:r>
          </w:p>
        </w:tc>
      </w:tr>
    </w:tbl>
    <w:p w14:paraId="46C0FE63">
      <w:pPr>
        <w:tabs>
          <w:tab w:val="left" w:pos="3495"/>
        </w:tabs>
        <w:spacing w:line="600" w:lineRule="exac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　　二、投诉热点分析</w:t>
      </w:r>
    </w:p>
    <w:p w14:paraId="0C490B9E">
      <w:pPr>
        <w:spacing w:line="576" w:lineRule="exact"/>
        <w:ind w:firstLine="660"/>
        <w:rPr>
          <w:rFonts w:ascii="方正仿宋简体" w:hAnsi="方正仿宋简体" w:eastAsia="方正仿宋简体" w:cs="方正仿宋简体"/>
          <w:b/>
          <w:bCs/>
          <w:color w:val="333333"/>
          <w:sz w:val="32"/>
          <w:szCs w:val="32"/>
        </w:rPr>
      </w:pPr>
      <w:r>
        <w:rPr>
          <w:rFonts w:hint="eastAsia" w:ascii="方正楷体简体" w:hAnsi="方正楷体简体" w:eastAsia="方正楷体简体" w:cs="方正楷体简体"/>
          <w:b/>
          <w:bCs/>
          <w:sz w:val="32"/>
          <w:szCs w:val="32"/>
        </w:rPr>
        <w:t>（一）消费者安全权投诉增长显著。</w:t>
      </w:r>
      <w:r>
        <w:rPr>
          <w:rFonts w:hint="eastAsia" w:ascii="方正仿宋简体" w:hAnsi="方正仿宋简体" w:eastAsia="方正仿宋简体" w:cs="方正仿宋简体"/>
          <w:color w:val="333333"/>
          <w:sz w:val="32"/>
          <w:szCs w:val="32"/>
        </w:rPr>
        <w:t>今年三季度在消费中因安全权受损引发的投诉同比增长4.46%，增幅位居第一。消费者安全权是消费者在购买、使用商品或接受服务时享有的人身、财产安全不受侵害的权利。这一权利直接关系到消费者的生命健康和财产安全，是消费者最基本的权益之一。消费者投诉的主要问题有：一是商品安全问题，主要涉及商品的质量缺陷、设计缺陷、材料不安全等问题。例如，家用电器存在漏电隐患、儿童玩具存在锐利边角等；二是服务安全问题，如美容美发服务中的过敏问题、旅游服务中的交通安全问题等；三是环境安全问题，通常与消费者的生活环境相关，如住宅小区的消防安全、电梯安全、噪音污染等。</w:t>
      </w:r>
      <w:r>
        <w:rPr>
          <w:rFonts w:hint="eastAsia" w:ascii="方正仿宋简体" w:hAnsi="方正仿宋简体" w:eastAsia="方正仿宋简体" w:cs="方正仿宋简体"/>
          <w:b/>
          <w:bCs/>
          <w:color w:val="333333"/>
          <w:sz w:val="32"/>
          <w:szCs w:val="32"/>
        </w:rPr>
        <w:t>　</w:t>
      </w:r>
    </w:p>
    <w:p w14:paraId="384D1850">
      <w:pPr>
        <w:spacing w:line="590" w:lineRule="exact"/>
        <w:ind w:firstLine="643" w:firstLineChars="200"/>
        <w:rPr>
          <w:rFonts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color w:val="333333"/>
          <w:sz w:val="32"/>
          <w:szCs w:val="32"/>
        </w:rPr>
        <w:t>案例1：</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2024年8月17日，广安市华蓥市消委会接到消费者龚女士的投诉，称其在华蓥市某旅游开发有限公司漂流过程中因翻船事故遗失了价值2900元的眼镜，同时造成一人膝盖擦伤。在警方的协助下，经营者才将眼镜找回，但态度恶劣，遂向华蓥市消委会投诉，要求退票退款并道歉。</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华蓥市消委</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会在接到投诉后，及时组织双方调解，经营者向龚女士道歉，双方达成和解，退还龚女士支付的260元费用。</w:t>
      </w:r>
    </w:p>
    <w:p w14:paraId="38427C3C">
      <w:pPr>
        <w:pStyle w:val="13"/>
        <w:widowControl/>
        <w:spacing w:beforeAutospacing="0" w:afterAutospacing="0" w:line="630" w:lineRule="exact"/>
        <w:jc w:val="both"/>
        <w:rPr>
          <w:rFonts w:ascii="方正仿宋简体" w:hAnsi="方正仿宋简体" w:eastAsia="方正仿宋简体" w:cs="方正仿宋简体"/>
          <w:color w:val="333333"/>
          <w:sz w:val="32"/>
          <w:szCs w:val="32"/>
          <w:shd w:val="clear" w:color="auto" w:fill="FFFFFF"/>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color w:val="333333"/>
          <w:kern w:val="2"/>
          <w:sz w:val="32"/>
          <w:szCs w:val="32"/>
        </w:rPr>
        <w:t>案例2：</w:t>
      </w:r>
      <w:r>
        <w:rPr>
          <w:rFonts w:hint="eastAsia" w:ascii="方正仿宋简体" w:hAnsi="方正仿宋简体" w:eastAsia="方正仿宋简体" w:cs="方正仿宋简体"/>
          <w:color w:val="333333"/>
          <w:sz w:val="32"/>
          <w:szCs w:val="32"/>
          <w:shd w:val="clear" w:color="auto" w:fill="FFFFFF"/>
        </w:rPr>
        <w:t>2024年9月4日，消费者袁先生向眉山市丹棱县消委会投诉称，所居住的小区6、7栋</w:t>
      </w:r>
      <w:r>
        <w:rPr>
          <w:rFonts w:hint="eastAsia" w:ascii="方正仿宋简体" w:hAnsi="方正仿宋简体" w:eastAsia="方正仿宋简体" w:cs="方正仿宋简体"/>
          <w:color w:val="000000"/>
          <w:kern w:val="2"/>
          <w:sz w:val="32"/>
          <w:szCs w:val="32"/>
        </w:rPr>
        <w:t>电梯经常出现下坠的现象，存在严重安全隐患。</w:t>
      </w:r>
      <w:r>
        <w:rPr>
          <w:rFonts w:hint="eastAsia" w:ascii="方正仿宋简体" w:hAnsi="方正仿宋简体" w:eastAsia="方正仿宋简体" w:cs="方正仿宋简体"/>
          <w:color w:val="333333"/>
          <w:sz w:val="32"/>
          <w:szCs w:val="32"/>
          <w:shd w:val="clear" w:color="auto" w:fill="FFFFFF"/>
        </w:rPr>
        <w:t>消委会在接到投诉后，经</w:t>
      </w:r>
      <w:r>
        <w:rPr>
          <w:rFonts w:hint="eastAsia" w:ascii="方正仿宋简体" w:hAnsi="方正仿宋简体" w:eastAsia="方正仿宋简体" w:cs="方正仿宋简体"/>
          <w:color w:val="000000"/>
          <w:sz w:val="32"/>
          <w:szCs w:val="32"/>
        </w:rPr>
        <w:t>核查发现，该</w:t>
      </w:r>
      <w:r>
        <w:rPr>
          <w:rFonts w:hint="eastAsia" w:ascii="方正仿宋简体" w:hAnsi="方正仿宋简体" w:eastAsia="方正仿宋简体" w:cs="方正仿宋简体"/>
          <w:color w:val="000000"/>
          <w:kern w:val="2"/>
          <w:sz w:val="32"/>
          <w:szCs w:val="32"/>
        </w:rPr>
        <w:t>小区6栋使用的电梯，因门锁机构门刀、门球间隙过小，在运行过程中触发安全回路，导致电梯出现急停、平层。维保人员立即到场进行处置，并于2024年9月4日16：40左右完成门锁机构门刀、门球间隙调整，恢复电梯正常运行。7栋电梯系平衡感应器故障，维保单位已于2024年8月30日对平衡感应器进行更换。消委要求物业针对小区在用电梯设备展开一次全面排查，及时发现问题隐患加强使用安全管理，定期开展自行检查和维护保养。</w:t>
      </w:r>
      <w:r>
        <w:rPr>
          <w:rFonts w:hint="eastAsia" w:ascii="方正仿宋简体" w:hAnsi="方正仿宋简体" w:eastAsia="方正仿宋简体" w:cs="方正仿宋简体"/>
          <w:color w:val="333333"/>
          <w:sz w:val="32"/>
          <w:szCs w:val="32"/>
          <w:shd w:val="clear" w:color="auto" w:fill="FFFFFF"/>
        </w:rPr>
        <w:t xml:space="preserve"> </w:t>
      </w:r>
    </w:p>
    <w:p w14:paraId="447F588E">
      <w:pPr>
        <w:pStyle w:val="13"/>
        <w:widowControl/>
        <w:spacing w:beforeAutospacing="0" w:afterAutospacing="0" w:line="630" w:lineRule="exact"/>
        <w:ind w:firstLine="643" w:firstLineChars="200"/>
        <w:jc w:val="both"/>
        <w:rPr>
          <w:rFonts w:ascii="方正仿宋简体" w:hAnsi="方正仿宋简体" w:eastAsia="方正仿宋简体" w:cs="方正仿宋简体"/>
          <w:color w:val="000000"/>
          <w:kern w:val="2"/>
          <w:sz w:val="32"/>
          <w:szCs w:val="32"/>
        </w:rPr>
      </w:pPr>
      <w:r>
        <w:rPr>
          <w:rFonts w:hint="eastAsia" w:ascii="方正仿宋简体" w:hAnsi="方正仿宋简体" w:eastAsia="方正仿宋简体" w:cs="方正仿宋简体"/>
          <w:b/>
          <w:bCs/>
          <w:color w:val="333333"/>
          <w:sz w:val="32"/>
          <w:szCs w:val="32"/>
          <w:shd w:val="clear" w:color="auto" w:fill="FFFFFF"/>
        </w:rPr>
        <w:t>消委观点：</w:t>
      </w:r>
      <w:r>
        <w:rPr>
          <w:rFonts w:hint="eastAsia" w:ascii="方正仿宋简体" w:hAnsi="方正仿宋简体" w:eastAsia="方正仿宋简体" w:cs="方正仿宋简体"/>
          <w:color w:val="000000"/>
          <w:kern w:val="2"/>
          <w:sz w:val="32"/>
          <w:szCs w:val="32"/>
        </w:rPr>
        <w:t>《中华人民共和国消费者权益保护法实施条例》（以下简称《消法实施条例》）第七条对消费者的安全权进行了重申和完善，明确“免费不免责”，经营者提供的商品或者服务，无论是否收费，都应当符合保障人身和财产安全的要求。如果商品或服务存在瑕疵，但并不违反法律强制性规定且不影响正常使用性能，经营者应提前向消费者如实告知。此外，经营者还需要确保其经营场所和设施的安全性，包括采取必要的安全防护措施和设置警示标识。如果消费者在经营场所遭遇危险或受到侵害，经营者还需提供及时的救助。这些规定不仅有助于提高消费者的安全保障水平，也促使经营者更加重视安全问题，从而营造一个更加安全的消费环境。</w:t>
      </w:r>
    </w:p>
    <w:p w14:paraId="72D460EF">
      <w:pPr>
        <w:ind w:firstLine="643" w:firstLineChars="200"/>
        <w:rPr>
          <w:rFonts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b/>
          <w:bCs/>
          <w:sz w:val="32"/>
          <w:szCs w:val="32"/>
        </w:rPr>
        <w:t>（二）预付式消费问题频发。</w:t>
      </w:r>
      <w:r>
        <w:rPr>
          <w:rFonts w:hint="eastAsia" w:ascii="方正仿宋简体" w:hAnsi="方正仿宋简体" w:eastAsia="方正仿宋简体" w:cs="方正仿宋简体"/>
          <w:color w:val="000000"/>
          <w:sz w:val="32"/>
          <w:szCs w:val="32"/>
        </w:rPr>
        <w:t>预付式消费领域因涉及到教育、美容美发、健身等领域，与消费者生活息息相关。近年来，预付式消费问题属于投诉的高发区。因转店、变更经营地址等引发退费争议，经营者不按合同履约导致消费者被迫接受一次又一次的转让，其合法权益受到损害。近期，因预付式消费领域出现的“职业闭店人</w:t>
      </w:r>
      <w:r>
        <w:rPr>
          <w:rFonts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rPr>
        <w:t>侵害消费者权益问题受到社会关注。有经营者疑似恶意圈钱后撤店跑路，在临闭店前还在售卖课程、预收款项，通过多次变更法定代表人、股东等登记事项来逃避退款责任，严重侵害消费者合法权益，这使得消费者即使想要维权，也面临高昂的成本和复杂的法律程序，且往往维权效果甚微。</w:t>
      </w:r>
    </w:p>
    <w:p w14:paraId="120AB8DF">
      <w:pPr>
        <w:ind w:firstLine="643" w:firstLineChars="200"/>
        <w:jc w:val="left"/>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
          <w:bCs/>
          <w:color w:val="333333"/>
          <w:sz w:val="32"/>
          <w:szCs w:val="32"/>
        </w:rPr>
        <w:t>案例3：</w:t>
      </w:r>
      <w:r>
        <w:rPr>
          <w:rFonts w:hint="eastAsia" w:ascii="方正仿宋简体" w:hAnsi="方正仿宋简体" w:eastAsia="方正仿宋简体" w:cs="方正仿宋简体"/>
          <w:sz w:val="32"/>
          <w:szCs w:val="32"/>
        </w:rPr>
        <w:t>2024年9月2日，四川省消委会收到消费者李女士的投诉，称8月9日与成都伯尼体育文化传播有限责任公司锦江分公司新签订了“一年度健身私教服务”合同，8月25日该店就突然闭店了，办理的健身卡和私教课还有共计25755元的余额无法退还。9月4日，省消委会又陆续收到4名消费者同样的投诉。李女士称该公司多次更改公司名称、法定代表人和注册地址，怀疑是以“职业闭店”规避法律责任。经省消委会核查，成都伯尼体育文化传播有限公司从2024年6月28日开始，在短短一个多月内三次变更公司法定代表人、财务负责人和注册地址，以“领先健身”进行运营，根据营业执照所留的联系方式，无法联系到相关责任人。李女士等消费者已向公安机关进行报案。</w:t>
      </w:r>
    </w:p>
    <w:p w14:paraId="0C31E29C">
      <w:pPr>
        <w:widowControl/>
        <w:shd w:val="clear" w:color="auto" w:fill="FFFFFF"/>
        <w:spacing w:line="500" w:lineRule="atLeast"/>
        <w:ind w:firstLine="672"/>
        <w:rPr>
          <w:rFonts w:ascii="方正仿宋简体" w:hAnsi="方正仿宋简体" w:eastAsia="方正仿宋简体" w:cs="方正仿宋简体"/>
          <w:spacing w:val="8"/>
          <w:kern w:val="0"/>
          <w:sz w:val="32"/>
          <w:szCs w:val="32"/>
        </w:rPr>
      </w:pPr>
      <w:r>
        <w:rPr>
          <w:rFonts w:hint="eastAsia" w:ascii="方正仿宋简体" w:hAnsi="方正仿宋简体" w:eastAsia="方正仿宋简体" w:cs="方正仿宋简体"/>
          <w:b/>
          <w:bCs/>
          <w:color w:val="333333"/>
          <w:sz w:val="32"/>
          <w:szCs w:val="32"/>
        </w:rPr>
        <w:t>案例4：</w:t>
      </w:r>
      <w:r>
        <w:rPr>
          <w:rFonts w:hint="eastAsia" w:ascii="方正仿宋简体" w:hAnsi="方正仿宋简体" w:eastAsia="方正仿宋简体" w:cs="方正仿宋简体"/>
          <w:spacing w:val="8"/>
          <w:kern w:val="0"/>
          <w:sz w:val="32"/>
          <w:szCs w:val="32"/>
        </w:rPr>
        <w:t>2024年7月4日，消费者钟女士向绵阳市消委会投诉，称2023年2月在某美容店充值10000元办理了会员卡，在2024年7月再到该店使用时，被告知因店铺转让，卡内余额无法使用。经核实该店已多次转让，现店铺经营者称查询不到钟女士卡内余额，无法继续使用。经消委会多次调解，双方达成退款3000元的和解意见。</w:t>
      </w:r>
    </w:p>
    <w:p w14:paraId="0FB9C01F">
      <w:pPr>
        <w:ind w:firstLine="643" w:firstLineChars="200"/>
        <w:jc w:val="left"/>
        <w:rPr>
          <w:rFonts w:ascii="方正仿宋简体" w:hAnsi="方正仿宋简体" w:eastAsia="方正仿宋简体" w:cs="方正仿宋简体"/>
          <w:spacing w:val="8"/>
          <w:kern w:val="0"/>
          <w:sz w:val="32"/>
          <w:szCs w:val="32"/>
        </w:rPr>
      </w:pPr>
      <w:r>
        <w:rPr>
          <w:rFonts w:hint="eastAsia" w:ascii="方正仿宋简体" w:hAnsi="方正仿宋简体" w:eastAsia="方正仿宋简体" w:cs="方正仿宋简体"/>
          <w:b/>
          <w:bCs/>
          <w:sz w:val="32"/>
          <w:szCs w:val="32"/>
        </w:rPr>
        <w:t>消委观点：</w:t>
      </w:r>
      <w:r>
        <w:rPr>
          <w:rFonts w:hint="eastAsia" w:ascii="方正仿宋简体" w:hAnsi="方正仿宋简体" w:eastAsia="方正仿宋简体" w:cs="方正仿宋简体"/>
          <w:spacing w:val="8"/>
          <w:kern w:val="0"/>
          <w:sz w:val="32"/>
          <w:szCs w:val="32"/>
        </w:rPr>
        <w:t>预付式消费模式本来可以实现经营者锁定客户和消费者享受普惠的双赢，但容易被一些不良商家利用。</w:t>
      </w:r>
      <w:r>
        <w:rPr>
          <w:rFonts w:hint="eastAsia" w:ascii="方正仿宋简体" w:hAnsi="方正仿宋简体" w:eastAsia="方正仿宋简体" w:cs="方正仿宋简体"/>
          <w:sz w:val="32"/>
          <w:szCs w:val="32"/>
        </w:rPr>
        <w:t>职业闭店行为目的是帮助经营者套走预付消费资金，逃避法律责任，降低向消费者承担责任的成本和风险。</w:t>
      </w:r>
      <w:r>
        <w:rPr>
          <w:rFonts w:hint="eastAsia" w:ascii="方正仿宋简体" w:hAnsi="方正仿宋简体" w:eastAsia="方正仿宋简体" w:cs="方正仿宋简体"/>
          <w:spacing w:val="8"/>
          <w:kern w:val="0"/>
          <w:sz w:val="32"/>
          <w:szCs w:val="32"/>
        </w:rPr>
        <w:t>如果没有建立有效的监管机制和增加经营者违法失信行为的惩戒力度，“职业闭店人”的出现将严重扰乱正常的市场经济秩序，冲击社会信用体系，让消费者对预付费模式的信任度降低，对整个市场环境产生不信任感，进而影响其他诚信经营的企业。针对职业闭店的问题，需要多管齐下、综合施策。通过加强法律法规建设、强化市场监管力度、推动行业自律等措施的实施</w:t>
      </w:r>
      <w:r>
        <w:rPr>
          <w:rFonts w:ascii="方正仿宋简体" w:hAnsi="方正仿宋简体" w:eastAsia="方正仿宋简体" w:cs="方正仿宋简体"/>
          <w:spacing w:val="8"/>
          <w:kern w:val="0"/>
          <w:sz w:val="32"/>
          <w:szCs w:val="32"/>
        </w:rPr>
        <w:t>，提高消费者自我保护意识，才能让“职业闭店人”闭得了店，却避不了法律责任，还市场一个公平、诚信、健康的发展环境。</w:t>
      </w:r>
    </w:p>
    <w:p w14:paraId="48995774">
      <w:pPr>
        <w:ind w:firstLine="643" w:firstLineChars="200"/>
        <w:rPr>
          <w:rFonts w:ascii="方正仿宋简体" w:hAnsi="方正仿宋简体" w:eastAsia="方正仿宋简体" w:cs="方正仿宋简体"/>
          <w:b/>
          <w:bCs/>
          <w:sz w:val="32"/>
          <w:szCs w:val="32"/>
        </w:rPr>
      </w:pPr>
      <w:r>
        <w:rPr>
          <w:rFonts w:hint="eastAsia" w:ascii="方正楷体简体" w:hAnsi="方正楷体简体" w:eastAsia="方正楷体简体" w:cs="方正楷体简体"/>
          <w:b/>
          <w:bCs/>
          <w:sz w:val="32"/>
          <w:szCs w:val="32"/>
        </w:rPr>
        <w:t>（三）黄金珠宝售后问题凸显。</w:t>
      </w:r>
      <w:r>
        <w:rPr>
          <w:rFonts w:hint="eastAsia" w:ascii="方正仿宋简体" w:hAnsi="方正仿宋简体" w:eastAsia="方正仿宋简体" w:cs="方正仿宋简体"/>
          <w:sz w:val="32"/>
          <w:szCs w:val="32"/>
        </w:rPr>
        <w:t>黄金珠宝近年来一直备受消费者的青睐，关于黄金珠宝的售后问题也逐渐凸显，如：部分珠宝商家为了揽客，宣称按实收价全额回购等保值增值的方式，当消费者要求回购时，商家却又以经营主体已变更为由拒绝回购。除此之外，还存在“一口价”黄金计价模式不透明，商品和按克重销售的商品不能进行调换；“以旧换新”商家不向消费者明示所换“工艺金”的品名、重量、纯度、单价等；珠宝首饰断裂、变形、变色、镶嵌件脱落等质量问题引发的售后争议。</w:t>
      </w:r>
    </w:p>
    <w:p w14:paraId="2F897C68">
      <w:pPr>
        <w:spacing w:line="550" w:lineRule="exact"/>
        <w:ind w:firstLine="643"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案例5：</w:t>
      </w:r>
      <w:r>
        <w:rPr>
          <w:rFonts w:hint="eastAsia" w:ascii="方正仿宋简体" w:hAnsi="方正仿宋简体" w:eastAsia="方正仿宋简体" w:cs="方正仿宋简体"/>
          <w:sz w:val="32"/>
          <w:szCs w:val="32"/>
        </w:rPr>
        <w:t>德阳市什邡市消委会自2024年6月以来陆续接到多名消费者投诉，反映城区部分黄金珠宝店以经营主体变更为由，拒不履行按实收价全额回购钻石饰品的承诺约定。经调查，涉诉黄金珠宝店为促销营利采取向消费者约定承诺“购钻石满4年后，凭吊牌、票据、证书可按实收价全额回购”，消费者购买钻石年满4年到店进行回购时，商家以经营主体已变更为由，拒不履行承诺。什邡消委工作人员历经数次的现场调解，双方达成调解协议，由涉诉黄金珠宝店按照约定履行了按实收价全额回购的承诺，目前为众多的消费者挽回经济损失50余万元。</w:t>
      </w:r>
    </w:p>
    <w:p w14:paraId="3DE11A38">
      <w:pPr>
        <w:ind w:firstLine="643" w:firstLineChars="200"/>
        <w:rPr>
          <w:rFonts w:ascii="方正仿宋简体" w:hAnsi="方正仿宋简体" w:eastAsia="方正仿宋简体" w:cs="方正仿宋简体"/>
          <w:color w:val="000000"/>
          <w:kern w:val="0"/>
          <w:sz w:val="32"/>
          <w:szCs w:val="32"/>
          <w:lang w:bidi="ar"/>
        </w:rPr>
      </w:pPr>
      <w:r>
        <w:rPr>
          <w:rFonts w:hint="eastAsia" w:ascii="方正仿宋简体" w:hAnsi="方正仿宋简体" w:eastAsia="方正仿宋简体" w:cs="方正仿宋简体"/>
          <w:b/>
          <w:bCs/>
          <w:sz w:val="32"/>
          <w:szCs w:val="32"/>
        </w:rPr>
        <w:t>案例6：</w:t>
      </w:r>
      <w:r>
        <w:rPr>
          <w:rFonts w:hint="eastAsia" w:ascii="方正仿宋简体" w:hAnsi="方正仿宋简体" w:eastAsia="方正仿宋简体" w:cs="方正仿宋简体"/>
          <w:color w:val="000000"/>
          <w:sz w:val="32"/>
          <w:szCs w:val="32"/>
        </w:rPr>
        <w:t>2024年7月7日，消费者朱某投诉称儿子5月11日在达州市渠县某金店花费4800元购买“一口价”黄金耳饰，克重有3.57克。7月6日，朱某前往该店换款式被告知只能按照克重来换算，但购买时商家并未提前告知，认为商家虚假宣传。</w:t>
      </w:r>
      <w:r>
        <w:rPr>
          <w:rFonts w:hint="eastAsia" w:ascii="方正仿宋简体" w:hAnsi="方正仿宋简体" w:eastAsia="方正仿宋简体" w:cs="方正仿宋简体"/>
          <w:color w:val="000000"/>
          <w:kern w:val="0"/>
          <w:sz w:val="32"/>
          <w:szCs w:val="32"/>
          <w:lang w:bidi="ar"/>
        </w:rPr>
        <w:t>调解过程中，金店店长称公司在全国各地都是统一的售后规定，商品购买后终身免费翻新，不能同等价位换款（扣手续费），购买时已告知清楚。</w:t>
      </w:r>
      <w:r>
        <w:rPr>
          <w:rFonts w:hint="eastAsia" w:ascii="方正仿宋简体" w:hAnsi="方正仿宋简体" w:eastAsia="方正仿宋简体" w:cs="方正仿宋简体"/>
          <w:kern w:val="0"/>
          <w:sz w:val="32"/>
          <w:szCs w:val="32"/>
          <w:lang w:bidi="ar"/>
        </w:rPr>
        <w:t>经消委会</w:t>
      </w:r>
      <w:r>
        <w:rPr>
          <w:rFonts w:hint="eastAsia" w:ascii="方正仿宋简体" w:hAnsi="方正仿宋简体" w:eastAsia="方正仿宋简体" w:cs="方正仿宋简体"/>
          <w:color w:val="000000"/>
          <w:kern w:val="0"/>
          <w:sz w:val="32"/>
          <w:szCs w:val="32"/>
          <w:lang w:bidi="ar"/>
        </w:rPr>
        <w:t>多次调解后，双方达成一致意见，商家旗下有两家金店，可在另一家金店换款，支付600元手续费，朱某表示满意。</w:t>
      </w:r>
    </w:p>
    <w:p w14:paraId="103D9161">
      <w:pPr>
        <w:pStyle w:val="12"/>
        <w:widowControl/>
        <w:wordWrap w:val="0"/>
        <w:spacing w:line="590" w:lineRule="exact"/>
        <w:ind w:firstLine="643"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b/>
          <w:bCs/>
          <w:sz w:val="32"/>
          <w:szCs w:val="32"/>
          <w:lang w:bidi="ar"/>
        </w:rPr>
        <w:t>案例7：</w:t>
      </w:r>
      <w:r>
        <w:rPr>
          <w:rFonts w:ascii="方正仿宋简体" w:hAnsi="方正仿宋简体" w:eastAsia="方正仿宋简体" w:cs="方正仿宋简体"/>
          <w:sz w:val="32"/>
          <w:szCs w:val="32"/>
          <w:lang w:bidi="ar"/>
        </w:rPr>
        <w:t>2024年9月17日，消费者王先生向资阳市乐至县</w:t>
      </w:r>
      <w:r>
        <w:rPr>
          <w:rFonts w:ascii="方正仿宋简体" w:hAnsi="方正仿宋简体" w:eastAsia="方正仿宋简体" w:cs="方正仿宋简体"/>
          <w:kern w:val="2"/>
          <w:sz w:val="32"/>
          <w:szCs w:val="32"/>
        </w:rPr>
        <w:t>消委会</w:t>
      </w:r>
      <w:r>
        <w:rPr>
          <w:rFonts w:ascii="方正仿宋简体" w:hAnsi="方正仿宋简体" w:eastAsia="方正仿宋简体" w:cs="方正仿宋简体"/>
          <w:sz w:val="32"/>
          <w:szCs w:val="32"/>
          <w:lang w:bidi="ar"/>
        </w:rPr>
        <w:t>投诉，称自己在乐至县某珠宝店花1905元购买“一口价”的足金吊坠，店员告知大约2.5克，回家称重发现只有1.7克，王先生认为经营者虚假宣传、误导消费者，要求退货退款。经乐至县消委工作人员调解，9月19日，双方达成调解协议，经营者为王先生办理了退货退款。</w:t>
      </w:r>
    </w:p>
    <w:p w14:paraId="327A39ED">
      <w:pPr>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zh-CN"/>
        </w:rPr>
        <w:t>消委观点：</w:t>
      </w:r>
      <w:r>
        <w:rPr>
          <w:rFonts w:hint="eastAsia" w:ascii="方正仿宋简体" w:hAnsi="方正仿宋简体" w:eastAsia="方正仿宋简体" w:cs="方正仿宋简体"/>
          <w:sz w:val="32"/>
          <w:szCs w:val="32"/>
        </w:rPr>
        <w:t>消费者在购买黄金珠宝时要保持理性，不能因为“按实收价全额回购”就冲动购买。回购通常会设定时间限制，年限越长其中充满的变数越大，如果遇到商家闭店、经营不善、更换主体等，消费者可能会面临回购无门的风险。同时，消费者还应仔细询问和了解产品的计价方式和售后服务，尤其是“一口价”黄金的克重和调换问题，要详细咨询清楚后再进行购买。购买时务必与商家签订销售合同，明确商品规格、纯度、价格、回购、售后服务等相关内容，并在购买后妥善保管好相关的凭证和票据。</w:t>
      </w:r>
    </w:p>
    <w:p w14:paraId="10E55C7B">
      <w:pPr>
        <w:ind w:firstLine="643"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rPr>
        <w:t>（四）商家虚假宣传防不胜防。</w:t>
      </w:r>
      <w:r>
        <w:rPr>
          <w:rFonts w:ascii="方正仿宋简体" w:hAnsi="方正仿宋简体" w:eastAsia="方正仿宋简体" w:cs="方正仿宋简体"/>
          <w:sz w:val="32"/>
          <w:szCs w:val="32"/>
        </w:rPr>
        <w:t>虚假宣传是指商家在销售商品或提供服务时，采用夸大、虚构或隐瞒事实等手段，对商品或服务的性能、功能、质量、销售状况、用户评价、曾获荣誉等作虚假或引人误解的商业宣传，从而欺骗或误导消费者。在消费过程中，商家虚假宣传的表现形式多种多样，</w:t>
      </w:r>
      <w:r>
        <w:rPr>
          <w:rFonts w:hint="eastAsia" w:ascii="方正仿宋简体" w:hAnsi="方正仿宋简体" w:eastAsia="方正仿宋简体" w:cs="方正仿宋简体"/>
          <w:sz w:val="32"/>
          <w:szCs w:val="32"/>
        </w:rPr>
        <w:t>常见的有：</w:t>
      </w:r>
      <w:r>
        <w:rPr>
          <w:rFonts w:ascii="方正仿宋简体" w:hAnsi="方正仿宋简体" w:eastAsia="方正仿宋简体" w:cs="方正仿宋简体"/>
          <w:sz w:val="32"/>
          <w:szCs w:val="32"/>
        </w:rPr>
        <w:t>夸大产品的功能、效果或品质</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通过伪造销售数据、用户评价或专业机构的认证来误导消费者</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故意隐瞒产品的缺陷、限制条件或重要信息，使消费者无法做出明智的选择</w:t>
      </w:r>
      <w:r>
        <w:rPr>
          <w:rFonts w:hint="eastAsia" w:ascii="方正仿宋简体" w:hAnsi="方正仿宋简体" w:eastAsia="方正仿宋简体" w:cs="方正仿宋简体"/>
          <w:sz w:val="32"/>
          <w:szCs w:val="32"/>
        </w:rPr>
        <w:t>等</w:t>
      </w:r>
      <w:r>
        <w:rPr>
          <w:rFonts w:ascii="方正仿宋简体" w:hAnsi="方正仿宋简体" w:eastAsia="方正仿宋简体" w:cs="方正仿宋简体"/>
          <w:sz w:val="32"/>
          <w:szCs w:val="32"/>
        </w:rPr>
        <w:t>。</w:t>
      </w:r>
    </w:p>
    <w:p w14:paraId="35215A44">
      <w:pPr>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案例8：</w:t>
      </w:r>
      <w:r>
        <w:rPr>
          <w:rFonts w:hint="eastAsia" w:ascii="方正仿宋简体" w:hAnsi="方正仿宋简体" w:eastAsia="方正仿宋简体" w:cs="方正仿宋简体"/>
          <w:sz w:val="32"/>
          <w:szCs w:val="32"/>
        </w:rPr>
        <w:t>2024年8月9日，成都市都江堰消费者协会接到朱女士投诉，称都江堰某健康管理有限公司宣传其服务能在完成两个疗程后实现视力康复，朱女士被宣传所吸引，与商家签订了服务合同，并自2024年7月21日起正式开始疗程治疗。8月3日，做完第一疗程后，去专业眼科医院检查视力，发现眼睛度数不降反增。医生告诉朱女士近视是不可逆的，按摩穴位只能暂缓眼睛疲劳。朱女士与商家协商退款未果，遂将该商家投诉至都江堰消费者协会。经多次调解协商，商家退款2200元，朱女士对结果表示满意，还赠送锦旗一面表达感谢。</w:t>
      </w:r>
    </w:p>
    <w:p w14:paraId="3EB7B5C2">
      <w:pPr>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案例9：</w:t>
      </w:r>
      <w:r>
        <w:rPr>
          <w:rFonts w:hint="eastAsia" w:ascii="方正仿宋简体" w:hAnsi="方正仿宋简体" w:eastAsia="方正仿宋简体" w:cs="方正仿宋简体"/>
          <w:sz w:val="32"/>
          <w:szCs w:val="32"/>
        </w:rPr>
        <w:t>2024年三季度，广安市消委会接到5起以免费领取礼品诱导消费者购买学习机的投诉，涉及金额13377元。经营者均宣称免费领取学习机，但需要缴纳相应配套的资料费，消费者购买后发现产品功能和质量都存在问题，要求退款遭拒，遂向广安市消委会投诉。接到投诉后，广安市消委会立即安排工作人员联系经营者及消费者了解情况。目前已办结3件，调解成功2件，为消费者挽回经济损失5879元，其余2件正在办理中。</w:t>
      </w:r>
    </w:p>
    <w:p w14:paraId="20DC5F1B">
      <w:pPr>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消委观点：</w:t>
      </w:r>
      <w:r>
        <w:rPr>
          <w:rFonts w:ascii="方正仿宋简体" w:hAnsi="方正仿宋简体" w:eastAsia="方正仿宋简体" w:cs="方正仿宋简体"/>
          <w:sz w:val="32"/>
          <w:szCs w:val="32"/>
        </w:rPr>
        <w:t>虚假宣传行为违反了诚实信用原则和商业准则，不仅误导了消费者，还破坏了市场竞争秩序。</w:t>
      </w:r>
      <w:r>
        <w:rPr>
          <w:rFonts w:hint="eastAsia" w:ascii="方正仿宋简体" w:hAnsi="方正仿宋简体" w:eastAsia="方正仿宋简体" w:cs="方正仿宋简体"/>
          <w:sz w:val="32"/>
          <w:szCs w:val="32"/>
        </w:rPr>
        <w:t>消</w:t>
      </w:r>
      <w:r>
        <w:rPr>
          <w:rFonts w:ascii="方正仿宋简体" w:hAnsi="方正仿宋简体" w:eastAsia="方正仿宋简体" w:cs="方正仿宋简体"/>
          <w:sz w:val="32"/>
          <w:szCs w:val="32"/>
        </w:rPr>
        <w:t>费者在购买商品或服务时应保持警惕，仔细辨别宣传信息的真伪</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了解产品的相关信息，包括功能、品质、价格等，并对比不同商家的宣传内容。</w:t>
      </w:r>
      <w:r>
        <w:rPr>
          <w:rFonts w:hint="eastAsia" w:ascii="方正仿宋简体" w:hAnsi="方正仿宋简体" w:eastAsia="方正仿宋简体" w:cs="方正仿宋简体"/>
          <w:sz w:val="32"/>
          <w:szCs w:val="32"/>
        </w:rPr>
        <w:t>天下没有免费的午餐，大多数免费领取产品背后可能都暗藏陷阱。当</w:t>
      </w:r>
      <w:r>
        <w:rPr>
          <w:rFonts w:ascii="方正仿宋简体" w:hAnsi="方正仿宋简体" w:eastAsia="方正仿宋简体" w:cs="方正仿宋简体"/>
          <w:sz w:val="32"/>
          <w:szCs w:val="32"/>
        </w:rPr>
        <w:t>发现商家存在虚假宣传行为，消费者应及时向相关部门</w:t>
      </w:r>
      <w:r>
        <w:rPr>
          <w:rFonts w:hint="eastAsia" w:ascii="方正仿宋简体" w:hAnsi="方正仿宋简体" w:eastAsia="方正仿宋简体" w:cs="方正仿宋简体"/>
          <w:sz w:val="32"/>
          <w:szCs w:val="32"/>
        </w:rPr>
        <w:t>投诉</w:t>
      </w:r>
      <w:r>
        <w:rPr>
          <w:rFonts w:ascii="方正仿宋简体" w:hAnsi="方正仿宋简体" w:eastAsia="方正仿宋简体" w:cs="方正仿宋简体"/>
          <w:sz w:val="32"/>
          <w:szCs w:val="32"/>
        </w:rPr>
        <w:t>举报，维护自己的合法权益。相关部门应加强对市场的监管力度，对虚假宣传行为进行严厉打击和处罚。同时，商家也应自觉遵守法律法规和商业道德，诚信经营，为消费者提供真实、准确的产品信息。</w:t>
      </w:r>
    </w:p>
    <w:p w14:paraId="6E53A1D0">
      <w:pPr>
        <w:pStyle w:val="6"/>
        <w:rPr>
          <w:rFonts w:ascii="方正仿宋简体" w:hAnsi="方正仿宋简体" w:eastAsia="方正仿宋简体" w:cs="方正仿宋简体"/>
          <w:sz w:val="32"/>
          <w:szCs w:val="32"/>
        </w:rPr>
      </w:pPr>
    </w:p>
    <w:p w14:paraId="339ED4EE">
      <w:pPr>
        <w:rPr>
          <w:rFonts w:ascii="方正仿宋简体" w:hAnsi="方正仿宋简体" w:eastAsia="方正仿宋简体" w:cs="方正仿宋简体"/>
          <w:sz w:val="32"/>
          <w:szCs w:val="32"/>
        </w:rPr>
      </w:pPr>
    </w:p>
    <w:p w14:paraId="50DA240B">
      <w:pPr>
        <w:pStyle w:val="6"/>
        <w:rPr>
          <w:rFonts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sz w:val="32"/>
          <w:szCs w:val="32"/>
        </w:rPr>
        <w:t xml:space="preserve">  </w:t>
      </w:r>
    </w:p>
    <w:sectPr>
      <w:footerReference r:id="rId3" w:type="default"/>
      <w:footerReference r:id="rId4" w:type="even"/>
      <w:pgSz w:w="11906" w:h="16838"/>
      <w:pgMar w:top="1440" w:right="1466" w:bottom="1440" w:left="174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732AC3-4C18-4F61-8BD0-8DF0B3D170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embedRegular r:id="rId2" w:fontKey="{1C76046C-D1B6-4C91-877A-115CF0C883E4}"/>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7D0433AF-9CAC-4558-86E7-05C88703FA63}"/>
  </w:font>
  <w:font w:name="仿宋">
    <w:panose1 w:val="02010609060101010101"/>
    <w:charset w:val="86"/>
    <w:family w:val="modern"/>
    <w:pitch w:val="default"/>
    <w:sig w:usb0="800002BF" w:usb1="38CF7CFA" w:usb2="00000016" w:usb3="00000000" w:csb0="00040001" w:csb1="00000000"/>
    <w:embedRegular r:id="rId4" w:fontKey="{91D7FD29-235B-453B-85E5-B54D68F39CD1}"/>
  </w:font>
  <w:font w:name="方正黑体简体">
    <w:panose1 w:val="03000509000000000000"/>
    <w:charset w:val="86"/>
    <w:family w:val="script"/>
    <w:pitch w:val="default"/>
    <w:sig w:usb0="00000001" w:usb1="080E0000" w:usb2="00000000" w:usb3="00000000" w:csb0="00040000" w:csb1="00000000"/>
    <w:embedRegular r:id="rId5" w:fontKey="{AFAE2D4A-C514-41DA-9D93-74C2235709B4}"/>
  </w:font>
  <w:font w:name="方正楷体简体">
    <w:panose1 w:val="03000509000000000000"/>
    <w:charset w:val="86"/>
    <w:family w:val="script"/>
    <w:pitch w:val="default"/>
    <w:sig w:usb0="00000001" w:usb1="080E0000" w:usb2="00000000" w:usb3="00000000" w:csb0="00040000" w:csb1="00000000"/>
    <w:embedRegular r:id="rId6" w:fontKey="{29A8D6B7-9D1E-41EB-A77E-6F3E17C1BA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6849056"/>
    </w:sdtPr>
    <w:sdtEndPr>
      <w:rPr>
        <w:sz w:val="32"/>
        <w:szCs w:val="32"/>
      </w:rPr>
    </w:sdtEndPr>
    <w:sdtContent>
      <w:p w14:paraId="0DD01DC3">
        <w:pPr>
          <w:pStyle w:val="10"/>
          <w:jc w:val="right"/>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w:t>
        </w:r>
        <w:r>
          <w:rPr>
            <w:sz w:val="32"/>
            <w:szCs w:val="32"/>
          </w:rPr>
          <w:t xml:space="preserve"> 12 -</w:t>
        </w:r>
        <w:r>
          <w:rPr>
            <w:sz w:val="32"/>
            <w:szCs w:val="32"/>
          </w:rPr>
          <w:fldChar w:fldCharType="end"/>
        </w:r>
      </w:p>
    </w:sdtContent>
  </w:sdt>
  <w:p w14:paraId="50E9621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D08D">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639C4AA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BE26D9"/>
    <w:multiLevelType w:val="multilevel"/>
    <w:tmpl w:val="37BE26D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ODBmN2Q2ODEwMzA4NTNkNGM1NTg0ZTE1ZTJjZDcifQ=="/>
  </w:docVars>
  <w:rsids>
    <w:rsidRoot w:val="0087224C"/>
    <w:rsid w:val="000010CC"/>
    <w:rsid w:val="00002C3D"/>
    <w:rsid w:val="00007E5A"/>
    <w:rsid w:val="00007EBA"/>
    <w:rsid w:val="00020E7B"/>
    <w:rsid w:val="00023707"/>
    <w:rsid w:val="000259CA"/>
    <w:rsid w:val="00027FD1"/>
    <w:rsid w:val="00032979"/>
    <w:rsid w:val="00035DEF"/>
    <w:rsid w:val="000415E7"/>
    <w:rsid w:val="00041E6A"/>
    <w:rsid w:val="00043818"/>
    <w:rsid w:val="00043869"/>
    <w:rsid w:val="00045722"/>
    <w:rsid w:val="00045A81"/>
    <w:rsid w:val="00047D2D"/>
    <w:rsid w:val="00050857"/>
    <w:rsid w:val="0005089E"/>
    <w:rsid w:val="000518D5"/>
    <w:rsid w:val="000524D0"/>
    <w:rsid w:val="00052BC2"/>
    <w:rsid w:val="00061A2D"/>
    <w:rsid w:val="0007232F"/>
    <w:rsid w:val="000732AD"/>
    <w:rsid w:val="000831AF"/>
    <w:rsid w:val="0008626B"/>
    <w:rsid w:val="00086B12"/>
    <w:rsid w:val="000924A4"/>
    <w:rsid w:val="00093FEE"/>
    <w:rsid w:val="000964F5"/>
    <w:rsid w:val="000A1C0F"/>
    <w:rsid w:val="000A2B56"/>
    <w:rsid w:val="000A733A"/>
    <w:rsid w:val="000A78C5"/>
    <w:rsid w:val="000B0214"/>
    <w:rsid w:val="000B0B12"/>
    <w:rsid w:val="000B114A"/>
    <w:rsid w:val="000B1CC9"/>
    <w:rsid w:val="000B4569"/>
    <w:rsid w:val="000B6607"/>
    <w:rsid w:val="000C11F9"/>
    <w:rsid w:val="000C29CA"/>
    <w:rsid w:val="000C3AC6"/>
    <w:rsid w:val="000C3CF4"/>
    <w:rsid w:val="000C44D3"/>
    <w:rsid w:val="000C5814"/>
    <w:rsid w:val="000C60D9"/>
    <w:rsid w:val="000C7FE7"/>
    <w:rsid w:val="000D416C"/>
    <w:rsid w:val="000E05CC"/>
    <w:rsid w:val="000E247D"/>
    <w:rsid w:val="000E6682"/>
    <w:rsid w:val="000E7BD6"/>
    <w:rsid w:val="000F02E1"/>
    <w:rsid w:val="000F5836"/>
    <w:rsid w:val="000F6576"/>
    <w:rsid w:val="000F6582"/>
    <w:rsid w:val="000F750F"/>
    <w:rsid w:val="000F7534"/>
    <w:rsid w:val="0010117A"/>
    <w:rsid w:val="00111E67"/>
    <w:rsid w:val="00113D00"/>
    <w:rsid w:val="00121C35"/>
    <w:rsid w:val="0013519B"/>
    <w:rsid w:val="0013559A"/>
    <w:rsid w:val="001368E5"/>
    <w:rsid w:val="00136903"/>
    <w:rsid w:val="00136CAB"/>
    <w:rsid w:val="0014218F"/>
    <w:rsid w:val="00144BC3"/>
    <w:rsid w:val="001534A6"/>
    <w:rsid w:val="00154047"/>
    <w:rsid w:val="00155C51"/>
    <w:rsid w:val="001573D4"/>
    <w:rsid w:val="00160584"/>
    <w:rsid w:val="00161BC8"/>
    <w:rsid w:val="00163D0B"/>
    <w:rsid w:val="001710D0"/>
    <w:rsid w:val="00171A21"/>
    <w:rsid w:val="00172204"/>
    <w:rsid w:val="00172852"/>
    <w:rsid w:val="001748B5"/>
    <w:rsid w:val="00177B44"/>
    <w:rsid w:val="00180C98"/>
    <w:rsid w:val="0018342E"/>
    <w:rsid w:val="001846D0"/>
    <w:rsid w:val="00187A2D"/>
    <w:rsid w:val="00194E43"/>
    <w:rsid w:val="001A45EB"/>
    <w:rsid w:val="001A4EDC"/>
    <w:rsid w:val="001B204E"/>
    <w:rsid w:val="001B2846"/>
    <w:rsid w:val="001B3E0A"/>
    <w:rsid w:val="001B4F73"/>
    <w:rsid w:val="001B6AF7"/>
    <w:rsid w:val="001C0B3B"/>
    <w:rsid w:val="001C1AD5"/>
    <w:rsid w:val="001C3CCA"/>
    <w:rsid w:val="001C707A"/>
    <w:rsid w:val="001C7C1C"/>
    <w:rsid w:val="001E16A4"/>
    <w:rsid w:val="001E18BE"/>
    <w:rsid w:val="001E1ABC"/>
    <w:rsid w:val="001E669B"/>
    <w:rsid w:val="001F05EA"/>
    <w:rsid w:val="001F4341"/>
    <w:rsid w:val="00200D8D"/>
    <w:rsid w:val="00202EFE"/>
    <w:rsid w:val="0021153F"/>
    <w:rsid w:val="00213840"/>
    <w:rsid w:val="00214AAF"/>
    <w:rsid w:val="00216059"/>
    <w:rsid w:val="002160EC"/>
    <w:rsid w:val="002172EC"/>
    <w:rsid w:val="00217BF3"/>
    <w:rsid w:val="00224431"/>
    <w:rsid w:val="00230AD2"/>
    <w:rsid w:val="00230AED"/>
    <w:rsid w:val="00230BEC"/>
    <w:rsid w:val="00233797"/>
    <w:rsid w:val="00233B80"/>
    <w:rsid w:val="0024034F"/>
    <w:rsid w:val="00242083"/>
    <w:rsid w:val="00242CAF"/>
    <w:rsid w:val="002437AF"/>
    <w:rsid w:val="00247C36"/>
    <w:rsid w:val="00250933"/>
    <w:rsid w:val="00252791"/>
    <w:rsid w:val="0025468D"/>
    <w:rsid w:val="002549DD"/>
    <w:rsid w:val="00254B55"/>
    <w:rsid w:val="002606F4"/>
    <w:rsid w:val="00260791"/>
    <w:rsid w:val="00262248"/>
    <w:rsid w:val="00263E00"/>
    <w:rsid w:val="00270053"/>
    <w:rsid w:val="00272FC0"/>
    <w:rsid w:val="00273086"/>
    <w:rsid w:val="00282347"/>
    <w:rsid w:val="002869B9"/>
    <w:rsid w:val="002918FA"/>
    <w:rsid w:val="00294994"/>
    <w:rsid w:val="002962BC"/>
    <w:rsid w:val="002A3AD2"/>
    <w:rsid w:val="002A4CED"/>
    <w:rsid w:val="002A633E"/>
    <w:rsid w:val="002A7F11"/>
    <w:rsid w:val="002B53ED"/>
    <w:rsid w:val="002B56CE"/>
    <w:rsid w:val="002C20A5"/>
    <w:rsid w:val="002C52E7"/>
    <w:rsid w:val="002C606E"/>
    <w:rsid w:val="002C6621"/>
    <w:rsid w:val="002D54FD"/>
    <w:rsid w:val="002D6E1D"/>
    <w:rsid w:val="002E09E6"/>
    <w:rsid w:val="002F091C"/>
    <w:rsid w:val="002F26D6"/>
    <w:rsid w:val="002F522C"/>
    <w:rsid w:val="002F5D3B"/>
    <w:rsid w:val="00303C66"/>
    <w:rsid w:val="0030511F"/>
    <w:rsid w:val="00310873"/>
    <w:rsid w:val="003118A3"/>
    <w:rsid w:val="00311EF1"/>
    <w:rsid w:val="00313706"/>
    <w:rsid w:val="003158FF"/>
    <w:rsid w:val="00315BC1"/>
    <w:rsid w:val="00316A1B"/>
    <w:rsid w:val="003200C2"/>
    <w:rsid w:val="00321267"/>
    <w:rsid w:val="0032181B"/>
    <w:rsid w:val="003249DB"/>
    <w:rsid w:val="00325DE7"/>
    <w:rsid w:val="00331696"/>
    <w:rsid w:val="00333A06"/>
    <w:rsid w:val="00336621"/>
    <w:rsid w:val="0034018A"/>
    <w:rsid w:val="00345458"/>
    <w:rsid w:val="00345F51"/>
    <w:rsid w:val="00346AD6"/>
    <w:rsid w:val="00346F85"/>
    <w:rsid w:val="00347EB2"/>
    <w:rsid w:val="00350C0B"/>
    <w:rsid w:val="003564C4"/>
    <w:rsid w:val="0036176C"/>
    <w:rsid w:val="003639A4"/>
    <w:rsid w:val="00364DAB"/>
    <w:rsid w:val="00365181"/>
    <w:rsid w:val="003708C9"/>
    <w:rsid w:val="00370D91"/>
    <w:rsid w:val="00371EE2"/>
    <w:rsid w:val="0037549B"/>
    <w:rsid w:val="003764E4"/>
    <w:rsid w:val="003809DD"/>
    <w:rsid w:val="00382EB8"/>
    <w:rsid w:val="003847E1"/>
    <w:rsid w:val="0038580A"/>
    <w:rsid w:val="00387752"/>
    <w:rsid w:val="003937B1"/>
    <w:rsid w:val="00395F0B"/>
    <w:rsid w:val="003A2348"/>
    <w:rsid w:val="003A7BD9"/>
    <w:rsid w:val="003C07DD"/>
    <w:rsid w:val="003C177F"/>
    <w:rsid w:val="003C52AC"/>
    <w:rsid w:val="003D0ED6"/>
    <w:rsid w:val="003D313C"/>
    <w:rsid w:val="003D3947"/>
    <w:rsid w:val="003D41C1"/>
    <w:rsid w:val="003D4BA2"/>
    <w:rsid w:val="003D623D"/>
    <w:rsid w:val="003E036F"/>
    <w:rsid w:val="003E383E"/>
    <w:rsid w:val="003F63C7"/>
    <w:rsid w:val="003F7477"/>
    <w:rsid w:val="003F75B1"/>
    <w:rsid w:val="004000EF"/>
    <w:rsid w:val="00402893"/>
    <w:rsid w:val="00405A54"/>
    <w:rsid w:val="00412B21"/>
    <w:rsid w:val="0041752D"/>
    <w:rsid w:val="00426E13"/>
    <w:rsid w:val="00427DEB"/>
    <w:rsid w:val="00431828"/>
    <w:rsid w:val="00440231"/>
    <w:rsid w:val="00440B16"/>
    <w:rsid w:val="00443187"/>
    <w:rsid w:val="00444755"/>
    <w:rsid w:val="004506E7"/>
    <w:rsid w:val="00452895"/>
    <w:rsid w:val="00453293"/>
    <w:rsid w:val="004542FA"/>
    <w:rsid w:val="00457D12"/>
    <w:rsid w:val="00462248"/>
    <w:rsid w:val="00463202"/>
    <w:rsid w:val="004643E2"/>
    <w:rsid w:val="00473E42"/>
    <w:rsid w:val="0047484E"/>
    <w:rsid w:val="004856AF"/>
    <w:rsid w:val="00485E1B"/>
    <w:rsid w:val="0048785D"/>
    <w:rsid w:val="00492FFB"/>
    <w:rsid w:val="00495B21"/>
    <w:rsid w:val="004A0E1A"/>
    <w:rsid w:val="004A126A"/>
    <w:rsid w:val="004A2DC8"/>
    <w:rsid w:val="004A7967"/>
    <w:rsid w:val="004A7FAD"/>
    <w:rsid w:val="004B0581"/>
    <w:rsid w:val="004B21A5"/>
    <w:rsid w:val="004B323F"/>
    <w:rsid w:val="004B5DB4"/>
    <w:rsid w:val="004B646B"/>
    <w:rsid w:val="004B7908"/>
    <w:rsid w:val="004C20EC"/>
    <w:rsid w:val="004C5B65"/>
    <w:rsid w:val="004D05B7"/>
    <w:rsid w:val="004D34F4"/>
    <w:rsid w:val="004D4BD7"/>
    <w:rsid w:val="004D5C9F"/>
    <w:rsid w:val="004D74DE"/>
    <w:rsid w:val="004D7D1C"/>
    <w:rsid w:val="004E20F8"/>
    <w:rsid w:val="004E4045"/>
    <w:rsid w:val="004E5CF5"/>
    <w:rsid w:val="004E6F1F"/>
    <w:rsid w:val="004F278E"/>
    <w:rsid w:val="004F72EF"/>
    <w:rsid w:val="0050762A"/>
    <w:rsid w:val="0051067C"/>
    <w:rsid w:val="0051106A"/>
    <w:rsid w:val="00512593"/>
    <w:rsid w:val="00514E91"/>
    <w:rsid w:val="005163DD"/>
    <w:rsid w:val="0051747E"/>
    <w:rsid w:val="005212EA"/>
    <w:rsid w:val="005265AA"/>
    <w:rsid w:val="0053102B"/>
    <w:rsid w:val="00532201"/>
    <w:rsid w:val="00532655"/>
    <w:rsid w:val="00533C70"/>
    <w:rsid w:val="00534E47"/>
    <w:rsid w:val="005361AF"/>
    <w:rsid w:val="005378A8"/>
    <w:rsid w:val="00543930"/>
    <w:rsid w:val="00544780"/>
    <w:rsid w:val="00551537"/>
    <w:rsid w:val="00554218"/>
    <w:rsid w:val="00554A50"/>
    <w:rsid w:val="00556003"/>
    <w:rsid w:val="00561F2D"/>
    <w:rsid w:val="00562067"/>
    <w:rsid w:val="00566876"/>
    <w:rsid w:val="005716B6"/>
    <w:rsid w:val="00573BCD"/>
    <w:rsid w:val="00574714"/>
    <w:rsid w:val="005838BA"/>
    <w:rsid w:val="00584E36"/>
    <w:rsid w:val="00584EDC"/>
    <w:rsid w:val="00586D63"/>
    <w:rsid w:val="0059386B"/>
    <w:rsid w:val="00594901"/>
    <w:rsid w:val="00597566"/>
    <w:rsid w:val="00597B8C"/>
    <w:rsid w:val="005A30D3"/>
    <w:rsid w:val="005A5EE7"/>
    <w:rsid w:val="005B5800"/>
    <w:rsid w:val="005B58BF"/>
    <w:rsid w:val="005B6725"/>
    <w:rsid w:val="005C2D04"/>
    <w:rsid w:val="005C3A40"/>
    <w:rsid w:val="005C60F6"/>
    <w:rsid w:val="005C64CD"/>
    <w:rsid w:val="005C71C7"/>
    <w:rsid w:val="005D1C64"/>
    <w:rsid w:val="005E179D"/>
    <w:rsid w:val="005E55D8"/>
    <w:rsid w:val="005F11FF"/>
    <w:rsid w:val="005F3212"/>
    <w:rsid w:val="005F3EAF"/>
    <w:rsid w:val="00602B99"/>
    <w:rsid w:val="00610245"/>
    <w:rsid w:val="00613127"/>
    <w:rsid w:val="006140D5"/>
    <w:rsid w:val="006145B8"/>
    <w:rsid w:val="0061598F"/>
    <w:rsid w:val="00626388"/>
    <w:rsid w:val="00627253"/>
    <w:rsid w:val="0063332C"/>
    <w:rsid w:val="00633569"/>
    <w:rsid w:val="00633980"/>
    <w:rsid w:val="00635DAD"/>
    <w:rsid w:val="00641EE2"/>
    <w:rsid w:val="00642B2F"/>
    <w:rsid w:val="00653C88"/>
    <w:rsid w:val="0065761B"/>
    <w:rsid w:val="006637C5"/>
    <w:rsid w:val="00664480"/>
    <w:rsid w:val="006706D4"/>
    <w:rsid w:val="00670D0E"/>
    <w:rsid w:val="00672DF0"/>
    <w:rsid w:val="006743CB"/>
    <w:rsid w:val="00674435"/>
    <w:rsid w:val="00674C5B"/>
    <w:rsid w:val="006759D7"/>
    <w:rsid w:val="00675FB5"/>
    <w:rsid w:val="00680803"/>
    <w:rsid w:val="00682FFD"/>
    <w:rsid w:val="00684889"/>
    <w:rsid w:val="00686026"/>
    <w:rsid w:val="006905BF"/>
    <w:rsid w:val="00692FED"/>
    <w:rsid w:val="006939AA"/>
    <w:rsid w:val="00693EF4"/>
    <w:rsid w:val="00696A65"/>
    <w:rsid w:val="006B10B6"/>
    <w:rsid w:val="006B22C3"/>
    <w:rsid w:val="006B4A24"/>
    <w:rsid w:val="006B5388"/>
    <w:rsid w:val="006C1E1D"/>
    <w:rsid w:val="006C35D5"/>
    <w:rsid w:val="006C53A1"/>
    <w:rsid w:val="006D0BB8"/>
    <w:rsid w:val="006D5D66"/>
    <w:rsid w:val="006D759F"/>
    <w:rsid w:val="006D7FA2"/>
    <w:rsid w:val="006E09BD"/>
    <w:rsid w:val="006E0EE0"/>
    <w:rsid w:val="006E46AB"/>
    <w:rsid w:val="006F03E2"/>
    <w:rsid w:val="006F457C"/>
    <w:rsid w:val="006F48B0"/>
    <w:rsid w:val="006F4B25"/>
    <w:rsid w:val="006F665A"/>
    <w:rsid w:val="006F7E3A"/>
    <w:rsid w:val="00702EFB"/>
    <w:rsid w:val="007036CF"/>
    <w:rsid w:val="0070766D"/>
    <w:rsid w:val="007109EC"/>
    <w:rsid w:val="007118EF"/>
    <w:rsid w:val="007208B9"/>
    <w:rsid w:val="0072139F"/>
    <w:rsid w:val="00725112"/>
    <w:rsid w:val="007279EE"/>
    <w:rsid w:val="0073065B"/>
    <w:rsid w:val="00731079"/>
    <w:rsid w:val="00733E4F"/>
    <w:rsid w:val="0073507B"/>
    <w:rsid w:val="0073741B"/>
    <w:rsid w:val="00741807"/>
    <w:rsid w:val="00742921"/>
    <w:rsid w:val="00742F2A"/>
    <w:rsid w:val="00745D6B"/>
    <w:rsid w:val="0074632B"/>
    <w:rsid w:val="00751310"/>
    <w:rsid w:val="00751A2C"/>
    <w:rsid w:val="0075464B"/>
    <w:rsid w:val="007639FC"/>
    <w:rsid w:val="00766544"/>
    <w:rsid w:val="007672FB"/>
    <w:rsid w:val="00770919"/>
    <w:rsid w:val="00770C86"/>
    <w:rsid w:val="007854CD"/>
    <w:rsid w:val="0078594A"/>
    <w:rsid w:val="0078733C"/>
    <w:rsid w:val="0078748F"/>
    <w:rsid w:val="00790831"/>
    <w:rsid w:val="00796D34"/>
    <w:rsid w:val="007A3469"/>
    <w:rsid w:val="007A48D5"/>
    <w:rsid w:val="007B1498"/>
    <w:rsid w:val="007B1653"/>
    <w:rsid w:val="007B1932"/>
    <w:rsid w:val="007B2C99"/>
    <w:rsid w:val="007C2F68"/>
    <w:rsid w:val="007D1CF3"/>
    <w:rsid w:val="007D4D99"/>
    <w:rsid w:val="007D5971"/>
    <w:rsid w:val="007D6198"/>
    <w:rsid w:val="007D6546"/>
    <w:rsid w:val="007D776C"/>
    <w:rsid w:val="007E02AD"/>
    <w:rsid w:val="007E3BED"/>
    <w:rsid w:val="007E4F4C"/>
    <w:rsid w:val="007E6805"/>
    <w:rsid w:val="007F0395"/>
    <w:rsid w:val="007F2D36"/>
    <w:rsid w:val="007F4EF7"/>
    <w:rsid w:val="007F6548"/>
    <w:rsid w:val="00804072"/>
    <w:rsid w:val="0080418B"/>
    <w:rsid w:val="008103B1"/>
    <w:rsid w:val="00813F5A"/>
    <w:rsid w:val="008143CB"/>
    <w:rsid w:val="00817014"/>
    <w:rsid w:val="0081793F"/>
    <w:rsid w:val="00821261"/>
    <w:rsid w:val="00821650"/>
    <w:rsid w:val="00830B27"/>
    <w:rsid w:val="0083154D"/>
    <w:rsid w:val="008342B1"/>
    <w:rsid w:val="0083538D"/>
    <w:rsid w:val="00837BEF"/>
    <w:rsid w:val="00845813"/>
    <w:rsid w:val="0084763B"/>
    <w:rsid w:val="00850400"/>
    <w:rsid w:val="00852633"/>
    <w:rsid w:val="00852896"/>
    <w:rsid w:val="00866F33"/>
    <w:rsid w:val="008677F2"/>
    <w:rsid w:val="00870660"/>
    <w:rsid w:val="0087224C"/>
    <w:rsid w:val="00875A11"/>
    <w:rsid w:val="008823B9"/>
    <w:rsid w:val="008827C4"/>
    <w:rsid w:val="0088681A"/>
    <w:rsid w:val="00886F45"/>
    <w:rsid w:val="00891184"/>
    <w:rsid w:val="00897943"/>
    <w:rsid w:val="008A7CE7"/>
    <w:rsid w:val="008B7012"/>
    <w:rsid w:val="008C3124"/>
    <w:rsid w:val="008C39E8"/>
    <w:rsid w:val="008D038B"/>
    <w:rsid w:val="008D58EE"/>
    <w:rsid w:val="008D5B93"/>
    <w:rsid w:val="008E2E1F"/>
    <w:rsid w:val="008E3AB4"/>
    <w:rsid w:val="008F2B7C"/>
    <w:rsid w:val="008F3CBB"/>
    <w:rsid w:val="008F45D9"/>
    <w:rsid w:val="008F579D"/>
    <w:rsid w:val="008F5CBD"/>
    <w:rsid w:val="008F7E00"/>
    <w:rsid w:val="00900540"/>
    <w:rsid w:val="00902B07"/>
    <w:rsid w:val="00905018"/>
    <w:rsid w:val="00906437"/>
    <w:rsid w:val="00911AD9"/>
    <w:rsid w:val="00914F1C"/>
    <w:rsid w:val="00920A4F"/>
    <w:rsid w:val="00924421"/>
    <w:rsid w:val="00937ACD"/>
    <w:rsid w:val="00942021"/>
    <w:rsid w:val="0095629B"/>
    <w:rsid w:val="00962F9D"/>
    <w:rsid w:val="00964FC4"/>
    <w:rsid w:val="009713F1"/>
    <w:rsid w:val="00973D5B"/>
    <w:rsid w:val="0097512C"/>
    <w:rsid w:val="0097643C"/>
    <w:rsid w:val="009810C5"/>
    <w:rsid w:val="009811B3"/>
    <w:rsid w:val="009830F2"/>
    <w:rsid w:val="00983DD7"/>
    <w:rsid w:val="009848D6"/>
    <w:rsid w:val="00984CEE"/>
    <w:rsid w:val="00984EB1"/>
    <w:rsid w:val="00990101"/>
    <w:rsid w:val="009A186A"/>
    <w:rsid w:val="009A42E6"/>
    <w:rsid w:val="009A4993"/>
    <w:rsid w:val="009A72AD"/>
    <w:rsid w:val="009A7319"/>
    <w:rsid w:val="009B3D70"/>
    <w:rsid w:val="009C066C"/>
    <w:rsid w:val="009C0F95"/>
    <w:rsid w:val="009C12B7"/>
    <w:rsid w:val="009C1AE2"/>
    <w:rsid w:val="009C2AD1"/>
    <w:rsid w:val="009D0D49"/>
    <w:rsid w:val="009D58FE"/>
    <w:rsid w:val="009D75B2"/>
    <w:rsid w:val="009D75EA"/>
    <w:rsid w:val="009D7EF5"/>
    <w:rsid w:val="009E2928"/>
    <w:rsid w:val="009E49D4"/>
    <w:rsid w:val="009F1B0D"/>
    <w:rsid w:val="009F1D53"/>
    <w:rsid w:val="009F236F"/>
    <w:rsid w:val="009F319B"/>
    <w:rsid w:val="00A00AB7"/>
    <w:rsid w:val="00A01569"/>
    <w:rsid w:val="00A02A29"/>
    <w:rsid w:val="00A05AAA"/>
    <w:rsid w:val="00A064C6"/>
    <w:rsid w:val="00A112EC"/>
    <w:rsid w:val="00A12743"/>
    <w:rsid w:val="00A14886"/>
    <w:rsid w:val="00A172B1"/>
    <w:rsid w:val="00A202A8"/>
    <w:rsid w:val="00A21018"/>
    <w:rsid w:val="00A23405"/>
    <w:rsid w:val="00A26DF8"/>
    <w:rsid w:val="00A271E1"/>
    <w:rsid w:val="00A275C2"/>
    <w:rsid w:val="00A31D74"/>
    <w:rsid w:val="00A3515A"/>
    <w:rsid w:val="00A35302"/>
    <w:rsid w:val="00A36A34"/>
    <w:rsid w:val="00A40E8F"/>
    <w:rsid w:val="00A4218C"/>
    <w:rsid w:val="00A421BB"/>
    <w:rsid w:val="00A43BA3"/>
    <w:rsid w:val="00A53966"/>
    <w:rsid w:val="00A5603D"/>
    <w:rsid w:val="00A56768"/>
    <w:rsid w:val="00A608F4"/>
    <w:rsid w:val="00A6110D"/>
    <w:rsid w:val="00A6380A"/>
    <w:rsid w:val="00A667A6"/>
    <w:rsid w:val="00A6692E"/>
    <w:rsid w:val="00A670CB"/>
    <w:rsid w:val="00A7031D"/>
    <w:rsid w:val="00A7061D"/>
    <w:rsid w:val="00A706C8"/>
    <w:rsid w:val="00A73E75"/>
    <w:rsid w:val="00A74BD1"/>
    <w:rsid w:val="00A7693E"/>
    <w:rsid w:val="00A77ECB"/>
    <w:rsid w:val="00A82121"/>
    <w:rsid w:val="00A83F92"/>
    <w:rsid w:val="00A85F76"/>
    <w:rsid w:val="00A9097B"/>
    <w:rsid w:val="00A94F0F"/>
    <w:rsid w:val="00A95FEA"/>
    <w:rsid w:val="00A969AC"/>
    <w:rsid w:val="00AA2BE1"/>
    <w:rsid w:val="00AB02BB"/>
    <w:rsid w:val="00AB1797"/>
    <w:rsid w:val="00AB2EC6"/>
    <w:rsid w:val="00AB7CC5"/>
    <w:rsid w:val="00AB7E8F"/>
    <w:rsid w:val="00AC1134"/>
    <w:rsid w:val="00AC2C9E"/>
    <w:rsid w:val="00AD2F0D"/>
    <w:rsid w:val="00AD3800"/>
    <w:rsid w:val="00AD3A4A"/>
    <w:rsid w:val="00AD5722"/>
    <w:rsid w:val="00AD6499"/>
    <w:rsid w:val="00AD7BD8"/>
    <w:rsid w:val="00AE12FA"/>
    <w:rsid w:val="00AE327F"/>
    <w:rsid w:val="00AE428B"/>
    <w:rsid w:val="00AE4B65"/>
    <w:rsid w:val="00AE4DAF"/>
    <w:rsid w:val="00AF0874"/>
    <w:rsid w:val="00AF1AB9"/>
    <w:rsid w:val="00AF5D40"/>
    <w:rsid w:val="00AF5DDC"/>
    <w:rsid w:val="00AF7645"/>
    <w:rsid w:val="00B0005C"/>
    <w:rsid w:val="00B022F6"/>
    <w:rsid w:val="00B0442E"/>
    <w:rsid w:val="00B07692"/>
    <w:rsid w:val="00B10859"/>
    <w:rsid w:val="00B112DE"/>
    <w:rsid w:val="00B13EA2"/>
    <w:rsid w:val="00B15E1F"/>
    <w:rsid w:val="00B177C6"/>
    <w:rsid w:val="00B20269"/>
    <w:rsid w:val="00B220C4"/>
    <w:rsid w:val="00B22603"/>
    <w:rsid w:val="00B27684"/>
    <w:rsid w:val="00B350BA"/>
    <w:rsid w:val="00B35E1B"/>
    <w:rsid w:val="00B52171"/>
    <w:rsid w:val="00B52960"/>
    <w:rsid w:val="00B52F0B"/>
    <w:rsid w:val="00B54E31"/>
    <w:rsid w:val="00B55E00"/>
    <w:rsid w:val="00B64252"/>
    <w:rsid w:val="00B648A8"/>
    <w:rsid w:val="00B72C03"/>
    <w:rsid w:val="00B76E49"/>
    <w:rsid w:val="00B7700E"/>
    <w:rsid w:val="00B874C6"/>
    <w:rsid w:val="00B90C84"/>
    <w:rsid w:val="00B92F33"/>
    <w:rsid w:val="00B960ED"/>
    <w:rsid w:val="00B97E95"/>
    <w:rsid w:val="00BA2D85"/>
    <w:rsid w:val="00BA380E"/>
    <w:rsid w:val="00BA4C77"/>
    <w:rsid w:val="00BA5BF4"/>
    <w:rsid w:val="00BA6D2A"/>
    <w:rsid w:val="00BA6D41"/>
    <w:rsid w:val="00BA6E93"/>
    <w:rsid w:val="00BA6FF2"/>
    <w:rsid w:val="00BB197D"/>
    <w:rsid w:val="00BB19DB"/>
    <w:rsid w:val="00BB2802"/>
    <w:rsid w:val="00BB5694"/>
    <w:rsid w:val="00BB79D5"/>
    <w:rsid w:val="00BC00CC"/>
    <w:rsid w:val="00BC17F1"/>
    <w:rsid w:val="00BC269D"/>
    <w:rsid w:val="00BC56F7"/>
    <w:rsid w:val="00BD1379"/>
    <w:rsid w:val="00BD1B54"/>
    <w:rsid w:val="00BD531B"/>
    <w:rsid w:val="00BD68A4"/>
    <w:rsid w:val="00BE151B"/>
    <w:rsid w:val="00BE28FE"/>
    <w:rsid w:val="00BE30B1"/>
    <w:rsid w:val="00BE482C"/>
    <w:rsid w:val="00BE6A43"/>
    <w:rsid w:val="00BE77E2"/>
    <w:rsid w:val="00BF6DD4"/>
    <w:rsid w:val="00C003FE"/>
    <w:rsid w:val="00C00B8C"/>
    <w:rsid w:val="00C00FB9"/>
    <w:rsid w:val="00C02858"/>
    <w:rsid w:val="00C030E4"/>
    <w:rsid w:val="00C10AAD"/>
    <w:rsid w:val="00C12C5D"/>
    <w:rsid w:val="00C17410"/>
    <w:rsid w:val="00C245A3"/>
    <w:rsid w:val="00C27DA7"/>
    <w:rsid w:val="00C3033F"/>
    <w:rsid w:val="00C3196B"/>
    <w:rsid w:val="00C332A0"/>
    <w:rsid w:val="00C335AA"/>
    <w:rsid w:val="00C33BB5"/>
    <w:rsid w:val="00C34283"/>
    <w:rsid w:val="00C3431D"/>
    <w:rsid w:val="00C352F6"/>
    <w:rsid w:val="00C3623C"/>
    <w:rsid w:val="00C44AB6"/>
    <w:rsid w:val="00C45093"/>
    <w:rsid w:val="00C45E9B"/>
    <w:rsid w:val="00C50DBD"/>
    <w:rsid w:val="00C52ABD"/>
    <w:rsid w:val="00C53748"/>
    <w:rsid w:val="00C5514E"/>
    <w:rsid w:val="00C55B07"/>
    <w:rsid w:val="00C56DEC"/>
    <w:rsid w:val="00C56E3C"/>
    <w:rsid w:val="00C57CA5"/>
    <w:rsid w:val="00C6030A"/>
    <w:rsid w:val="00C61E89"/>
    <w:rsid w:val="00C62CA1"/>
    <w:rsid w:val="00C66609"/>
    <w:rsid w:val="00C672C5"/>
    <w:rsid w:val="00C70284"/>
    <w:rsid w:val="00C73E48"/>
    <w:rsid w:val="00C75E6F"/>
    <w:rsid w:val="00C83534"/>
    <w:rsid w:val="00C84E06"/>
    <w:rsid w:val="00C92DC7"/>
    <w:rsid w:val="00C939A0"/>
    <w:rsid w:val="00C95013"/>
    <w:rsid w:val="00C96DD0"/>
    <w:rsid w:val="00CA59AE"/>
    <w:rsid w:val="00CB0C40"/>
    <w:rsid w:val="00CB1455"/>
    <w:rsid w:val="00CB50A5"/>
    <w:rsid w:val="00CB551D"/>
    <w:rsid w:val="00CB5F3F"/>
    <w:rsid w:val="00CB6CD9"/>
    <w:rsid w:val="00CC0F08"/>
    <w:rsid w:val="00CC1665"/>
    <w:rsid w:val="00CC363A"/>
    <w:rsid w:val="00CC3785"/>
    <w:rsid w:val="00CC5DC6"/>
    <w:rsid w:val="00CC62CE"/>
    <w:rsid w:val="00CD0692"/>
    <w:rsid w:val="00CD369F"/>
    <w:rsid w:val="00CD36BD"/>
    <w:rsid w:val="00CD3E0D"/>
    <w:rsid w:val="00CD4C82"/>
    <w:rsid w:val="00CE1304"/>
    <w:rsid w:val="00CE2605"/>
    <w:rsid w:val="00CE3531"/>
    <w:rsid w:val="00CE53C0"/>
    <w:rsid w:val="00CF00EF"/>
    <w:rsid w:val="00CF26F6"/>
    <w:rsid w:val="00CF49CF"/>
    <w:rsid w:val="00CF6651"/>
    <w:rsid w:val="00CF7203"/>
    <w:rsid w:val="00CF7851"/>
    <w:rsid w:val="00CF7BED"/>
    <w:rsid w:val="00D004FC"/>
    <w:rsid w:val="00D028DE"/>
    <w:rsid w:val="00D036E4"/>
    <w:rsid w:val="00D03D0B"/>
    <w:rsid w:val="00D1333C"/>
    <w:rsid w:val="00D138BF"/>
    <w:rsid w:val="00D14472"/>
    <w:rsid w:val="00D20377"/>
    <w:rsid w:val="00D2431D"/>
    <w:rsid w:val="00D24486"/>
    <w:rsid w:val="00D24D55"/>
    <w:rsid w:val="00D24E74"/>
    <w:rsid w:val="00D32E63"/>
    <w:rsid w:val="00D3524E"/>
    <w:rsid w:val="00D43694"/>
    <w:rsid w:val="00D443B7"/>
    <w:rsid w:val="00D45C76"/>
    <w:rsid w:val="00D45EB2"/>
    <w:rsid w:val="00D46F32"/>
    <w:rsid w:val="00D4767A"/>
    <w:rsid w:val="00D47732"/>
    <w:rsid w:val="00D47F66"/>
    <w:rsid w:val="00D543CE"/>
    <w:rsid w:val="00D56568"/>
    <w:rsid w:val="00D56D4F"/>
    <w:rsid w:val="00D6059B"/>
    <w:rsid w:val="00D71C08"/>
    <w:rsid w:val="00D737DD"/>
    <w:rsid w:val="00D752D5"/>
    <w:rsid w:val="00D75ED1"/>
    <w:rsid w:val="00D77B47"/>
    <w:rsid w:val="00D81747"/>
    <w:rsid w:val="00D84140"/>
    <w:rsid w:val="00D843E5"/>
    <w:rsid w:val="00D850C8"/>
    <w:rsid w:val="00D872BD"/>
    <w:rsid w:val="00D87F55"/>
    <w:rsid w:val="00DA23F9"/>
    <w:rsid w:val="00DA2664"/>
    <w:rsid w:val="00DB1B71"/>
    <w:rsid w:val="00DB4A78"/>
    <w:rsid w:val="00DB7382"/>
    <w:rsid w:val="00DC0157"/>
    <w:rsid w:val="00DC54D4"/>
    <w:rsid w:val="00DC59DD"/>
    <w:rsid w:val="00DC64C1"/>
    <w:rsid w:val="00DD3620"/>
    <w:rsid w:val="00DD45BC"/>
    <w:rsid w:val="00DD5BE2"/>
    <w:rsid w:val="00DD604F"/>
    <w:rsid w:val="00DE1338"/>
    <w:rsid w:val="00DE4235"/>
    <w:rsid w:val="00DE468B"/>
    <w:rsid w:val="00DF1CA1"/>
    <w:rsid w:val="00DF303A"/>
    <w:rsid w:val="00DF7BEF"/>
    <w:rsid w:val="00E00EA2"/>
    <w:rsid w:val="00E014F2"/>
    <w:rsid w:val="00E0338C"/>
    <w:rsid w:val="00E06E4F"/>
    <w:rsid w:val="00E127EE"/>
    <w:rsid w:val="00E12C28"/>
    <w:rsid w:val="00E14D54"/>
    <w:rsid w:val="00E205F0"/>
    <w:rsid w:val="00E23938"/>
    <w:rsid w:val="00E26694"/>
    <w:rsid w:val="00E311DF"/>
    <w:rsid w:val="00E42B8F"/>
    <w:rsid w:val="00E430FF"/>
    <w:rsid w:val="00E45CB8"/>
    <w:rsid w:val="00E45DB2"/>
    <w:rsid w:val="00E4648A"/>
    <w:rsid w:val="00E46D69"/>
    <w:rsid w:val="00E51570"/>
    <w:rsid w:val="00E57FAE"/>
    <w:rsid w:val="00E600D5"/>
    <w:rsid w:val="00E615A1"/>
    <w:rsid w:val="00E63600"/>
    <w:rsid w:val="00E64E26"/>
    <w:rsid w:val="00E66C14"/>
    <w:rsid w:val="00E6732E"/>
    <w:rsid w:val="00E74284"/>
    <w:rsid w:val="00E75EB9"/>
    <w:rsid w:val="00E76B6A"/>
    <w:rsid w:val="00E77902"/>
    <w:rsid w:val="00E82752"/>
    <w:rsid w:val="00E82F45"/>
    <w:rsid w:val="00E85246"/>
    <w:rsid w:val="00E86082"/>
    <w:rsid w:val="00E86D4E"/>
    <w:rsid w:val="00E91C79"/>
    <w:rsid w:val="00E9516C"/>
    <w:rsid w:val="00E96015"/>
    <w:rsid w:val="00EA1B31"/>
    <w:rsid w:val="00EA49DF"/>
    <w:rsid w:val="00EB1B5D"/>
    <w:rsid w:val="00EB3083"/>
    <w:rsid w:val="00EB70D6"/>
    <w:rsid w:val="00EC1F64"/>
    <w:rsid w:val="00EC3D42"/>
    <w:rsid w:val="00EC56C8"/>
    <w:rsid w:val="00ED399D"/>
    <w:rsid w:val="00EE420B"/>
    <w:rsid w:val="00EE5407"/>
    <w:rsid w:val="00EE60C9"/>
    <w:rsid w:val="00EE788E"/>
    <w:rsid w:val="00EF088D"/>
    <w:rsid w:val="00EF20F5"/>
    <w:rsid w:val="00EF509E"/>
    <w:rsid w:val="00F03B55"/>
    <w:rsid w:val="00F06649"/>
    <w:rsid w:val="00F1264A"/>
    <w:rsid w:val="00F169FA"/>
    <w:rsid w:val="00F201CA"/>
    <w:rsid w:val="00F229D7"/>
    <w:rsid w:val="00F245ED"/>
    <w:rsid w:val="00F25DC4"/>
    <w:rsid w:val="00F27442"/>
    <w:rsid w:val="00F30A81"/>
    <w:rsid w:val="00F334DE"/>
    <w:rsid w:val="00F37171"/>
    <w:rsid w:val="00F37CCD"/>
    <w:rsid w:val="00F429FF"/>
    <w:rsid w:val="00F527CA"/>
    <w:rsid w:val="00F52E90"/>
    <w:rsid w:val="00F54638"/>
    <w:rsid w:val="00F54D5D"/>
    <w:rsid w:val="00F57C44"/>
    <w:rsid w:val="00F607AA"/>
    <w:rsid w:val="00F621E3"/>
    <w:rsid w:val="00F65C75"/>
    <w:rsid w:val="00F702C6"/>
    <w:rsid w:val="00F732A8"/>
    <w:rsid w:val="00F77BA4"/>
    <w:rsid w:val="00F80828"/>
    <w:rsid w:val="00F81F60"/>
    <w:rsid w:val="00F91DCC"/>
    <w:rsid w:val="00F96EA2"/>
    <w:rsid w:val="00FA3EF9"/>
    <w:rsid w:val="00FA70C1"/>
    <w:rsid w:val="00FB0039"/>
    <w:rsid w:val="00FB2EAC"/>
    <w:rsid w:val="00FB3E20"/>
    <w:rsid w:val="00FB6454"/>
    <w:rsid w:val="00FB7F8D"/>
    <w:rsid w:val="00FC0305"/>
    <w:rsid w:val="00FC280C"/>
    <w:rsid w:val="00FC2CEA"/>
    <w:rsid w:val="00FC3A95"/>
    <w:rsid w:val="00FC499D"/>
    <w:rsid w:val="00FD1E20"/>
    <w:rsid w:val="00FD50F2"/>
    <w:rsid w:val="00FE122E"/>
    <w:rsid w:val="00FE4DEC"/>
    <w:rsid w:val="00FE5391"/>
    <w:rsid w:val="00FE69E7"/>
    <w:rsid w:val="00FF07A3"/>
    <w:rsid w:val="00FF2AEF"/>
    <w:rsid w:val="01202B9D"/>
    <w:rsid w:val="02EB492B"/>
    <w:rsid w:val="06914655"/>
    <w:rsid w:val="07343657"/>
    <w:rsid w:val="08E20429"/>
    <w:rsid w:val="14A96F58"/>
    <w:rsid w:val="16C5450F"/>
    <w:rsid w:val="19566C1C"/>
    <w:rsid w:val="198565D2"/>
    <w:rsid w:val="1BF256A6"/>
    <w:rsid w:val="1F8B7195"/>
    <w:rsid w:val="25B01047"/>
    <w:rsid w:val="25BF4D96"/>
    <w:rsid w:val="2AD34EB3"/>
    <w:rsid w:val="2D8C7E15"/>
    <w:rsid w:val="2F4F3208"/>
    <w:rsid w:val="3DDF4265"/>
    <w:rsid w:val="3F291203"/>
    <w:rsid w:val="40A43D51"/>
    <w:rsid w:val="40E50FB0"/>
    <w:rsid w:val="41F139E5"/>
    <w:rsid w:val="46EA0048"/>
    <w:rsid w:val="4A7364C9"/>
    <w:rsid w:val="4D631B43"/>
    <w:rsid w:val="4E8E0F34"/>
    <w:rsid w:val="4F541DE8"/>
    <w:rsid w:val="549F2A3D"/>
    <w:rsid w:val="5990202E"/>
    <w:rsid w:val="6163673F"/>
    <w:rsid w:val="639F33F3"/>
    <w:rsid w:val="72F42181"/>
    <w:rsid w:val="76D37E4E"/>
    <w:rsid w:val="7ACA044B"/>
    <w:rsid w:val="7D197E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hAnsi="宋体" w:cs="宋体"/>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index 6"/>
    <w:basedOn w:val="1"/>
    <w:next w:val="1"/>
    <w:qFormat/>
    <w:uiPriority w:val="0"/>
    <w:pPr>
      <w:ind w:left="1000" w:leftChars="1000"/>
    </w:pPr>
  </w:style>
  <w:style w:type="paragraph" w:styleId="6">
    <w:name w:val="Body Text"/>
    <w:basedOn w:val="1"/>
    <w:next w:val="1"/>
    <w:qFormat/>
    <w:uiPriority w:val="0"/>
    <w:pPr>
      <w:tabs>
        <w:tab w:val="left" w:pos="3122"/>
      </w:tabs>
    </w:pPr>
    <w:rPr>
      <w:rFonts w:ascii="宋体"/>
      <w:b/>
      <w:sz w:val="36"/>
    </w:rPr>
  </w:style>
  <w:style w:type="paragraph" w:styleId="7">
    <w:name w:val="Block Text"/>
    <w:basedOn w:val="1"/>
    <w:unhideWhenUsed/>
    <w:qFormat/>
    <w:uiPriority w:val="99"/>
    <w:pPr>
      <w:spacing w:before="100" w:beforeAutospacing="1"/>
      <w:ind w:left="1440" w:leftChars="700" w:right="700" w:rightChars="700"/>
    </w:pPr>
  </w:style>
  <w:style w:type="paragraph" w:styleId="8">
    <w:name w:val="toc 5"/>
    <w:basedOn w:val="1"/>
    <w:next w:val="1"/>
    <w:qFormat/>
    <w:uiPriority w:val="0"/>
    <w:pPr>
      <w:ind w:left="1680" w:leftChars="800"/>
    </w:pPr>
  </w:style>
  <w:style w:type="paragraph" w:styleId="9">
    <w:name w:val="Balloon Text"/>
    <w:basedOn w:val="1"/>
    <w:link w:val="27"/>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qFormat/>
    <w:uiPriority w:val="99"/>
    <w:pPr>
      <w:spacing w:beforeAutospacing="1" w:afterAutospacing="1"/>
      <w:jc w:val="left"/>
    </w:pPr>
    <w:rPr>
      <w:kern w:val="0"/>
      <w:sz w:val="24"/>
    </w:rPr>
  </w:style>
  <w:style w:type="paragraph" w:styleId="14">
    <w:name w:val="annotation subject"/>
    <w:basedOn w:val="4"/>
    <w:next w:val="4"/>
    <w:link w:val="30"/>
    <w:semiHidden/>
    <w:unhideWhenUsed/>
    <w:qFormat/>
    <w:uiPriority w:val="99"/>
    <w:rPr>
      <w:b/>
      <w:bCs/>
    </w:rPr>
  </w:style>
  <w:style w:type="character" w:styleId="17">
    <w:name w:val="Strong"/>
    <w:basedOn w:val="16"/>
    <w:qFormat/>
    <w:uiPriority w:val="0"/>
    <w:rPr>
      <w:b/>
      <w:bCs/>
    </w:rPr>
  </w:style>
  <w:style w:type="character" w:styleId="18">
    <w:name w:val="page number"/>
    <w:basedOn w:val="16"/>
    <w:qFormat/>
    <w:uiPriority w:val="99"/>
    <w:rPr>
      <w:rFonts w:cs="Times New Roman"/>
    </w:rPr>
  </w:style>
  <w:style w:type="character" w:styleId="19">
    <w:name w:val="Hyperlink"/>
    <w:basedOn w:val="16"/>
    <w:semiHidden/>
    <w:unhideWhenUsed/>
    <w:qFormat/>
    <w:uiPriority w:val="99"/>
    <w:rPr>
      <w:color w:val="0000FF"/>
      <w:u w:val="single"/>
    </w:rPr>
  </w:style>
  <w:style w:type="character" w:styleId="20">
    <w:name w:val="annotation reference"/>
    <w:basedOn w:val="16"/>
    <w:semiHidden/>
    <w:unhideWhenUsed/>
    <w:qFormat/>
    <w:uiPriority w:val="99"/>
    <w:rPr>
      <w:sz w:val="21"/>
      <w:szCs w:val="21"/>
    </w:rPr>
  </w:style>
  <w:style w:type="paragraph" w:customStyle="1" w:styleId="21">
    <w:name w:val="Body Text First Indent 21"/>
    <w:basedOn w:val="22"/>
    <w:qFormat/>
    <w:uiPriority w:val="99"/>
    <w:pPr>
      <w:ind w:firstLine="420" w:firstLineChars="200"/>
    </w:pPr>
  </w:style>
  <w:style w:type="paragraph" w:customStyle="1" w:styleId="22">
    <w:name w:val="Body Text Indent1"/>
    <w:basedOn w:val="1"/>
    <w:qFormat/>
    <w:uiPriority w:val="99"/>
    <w:pPr>
      <w:ind w:left="420" w:leftChars="200"/>
    </w:pPr>
    <w:rPr>
      <w:rFonts w:cs="Calibri"/>
      <w:sz w:val="24"/>
    </w:rPr>
  </w:style>
  <w:style w:type="paragraph" w:customStyle="1" w:styleId="23">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character" w:customStyle="1" w:styleId="24">
    <w:name w:val="页眉 Char"/>
    <w:basedOn w:val="16"/>
    <w:link w:val="11"/>
    <w:qFormat/>
    <w:locked/>
    <w:uiPriority w:val="99"/>
    <w:rPr>
      <w:rFonts w:cs="Times New Roman"/>
      <w:sz w:val="18"/>
      <w:szCs w:val="18"/>
    </w:rPr>
  </w:style>
  <w:style w:type="character" w:customStyle="1" w:styleId="25">
    <w:name w:val="页脚 Char"/>
    <w:basedOn w:val="16"/>
    <w:link w:val="10"/>
    <w:qFormat/>
    <w:locked/>
    <w:uiPriority w:val="99"/>
    <w:rPr>
      <w:rFonts w:cs="Times New Roman"/>
      <w:sz w:val="18"/>
      <w:szCs w:val="18"/>
    </w:rPr>
  </w:style>
  <w:style w:type="paragraph" w:styleId="26">
    <w:name w:val="List Paragraph"/>
    <w:basedOn w:val="1"/>
    <w:qFormat/>
    <w:uiPriority w:val="34"/>
    <w:pPr>
      <w:ind w:firstLine="420" w:firstLineChars="200"/>
    </w:pPr>
  </w:style>
  <w:style w:type="character" w:customStyle="1" w:styleId="27">
    <w:name w:val="批注框文本 Char"/>
    <w:basedOn w:val="16"/>
    <w:link w:val="9"/>
    <w:semiHidden/>
    <w:qFormat/>
    <w:uiPriority w:val="99"/>
    <w:rPr>
      <w:kern w:val="2"/>
      <w:sz w:val="18"/>
      <w:szCs w:val="18"/>
    </w:rPr>
  </w:style>
  <w:style w:type="paragraph" w:customStyle="1" w:styleId="28">
    <w:name w:val="one-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文字 Char"/>
    <w:basedOn w:val="16"/>
    <w:link w:val="4"/>
    <w:semiHidden/>
    <w:qFormat/>
    <w:uiPriority w:val="99"/>
    <w:rPr>
      <w:rFonts w:ascii="Calibri" w:hAnsi="Calibri"/>
      <w:kern w:val="2"/>
      <w:sz w:val="21"/>
      <w:szCs w:val="22"/>
    </w:rPr>
  </w:style>
  <w:style w:type="character" w:customStyle="1" w:styleId="30">
    <w:name w:val="批注主题 Char"/>
    <w:basedOn w:val="29"/>
    <w:link w:val="14"/>
    <w:semiHidden/>
    <w:qFormat/>
    <w:uiPriority w:val="99"/>
    <w:rPr>
      <w:rFonts w:ascii="Calibri" w:hAnsi="Calibri"/>
      <w:b/>
      <w:bCs/>
      <w:kern w:val="2"/>
      <w:sz w:val="21"/>
      <w:szCs w:val="22"/>
    </w:rPr>
  </w:style>
  <w:style w:type="paragraph" w:customStyle="1" w:styleId="31">
    <w:name w:val="BodyText"/>
    <w:basedOn w:val="1"/>
    <w:qFormat/>
    <w:uiPriority w:val="0"/>
    <w:pPr>
      <w:spacing w:line="240" w:lineRule="atLeast"/>
    </w:pPr>
    <w:rPr>
      <w:rFonts w:eastAsia="小标宋"/>
      <w:sz w:val="44"/>
    </w:rPr>
  </w:style>
  <w:style w:type="paragraph" w:customStyle="1" w:styleId="32">
    <w:name w:val="正文1"/>
    <w:basedOn w:val="1"/>
    <w:qFormat/>
    <w:uiPriority w:val="0"/>
    <w:pPr>
      <w:widowControl/>
    </w:pPr>
  </w:style>
  <w:style w:type="character" w:customStyle="1" w:styleId="33">
    <w:name w:val="bjh-p"/>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投诉量</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0"/>
              <c:layout>
                <c:manualLayout>
                  <c:x val="-0.00219610322432324"/>
                  <c:y val="-0.2285931248885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8937486828745"/>
                  <c:y val="0.10573630966032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0403663045769"/>
                  <c:y val="0.064769003389139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388757974596255"/>
                  <c:y val="-0.05767678312055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10289863402111"/>
                  <c:y val="-0.02070305532196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802136138092226"/>
                  <c:y val="-0.0279221772035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73851370768435"/>
                  <c:y val="-0.06611395662920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459138120555448"/>
                  <c:y val="-0.092774382223201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00217081441462158"/>
                  <c:y val="-0.105550034401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0.0648876372205324"/>
                  <c:y val="-0.089356827969320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Sheet1!$A$2:$A$11</c:f>
              <c:strCache>
                <c:ptCount val="10"/>
                <c:pt idx="0">
                  <c:v>质量</c:v>
                </c:pt>
                <c:pt idx="1">
                  <c:v>售后服务</c:v>
                </c:pt>
                <c:pt idx="2">
                  <c:v>安全</c:v>
                </c:pt>
                <c:pt idx="3">
                  <c:v>虚假宣传</c:v>
                </c:pt>
                <c:pt idx="4">
                  <c:v>合同</c:v>
                </c:pt>
                <c:pt idx="5">
                  <c:v>价格</c:v>
                </c:pt>
                <c:pt idx="6">
                  <c:v>其他</c:v>
                </c:pt>
                <c:pt idx="7">
                  <c:v>计量</c:v>
                </c:pt>
                <c:pt idx="8">
                  <c:v>假冒</c:v>
                </c:pt>
                <c:pt idx="9">
                  <c:v>人格权益</c:v>
                </c:pt>
              </c:strCache>
            </c:strRef>
          </c:cat>
          <c:val>
            <c:numRef>
              <c:f>Sheet1!$B$2:$B$11</c:f>
              <c:numCache>
                <c:formatCode>General</c:formatCode>
                <c:ptCount val="10"/>
                <c:pt idx="0">
                  <c:v>4760</c:v>
                </c:pt>
                <c:pt idx="1">
                  <c:v>2376</c:v>
                </c:pt>
                <c:pt idx="2">
                  <c:v>1672</c:v>
                </c:pt>
                <c:pt idx="3">
                  <c:v>1447</c:v>
                </c:pt>
                <c:pt idx="4">
                  <c:v>1352</c:v>
                </c:pt>
                <c:pt idx="5">
                  <c:v>1024</c:v>
                </c:pt>
                <c:pt idx="6">
                  <c:v>1012</c:v>
                </c:pt>
                <c:pt idx="7">
                  <c:v>214</c:v>
                </c:pt>
                <c:pt idx="8">
                  <c:v>118</c:v>
                </c:pt>
                <c:pt idx="9">
                  <c:v>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727e2b8-25a9-4d66-8ee0-91014455d09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11109239687285"/>
          <c:y val="0.121924643140538"/>
          <c:w val="0.884341637010689"/>
          <c:h val="0.575757575757576"/>
        </c:manualLayout>
      </c:layout>
      <c:barChart>
        <c:barDir val="col"/>
        <c:grouping val="stacked"/>
        <c:varyColors val="0"/>
        <c:ser>
          <c:idx val="0"/>
          <c:order val="0"/>
          <c:tx>
            <c:strRef>
              <c:f>Sheet1!$A$2</c:f>
              <c:strCache>
                <c:ptCount val="1"/>
                <c:pt idx="0">
                  <c:v/>
                </c:pt>
              </c:strCache>
            </c:strRef>
          </c:tx>
          <c:spPr>
            <a:solidFill>
              <a:srgbClr val="99CCFF"/>
            </a:solidFill>
            <a:ln w="12700">
              <a:solidFill>
                <a:srgbClr val="000000"/>
              </a:solidFill>
              <a:prstDash val="solid"/>
            </a:ln>
          </c:spPr>
          <c:invertIfNegative val="0"/>
          <c:dLbls>
            <c:dLbl>
              <c:idx val="0"/>
              <c:layout>
                <c:manualLayout>
                  <c:x val="0.00374340907921269"/>
                  <c:y val="-0.30012260095395"/>
                </c:manualLayout>
              </c:layout>
              <c:tx>
                <c:rich>
                  <a:bodyPr rot="0" spcFirstLastPara="0" vertOverflow="ellipsis" vert="horz" wrap="square" lIns="38100" tIns="19050" rIns="38100" bIns="19050" anchor="ctr" anchorCtr="1"/>
                  <a:lstStyle/>
                  <a:p>
                    <a:pPr>
                      <a:defRPr lang="zh-CN" sz="88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sz="880"/>
                      <a:t>3567</a:t>
                    </a:r>
                    <a:endParaRPr lang="en-US" altLang="en-US" sz="880"/>
                  </a:p>
                </c:rich>
              </c:tx>
              <c:numFmt formatCode="General" sourceLinked="1"/>
              <c:spPr>
                <a:solidFill>
                  <a:srgbClr val="FFFFFF"/>
                </a:solidFill>
                <a:ln w="25400">
                  <a:noFill/>
                </a:ln>
                <a:effectLst/>
              </c:spPr>
              <c:txPr>
                <a:bodyPr rot="0" spcFirstLastPara="0" vertOverflow="ellipsis" vert="horz" wrap="square" lIns="38100" tIns="19050" rIns="38100" bIns="19050" anchor="ctr" anchorCtr="1"/>
                <a:lstStyle/>
                <a:p>
                  <a:pPr>
                    <a:defRPr lang="zh-CN" sz="88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96527573091"/>
                  <c:y val="-0.12835011902581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43668271412597"/>
                  <c:y val="-0.1155570669945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43921381485068"/>
                  <c:y val="-0.10995090729937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18553763667242"/>
                  <c:y val="-0.10176123333420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6672514866123"/>
                  <c:y val="-0.09738736146353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431774905142205"/>
                  <c:y val="-0.093192769508462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161747161283984"/>
                  <c:y val="-0.070258543263487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108261868335977"/>
                  <c:y val="-0.056769299186438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0224009431976083"/>
                  <c:y val="-0.065672604877878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solidFill>
                <a:srgbClr val="FFFFFF"/>
              </a:solidFill>
              <a:ln w="25400">
                <a:noFill/>
              </a:ln>
              <a:effectLst/>
            </c:spPr>
            <c:txPr>
              <a:bodyPr rot="0" spcFirstLastPara="0" vertOverflow="ellipsis" vert="horz" wrap="square" lIns="38100" tIns="19050" rIns="38100" bIns="19050" anchor="ctr" anchorCtr="1"/>
              <a:lstStyle/>
              <a:p>
                <a:pPr>
                  <a:defRPr lang="zh-CN" sz="8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Sheet1!$B$1:$K$1</c:f>
              <c:strCache>
                <c:ptCount val="10"/>
                <c:pt idx="0">
                  <c:v>食品类</c:v>
                </c:pt>
                <c:pt idx="1">
                  <c:v>日用商品类</c:v>
                </c:pt>
                <c:pt idx="2">
                  <c:v>家用电子电器类</c:v>
                </c:pt>
                <c:pt idx="3">
                  <c:v>服装鞋帽类</c:v>
                </c:pt>
                <c:pt idx="4">
                  <c:v>烟、酒和饮料类</c:v>
                </c:pt>
                <c:pt idx="5">
                  <c:v>房屋及建材类</c:v>
                </c:pt>
                <c:pt idx="6">
                  <c:v>交通工具类</c:v>
                </c:pt>
                <c:pt idx="7">
                  <c:v>首饰及文体类</c:v>
                </c:pt>
                <c:pt idx="8">
                  <c:v>医药及医疗用品类</c:v>
                </c:pt>
                <c:pt idx="9">
                  <c:v>农用生产资料类</c:v>
                </c:pt>
              </c:strCache>
            </c:strRef>
          </c:cat>
          <c:val>
            <c:numRef>
              <c:f>Sheet1!$B$2:$K$2</c:f>
              <c:numCache>
                <c:formatCode>General</c:formatCode>
                <c:ptCount val="10"/>
                <c:pt idx="0">
                  <c:v>3567</c:v>
                </c:pt>
                <c:pt idx="1">
                  <c:v>914</c:v>
                </c:pt>
                <c:pt idx="2">
                  <c:v>770</c:v>
                </c:pt>
                <c:pt idx="3">
                  <c:v>587</c:v>
                </c:pt>
                <c:pt idx="4">
                  <c:v>451</c:v>
                </c:pt>
                <c:pt idx="5">
                  <c:v>433</c:v>
                </c:pt>
                <c:pt idx="6">
                  <c:v>392</c:v>
                </c:pt>
                <c:pt idx="7">
                  <c:v>386</c:v>
                </c:pt>
                <c:pt idx="8">
                  <c:v>310</c:v>
                </c:pt>
                <c:pt idx="9">
                  <c:v>39</c:v>
                </c:pt>
              </c:numCache>
            </c:numRef>
          </c:val>
        </c:ser>
        <c:dLbls>
          <c:showLegendKey val="0"/>
          <c:showVal val="1"/>
          <c:showCatName val="0"/>
          <c:showSerName val="0"/>
          <c:showPercent val="0"/>
          <c:showBubbleSize val="0"/>
        </c:dLbls>
        <c:gapWidth val="150"/>
        <c:overlap val="100"/>
        <c:axId val="321701376"/>
        <c:axId val="321702912"/>
      </c:barChart>
      <c:catAx>
        <c:axId val="32170137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2460000" spcFirstLastPara="0" vertOverflow="ellipsis" vert="horz" wrap="square"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21702912"/>
        <c:crosses val="autoZero"/>
        <c:auto val="1"/>
        <c:lblAlgn val="ctr"/>
        <c:lblOffset val="100"/>
        <c:tickLblSkip val="1"/>
        <c:noMultiLvlLbl val="0"/>
      </c:catAx>
      <c:valAx>
        <c:axId val="321702912"/>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21701376"/>
        <c:crosses val="autoZero"/>
        <c:crossBetween val="between"/>
      </c:valAx>
      <c:spPr>
        <a:noFill/>
        <a:ln w="25400">
          <a:noFill/>
        </a:ln>
      </c:spPr>
    </c:plotArea>
    <c:plotVisOnly val="1"/>
    <c:dispBlanksAs val="gap"/>
    <c:showDLblsOverMax val="0"/>
    <c:extLst>
      <c:ext uri="{0b15fc19-7d7d-44ad-8c2d-2c3a37ce22c3}">
        <chartProps xmlns="https://web.wps.cn/et/2018/main" chartId="{e33c09cf-86e3-4a73-8b93-a960aaf165fa}"/>
      </c:ext>
    </c:extLst>
  </c:chart>
  <c:spPr>
    <a:noFill/>
    <a:ln w="9525" cap="flat" cmpd="sng" algn="ctr">
      <a:noFill/>
      <a:prstDash val="solid"/>
      <a:round/>
    </a:ln>
  </c:spPr>
  <c:txPr>
    <a:bodyPr/>
    <a:lstStyle/>
    <a:p>
      <a:pPr>
        <a:defRPr lang="zh-CN" sz="1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74941673958"/>
          <c:y val="0.0475923591098292"/>
          <c:w val="0.852596314907873"/>
          <c:h val="0.659942363112393"/>
        </c:manualLayout>
      </c:layout>
      <c:barChart>
        <c:barDir val="col"/>
        <c:grouping val="stacked"/>
        <c:varyColors val="0"/>
        <c:ser>
          <c:idx val="0"/>
          <c:order val="0"/>
          <c:tx>
            <c:strRef>
              <c:f>Sheet1!$A$2</c:f>
              <c:strCache>
                <c:ptCount val="1"/>
                <c:pt idx="0">
                  <c:v/>
                </c:pt>
              </c:strCache>
            </c:strRef>
          </c:tx>
          <c:spPr>
            <a:solidFill>
              <a:srgbClr val="99CCFF"/>
            </a:solidFill>
            <a:ln w="12700">
              <a:solidFill>
                <a:srgbClr val="000000"/>
              </a:solidFill>
              <a:prstDash val="solid"/>
            </a:ln>
          </c:spPr>
          <c:invertIfNegative val="0"/>
          <c:dLbls>
            <c:dLbl>
              <c:idx val="0"/>
              <c:layout>
                <c:manualLayout>
                  <c:x val="-0.002098461650627"/>
                  <c:y val="-0.331228401137358"/>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84576407115777"/>
                  <c:y val="-0.17009924540682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30136337124526"/>
                  <c:y val="-0.11076689632545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64935112277632"/>
                  <c:y val="-0.096713692038495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0411563137941091"/>
                  <c:y val="-0.091012139107611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86187664041995"/>
                  <c:y val="-0.066797900262467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309984689413823"/>
                  <c:y val="-0.063234087926509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20230023330417"/>
                  <c:y val="-0.062705872703412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356135170603675"/>
                  <c:y val="-0.051687992125984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296314523184611"/>
                  <c:y val="-0.05196276246719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172517497812773"/>
                  <c:y val="-0.04999781277340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511683435403908"/>
                  <c:y val="-0.035060148731408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220363079615049"/>
                  <c:y val="-0.037259951881014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solidFill>
                <a:srgbClr val="FFFFFF"/>
              </a:solidFill>
              <a:ln w="25400">
                <a:noFill/>
              </a:ln>
              <a:effectLst/>
            </c:spPr>
            <c:txPr>
              <a:bodyPr rot="0" spcFirstLastPara="0" vertOverflow="ellipsis" vert="horz" wrap="square" lIns="38100" tIns="19050" rIns="38100" bIns="19050"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教育培训服务</c:v>
                </c:pt>
                <c:pt idx="3">
                  <c:v>文化、娱乐、体育服务</c:v>
                </c:pt>
                <c:pt idx="4">
                  <c:v>房屋装修及物业服务</c:v>
                </c:pt>
                <c:pt idx="5">
                  <c:v>互联网服务</c:v>
                </c:pt>
                <c:pt idx="6">
                  <c:v>公共设施服务</c:v>
                </c:pt>
                <c:pt idx="7">
                  <c:v>电信服务</c:v>
                </c:pt>
                <c:pt idx="8">
                  <c:v>旅游服务</c:v>
                </c:pt>
                <c:pt idx="9">
                  <c:v>卫生保健服务</c:v>
                </c:pt>
                <c:pt idx="10">
                  <c:v>邮政业服务</c:v>
                </c:pt>
                <c:pt idx="11">
                  <c:v>金融服务</c:v>
                </c:pt>
                <c:pt idx="12">
                  <c:v>保险服务</c:v>
                </c:pt>
              </c:strCache>
            </c:strRef>
          </c:cat>
          <c:val>
            <c:numRef>
              <c:f>Sheet1!$B$2:$N$2</c:f>
              <c:numCache>
                <c:formatCode>General</c:formatCode>
                <c:ptCount val="13"/>
                <c:pt idx="0">
                  <c:v>2141</c:v>
                </c:pt>
                <c:pt idx="1">
                  <c:v>1067</c:v>
                </c:pt>
                <c:pt idx="2">
                  <c:v>537</c:v>
                </c:pt>
                <c:pt idx="3">
                  <c:v>460</c:v>
                </c:pt>
                <c:pt idx="4">
                  <c:v>359</c:v>
                </c:pt>
                <c:pt idx="5">
                  <c:v>202</c:v>
                </c:pt>
                <c:pt idx="6">
                  <c:v>185</c:v>
                </c:pt>
                <c:pt idx="7">
                  <c:v>165</c:v>
                </c:pt>
                <c:pt idx="8">
                  <c:v>120</c:v>
                </c:pt>
                <c:pt idx="9">
                  <c:v>106</c:v>
                </c:pt>
                <c:pt idx="10">
                  <c:v>73</c:v>
                </c:pt>
                <c:pt idx="11">
                  <c:v>37</c:v>
                </c:pt>
                <c:pt idx="12">
                  <c:v>13</c:v>
                </c:pt>
              </c:numCache>
            </c:numRef>
          </c:val>
        </c:ser>
        <c:ser>
          <c:idx val="1"/>
          <c:order val="1"/>
          <c:tx>
            <c:strRef>
              <c:f>Sheet1!$A$3</c:f>
              <c:strCache>
                <c:ptCount val="1"/>
                <c:pt idx="0">
                  <c:v/>
                </c:pt>
              </c:strCache>
            </c:strRef>
          </c:tx>
          <c:spPr>
            <a:solidFill>
              <a:srgbClr val="993366"/>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教育培训服务</c:v>
                </c:pt>
                <c:pt idx="3">
                  <c:v>文化、娱乐、体育服务</c:v>
                </c:pt>
                <c:pt idx="4">
                  <c:v>房屋装修及物业服务</c:v>
                </c:pt>
                <c:pt idx="5">
                  <c:v>互联网服务</c:v>
                </c:pt>
                <c:pt idx="6">
                  <c:v>公共设施服务</c:v>
                </c:pt>
                <c:pt idx="7">
                  <c:v>电信服务</c:v>
                </c:pt>
                <c:pt idx="8">
                  <c:v>旅游服务</c:v>
                </c:pt>
                <c:pt idx="9">
                  <c:v>卫生保健服务</c:v>
                </c:pt>
                <c:pt idx="10">
                  <c:v>邮政业服务</c:v>
                </c:pt>
                <c:pt idx="11">
                  <c:v>金融服务</c:v>
                </c:pt>
                <c:pt idx="12">
                  <c:v>保险服务</c:v>
                </c:pt>
              </c:strCache>
            </c:strRef>
          </c:cat>
          <c:val>
            <c:numRef>
              <c:f>Sheet1!$B$3:$N$3</c:f>
              <c:numCache>
                <c:formatCode>General</c:formatCode>
                <c:ptCount val="13"/>
              </c:numCache>
            </c:numRef>
          </c:val>
        </c:ser>
        <c:ser>
          <c:idx val="2"/>
          <c:order val="2"/>
          <c:tx>
            <c:strRef>
              <c:f>Sheet1!$A$4</c:f>
              <c:strCache>
                <c:ptCount val="1"/>
                <c:pt idx="0">
                  <c:v/>
                </c:pt>
              </c:strCache>
            </c:strRef>
          </c:tx>
          <c:spPr>
            <a:solidFill>
              <a:srgbClr val="FFFFCC"/>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教育培训服务</c:v>
                </c:pt>
                <c:pt idx="3">
                  <c:v>文化、娱乐、体育服务</c:v>
                </c:pt>
                <c:pt idx="4">
                  <c:v>房屋装修及物业服务</c:v>
                </c:pt>
                <c:pt idx="5">
                  <c:v>互联网服务</c:v>
                </c:pt>
                <c:pt idx="6">
                  <c:v>公共设施服务</c:v>
                </c:pt>
                <c:pt idx="7">
                  <c:v>电信服务</c:v>
                </c:pt>
                <c:pt idx="8">
                  <c:v>旅游服务</c:v>
                </c:pt>
                <c:pt idx="9">
                  <c:v>卫生保健服务</c:v>
                </c:pt>
                <c:pt idx="10">
                  <c:v>邮政业服务</c:v>
                </c:pt>
                <c:pt idx="11">
                  <c:v>金融服务</c:v>
                </c:pt>
                <c:pt idx="12">
                  <c:v>保险服务</c:v>
                </c:pt>
              </c:strCache>
            </c:strRef>
          </c:cat>
          <c:val>
            <c:numRef>
              <c:f>Sheet1!$B$4:$N$4</c:f>
              <c:numCache>
                <c:formatCode>General</c:formatCode>
                <c:ptCount val="13"/>
              </c:numCache>
            </c:numRef>
          </c:val>
        </c:ser>
        <c:ser>
          <c:idx val="3"/>
          <c:order val="3"/>
          <c:tx>
            <c:strRef>
              <c:f>Sheet1!$A$5</c:f>
              <c:strCache>
                <c:ptCount val="1"/>
                <c:pt idx="0">
                  <c:v/>
                </c:pt>
              </c:strCache>
            </c:strRef>
          </c:tx>
          <c:spPr>
            <a:solidFill>
              <a:srgbClr val="CCFF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8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Sheet1!$B$1:$N$1</c:f>
              <c:strCache>
                <c:ptCount val="13"/>
                <c:pt idx="0">
                  <c:v>生活、社会服务类</c:v>
                </c:pt>
                <c:pt idx="1">
                  <c:v>销售服务</c:v>
                </c:pt>
                <c:pt idx="2">
                  <c:v>教育培训服务</c:v>
                </c:pt>
                <c:pt idx="3">
                  <c:v>文化、娱乐、体育服务</c:v>
                </c:pt>
                <c:pt idx="4">
                  <c:v>房屋装修及物业服务</c:v>
                </c:pt>
                <c:pt idx="5">
                  <c:v>互联网服务</c:v>
                </c:pt>
                <c:pt idx="6">
                  <c:v>公共设施服务</c:v>
                </c:pt>
                <c:pt idx="7">
                  <c:v>电信服务</c:v>
                </c:pt>
                <c:pt idx="8">
                  <c:v>旅游服务</c:v>
                </c:pt>
                <c:pt idx="9">
                  <c:v>卫生保健服务</c:v>
                </c:pt>
                <c:pt idx="10">
                  <c:v>邮政业服务</c:v>
                </c:pt>
                <c:pt idx="11">
                  <c:v>金融服务</c:v>
                </c:pt>
                <c:pt idx="12">
                  <c:v>保险服务</c:v>
                </c:pt>
              </c:strCache>
            </c:strRef>
          </c:cat>
          <c:val>
            <c:numRef>
              <c:f>Sheet1!$B$5:$N$5</c:f>
              <c:numCache>
                <c:formatCode>General</c:formatCode>
                <c:ptCount val="13"/>
              </c:numCache>
            </c:numRef>
          </c:val>
        </c:ser>
        <c:dLbls>
          <c:showLegendKey val="0"/>
          <c:showVal val="1"/>
          <c:showCatName val="0"/>
          <c:showSerName val="0"/>
          <c:showPercent val="0"/>
          <c:showBubbleSize val="0"/>
        </c:dLbls>
        <c:gapWidth val="150"/>
        <c:overlap val="100"/>
        <c:axId val="336632064"/>
        <c:axId val="336650240"/>
      </c:barChart>
      <c:catAx>
        <c:axId val="33663206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270000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6650240"/>
        <c:crosses val="autoZero"/>
        <c:auto val="1"/>
        <c:lblAlgn val="ctr"/>
        <c:lblOffset val="100"/>
        <c:tickLblSkip val="1"/>
        <c:noMultiLvlLbl val="0"/>
      </c:catAx>
      <c:valAx>
        <c:axId val="33665024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36632064"/>
        <c:crosses val="autoZero"/>
        <c:crossBetween val="between"/>
      </c:valAx>
      <c:spPr>
        <a:solidFill>
          <a:srgbClr val="FFFFFF"/>
        </a:solidFill>
        <a:ln w="12700">
          <a:solidFill>
            <a:srgbClr val="808080"/>
          </a:solidFill>
          <a:prstDash val="solid"/>
        </a:ln>
      </c:spPr>
    </c:plotArea>
    <c:plotVisOnly val="1"/>
    <c:dispBlanksAs val="gap"/>
    <c:showDLblsOverMax val="0"/>
    <c:extLst>
      <c:ext uri="{0b15fc19-7d7d-44ad-8c2d-2c3a37ce22c3}">
        <chartProps xmlns="https://web.wps.cn/et/2018/main" chartId="{ce70c93c-5be1-4a20-881a-c4878f1d2631}"/>
      </c:ext>
    </c:extLst>
  </c:chart>
  <c:spPr>
    <a:noFill/>
    <a:ln w="9525" cap="flat" cmpd="sng" algn="ctr">
      <a:noFill/>
      <a:prstDash val="solid"/>
      <a:round/>
    </a:ln>
  </c:spPr>
  <c:txPr>
    <a:bodyPr/>
    <a:lstStyle/>
    <a:p>
      <a:pPr>
        <a:defRPr lang="zh-CN" sz="17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Lenovo</Company>
  <Pages>13</Pages>
  <Words>5293</Words>
  <Characters>5827</Characters>
  <Lines>43</Lines>
  <Paragraphs>12</Paragraphs>
  <TotalTime>24</TotalTime>
  <ScaleCrop>false</ScaleCrop>
  <LinksUpToDate>false</LinksUpToDate>
  <CharactersWithSpaces>5843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2022-09-30T11:34:00Z</dcterms:created>
  <dc:creator>Lenovo</dc:creator>
  <cp:lastModifiedBy>素袖清裳</cp:lastModifiedBy>
  <cp:lastPrinted>2023-09-27T15:10:00Z</cp:lastPrinted>
  <dcterms:modified xsi:type="dcterms:W3CDTF">2024-11-12T03:05:30Z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1E507855B2474657AA9256EA5C0090D9_13</vt:lpwstr>
  </property>
</Properties>
</file>