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46FDD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3A7AB433">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105FD1BC">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 xml:space="preserve">93.080.01 </w:t>
            </w:r>
            <w:r>
              <w:rPr>
                <w:rFonts w:ascii="黑体" w:hAnsi="黑体" w:eastAsia="黑体"/>
                <w:sz w:val="21"/>
                <w:szCs w:val="21"/>
              </w:rPr>
              <w:fldChar w:fldCharType="end"/>
            </w:r>
            <w:bookmarkEnd w:id="0"/>
          </w:p>
        </w:tc>
      </w:tr>
      <w:tr w14:paraId="1DF52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44EDAF4">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30328A6C">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P66</w:t>
            </w:r>
            <w:r>
              <w:rPr>
                <w:rFonts w:ascii="黑体" w:hAnsi="黑体" w:eastAsia="黑体"/>
                <w:sz w:val="21"/>
                <w:szCs w:val="21"/>
              </w:rPr>
              <w:fldChar w:fldCharType="end"/>
            </w:r>
            <w:bookmarkEnd w:id="1"/>
          </w:p>
        </w:tc>
      </w:tr>
    </w:tbl>
    <w:tbl>
      <w:tblPr>
        <w:tblStyle w:val="28"/>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73F3E122">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6407" w:type="dxa"/>
          </w:tcPr>
          <w:p w14:paraId="619388CC">
            <w:pPr>
              <w:pStyle w:val="50"/>
              <w:framePr w:w="0" w:hRule="auto" w:wrap="auto" w:vAnchor="margin" w:hAnchor="text" w:xAlign="left" w:yAlign="inline"/>
              <w:rPr>
                <w:rFonts w:hint="eastAsia"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51</w:t>
            </w:r>
            <w:r>
              <w:fldChar w:fldCharType="end"/>
            </w:r>
            <w:bookmarkEnd w:id="3"/>
          </w:p>
        </w:tc>
      </w:tr>
    </w:tbl>
    <w:p w14:paraId="6E10CC2F">
      <w:pPr>
        <w:pStyle w:val="51"/>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四川省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15762A94">
      <w:pPr>
        <w:pStyle w:val="196"/>
        <w:framePr/>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51</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714C1AD9">
      <w:pPr>
        <w:pStyle w:val="197"/>
        <w:framePr/>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0FAEE1AF">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314AAF3">
      <w:pPr>
        <w:pStyle w:val="51"/>
        <w:framePr w:w="9639" w:h="6976" w:hRule="exact" w:hSpace="0" w:vSpace="0" w:wrap="around" w:hAnchor="page" w:y="6408"/>
        <w:jc w:val="center"/>
        <w:rPr>
          <w:rFonts w:hint="eastAsia" w:ascii="黑体" w:hAnsi="黑体" w:eastAsia="黑体"/>
          <w:b w:val="0"/>
          <w:bCs w:val="0"/>
          <w:w w:val="100"/>
        </w:rPr>
      </w:pPr>
    </w:p>
    <w:p w14:paraId="0AEF04D9">
      <w:pPr>
        <w:pStyle w:val="198"/>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高原山区小交通量高速公路技术规程</w:t>
      </w:r>
      <w:r>
        <w:fldChar w:fldCharType="end"/>
      </w:r>
      <w:bookmarkEnd w:id="9"/>
    </w:p>
    <w:p w14:paraId="0E99A0C6">
      <w:pPr>
        <w:framePr w:w="9639" w:h="6974" w:hRule="exact" w:wrap="around" w:vAnchor="page" w:hAnchor="page" w:x="1419" w:y="6408" w:anchorLock="1"/>
        <w:ind w:left="-1418"/>
      </w:pPr>
    </w:p>
    <w:p w14:paraId="36B9784A">
      <w:pPr>
        <w:pStyle w:val="126"/>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hint="eastAsia" w:eastAsia="黑体"/>
          <w:szCs w:val="28"/>
        </w:rPr>
        <w:t>点击此处添加标准名称的英文译名</w:t>
      </w:r>
      <w:r>
        <w:rPr>
          <w:rFonts w:eastAsia="黑体"/>
          <w:szCs w:val="28"/>
        </w:rPr>
        <w:fldChar w:fldCharType="end"/>
      </w:r>
      <w:bookmarkEnd w:id="10"/>
    </w:p>
    <w:p w14:paraId="044876BE">
      <w:pPr>
        <w:framePr w:w="9639" w:h="6974" w:hRule="exact" w:wrap="around" w:vAnchor="page" w:hAnchor="page" w:x="1419" w:y="6408" w:anchorLock="1"/>
        <w:spacing w:line="760" w:lineRule="exact"/>
        <w:ind w:left="-1418"/>
      </w:pPr>
    </w:p>
    <w:p w14:paraId="6B0011EA">
      <w:pPr>
        <w:pStyle w:val="126"/>
        <w:framePr w:w="9639" w:h="6974" w:hRule="exact" w:wrap="around" w:vAnchor="page" w:hAnchor="page" w:x="1419" w:y="6408" w:anchorLock="1"/>
        <w:textAlignment w:val="bottom"/>
        <w:rPr>
          <w:rFonts w:eastAsia="黑体"/>
          <w:szCs w:val="28"/>
        </w:rPr>
      </w:pPr>
    </w:p>
    <w:p w14:paraId="7CBC355D">
      <w:pPr>
        <w:pStyle w:val="12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5B583EA0">
      <w:pPr>
        <w:pStyle w:val="12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6367541E">
      <w:pPr>
        <w:pStyle w:val="12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0E12F47E">
      <w:pPr>
        <w:pStyle w:val="194"/>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083A4757">
      <w:pPr>
        <w:pStyle w:val="195"/>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3ECF859C">
      <w:pPr>
        <w:pStyle w:val="152"/>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四川省市场监督管路局</w:t>
      </w:r>
      <w:r>
        <w:rPr>
          <w:rFonts w:hAnsi="黑体"/>
          <w:w w:val="100"/>
          <w:sz w:val="28"/>
        </w:rPr>
        <w:fldChar w:fldCharType="end"/>
      </w:r>
      <w:bookmarkEnd w:id="20"/>
      <w:r>
        <w:rPr>
          <w:rFonts w:ascii="Times New Roman"/>
          <w:w w:val="100"/>
          <w:sz w:val="28"/>
        </w:rPr>
        <w:t>  </w:t>
      </w:r>
      <w:r>
        <w:rPr>
          <w:rStyle w:val="230"/>
          <w:rFonts w:hint="eastAsia" w:hAnsi="黑体"/>
          <w:position w:val="0"/>
        </w:rPr>
        <w:t>发</w:t>
      </w:r>
      <w:r>
        <w:rPr>
          <w:rStyle w:val="230"/>
          <w:rFonts w:hint="eastAsia" w:hAnsi="黑体"/>
          <w:spacing w:val="0"/>
          <w:position w:val="0"/>
        </w:rPr>
        <w:t>布</w:t>
      </w:r>
    </w:p>
    <w:p w14:paraId="3A458392">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3CB68341">
      <w:pPr>
        <w:pStyle w:val="90"/>
        <w:spacing w:after="468"/>
      </w:pPr>
      <w:bookmarkStart w:id="21" w:name="BookMark2"/>
      <w:r>
        <w:rPr>
          <w:spacing w:val="320"/>
        </w:rPr>
        <w:t>前</w:t>
      </w:r>
      <w:r>
        <w:t>言</w:t>
      </w:r>
    </w:p>
    <w:p w14:paraId="0AF9A2BB">
      <w:pPr>
        <w:pStyle w:val="57"/>
        <w:ind w:firstLine="420"/>
      </w:pPr>
      <w:r>
        <w:rPr>
          <w:rFonts w:hint="eastAsia"/>
        </w:rPr>
        <w:t>本文件按照GB/T 1.1—2020《标准化工作导则  第1部分：标准化文件的结构和起草规则》的规定起草。</w:t>
      </w:r>
    </w:p>
    <w:p w14:paraId="67B766ED">
      <w:pPr>
        <w:pStyle w:val="57"/>
        <w:ind w:firstLine="420"/>
        <w:rPr>
          <w:color w:val="000000"/>
        </w:rPr>
      </w:pPr>
      <w:r>
        <w:rPr>
          <w:rFonts w:hint="eastAsia"/>
          <w:color w:val="000000"/>
        </w:rPr>
        <w:t>请注意本文件的某些内容可能涉及专利。本文件的发布机构不承担识别专利的责任。</w:t>
      </w:r>
    </w:p>
    <w:p w14:paraId="73A59423">
      <w:pPr>
        <w:pStyle w:val="57"/>
        <w:ind w:firstLine="420"/>
        <w:rPr>
          <w:color w:val="000000"/>
        </w:rPr>
      </w:pPr>
      <w:r>
        <w:rPr>
          <w:rFonts w:hint="eastAsia"/>
          <w:color w:val="000000"/>
        </w:rPr>
        <w:t>本文件由四川省交通运输厅提出、归口、解释并组织实施。</w:t>
      </w:r>
    </w:p>
    <w:p w14:paraId="4BA4BA9B">
      <w:pPr>
        <w:pStyle w:val="57"/>
        <w:ind w:firstLine="420"/>
      </w:pPr>
      <w:r>
        <w:rPr>
          <w:rFonts w:hint="eastAsia"/>
        </w:rPr>
        <w:t>本文件起草单位：</w:t>
      </w:r>
      <w:r>
        <w:rPr>
          <w:rFonts w:hint="eastAsia"/>
          <w:color w:val="000000"/>
        </w:rPr>
        <w:t>四川省公路规划勘察设计研究院有限公司、四川藏区高速公路有限责任公司、重庆交通大学。</w:t>
      </w:r>
    </w:p>
    <w:p w14:paraId="3E1A70E1">
      <w:pPr>
        <w:pStyle w:val="57"/>
        <w:ind w:firstLine="420"/>
      </w:pPr>
      <w:r>
        <w:rPr>
          <w:rFonts w:hint="eastAsia"/>
        </w:rPr>
        <w:t>本文件主要起草人：</w:t>
      </w:r>
      <w:r>
        <w:rPr>
          <w:rFonts w:hint="eastAsia"/>
          <w:color w:val="000000"/>
        </w:rPr>
        <w:t>蒋瑜阳、何恩怀、</w:t>
      </w:r>
      <w:r>
        <w:rPr>
          <w:color w:val="000000"/>
        </w:rPr>
        <w:t>袁飞云、</w:t>
      </w:r>
      <w:r>
        <w:rPr>
          <w:rFonts w:hint="eastAsia"/>
          <w:color w:val="000000"/>
        </w:rPr>
        <w:t>张鸿、李旭光、</w:t>
      </w:r>
      <w:r>
        <w:rPr>
          <w:color w:val="000000"/>
        </w:rPr>
        <w:t>高建平、</w:t>
      </w:r>
      <w:r>
        <w:rPr>
          <w:rFonts w:hint="eastAsia"/>
          <w:color w:val="000000"/>
        </w:rPr>
        <w:t>牟廷敏、李晓兵、郑金龙、汪洋、唐铣亮、喻良伟、陈勇、陈栋、李宇、焦方辉、郑嘉、田波、杨昌凤、王毅、陈秋任、何力、刘元刚、</w:t>
      </w:r>
      <w:r>
        <w:rPr>
          <w:color w:val="000000"/>
        </w:rPr>
        <w:t>陈力</w:t>
      </w:r>
      <w:r>
        <w:rPr>
          <w:rFonts w:hint="eastAsia"/>
          <w:color w:val="000000"/>
        </w:rPr>
        <w:t>、……。</w:t>
      </w:r>
    </w:p>
    <w:p w14:paraId="02F60815">
      <w:pPr>
        <w:pStyle w:val="57"/>
        <w:ind w:firstLine="420"/>
      </w:pPr>
    </w:p>
    <w:p w14:paraId="4881D31C">
      <w:pPr>
        <w:pStyle w:val="57"/>
        <w:ind w:firstLine="420"/>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p>
    <w:bookmarkEnd w:id="21"/>
    <w:p w14:paraId="422FA2AA">
      <w:pPr>
        <w:pStyle w:val="90"/>
        <w:spacing w:after="468"/>
      </w:pPr>
      <w:bookmarkStart w:id="22" w:name="BookMark3"/>
      <w:r>
        <w:rPr>
          <w:spacing w:val="320"/>
        </w:rPr>
        <w:t>引</w:t>
      </w:r>
      <w:r>
        <w:t>言</w:t>
      </w:r>
    </w:p>
    <w:p w14:paraId="5A256E7D">
      <w:pPr>
        <w:pStyle w:val="57"/>
        <w:ind w:firstLine="420"/>
      </w:pPr>
      <w:r>
        <w:rPr>
          <w:rFonts w:hint="eastAsia"/>
        </w:rPr>
        <w:t>2020年10月，交通运输部批复了《四川省交通运输厅关于审查四川省交通强国建设试点实施方案的请示》，明确了交通强国建设四川省试点任务要点，原则同意四川在高原山区公路建设方面开展创新性试点工作。试点任务要求加强高原山区公路工程技术标准规范研究; 强化高原山区公路工程关键技术指标研究，推动出台覆盖高原山区公路规划、设计、施工等各环节，以及符合区域环境特点的公路技术标准; 强化技术指标合理运用，探索特殊困难地区“高速化”公路实施路径，促进高原山区交通基础设施与生态环境协调发展。</w:t>
      </w:r>
    </w:p>
    <w:p w14:paraId="690CA34D">
      <w:pPr>
        <w:pStyle w:val="57"/>
        <w:ind w:firstLine="420"/>
      </w:pPr>
      <w:r>
        <w:rPr>
          <w:rFonts w:hint="eastAsia"/>
        </w:rPr>
        <w:t>为深入贯彻落实交通强国试点要求，促进四川省高原山区高速公路可持续发展，四川省交通运输厅于2021年8月制定了《四川省高原山区高速公路建设创新研究工作方案》，要求针对高原山区高速公路规划及建设情况，分析存在的难题，围绕高原山区高速公路建设标准、多元化可持续投融资模式、养护期收费政策等内容开展研究，增强高原山区高速公路发展的可持续性。</w:t>
      </w:r>
    </w:p>
    <w:p w14:paraId="24E19E69">
      <w:pPr>
        <w:pStyle w:val="57"/>
        <w:ind w:firstLine="420"/>
      </w:pPr>
      <w:bookmarkStart w:id="23" w:name="_Hlk120695574"/>
      <w:r>
        <w:rPr>
          <w:rFonts w:hint="eastAsia"/>
        </w:rPr>
        <w:t>2022年9月，为深入贯彻落实习近平总书记来川视察重要指示精神和省第十二次党代会、省委工作会议精神以及省政府工作部署，加快高速公路建设，更好发挥高速公路建设在稳增长和构建综合立体交通网中的重要作用，有力支撑交通强省和社会主义现代化四川建设，四川省人民政府办公厅印发了《支持高速公路加快建设若干政策》。文件强调，针对我省高原山区交通量小、建设难度大、经济效益差的特点，因地制宜探索制定高原山区高速公路地方标准；创新谋划总体设计、科学确定建设标准、灵活运用技术指标；在满足功能、确保安全的前提下，合理控制建设规模，节省投资、提高效益。</w:t>
      </w:r>
    </w:p>
    <w:bookmarkEnd w:id="23"/>
    <w:p w14:paraId="7E86E906">
      <w:pPr>
        <w:pStyle w:val="57"/>
        <w:ind w:firstLine="420"/>
      </w:pPr>
      <w:r>
        <w:rPr>
          <w:rFonts w:hint="eastAsia"/>
        </w:rPr>
        <w:t>综合西部高原山区地形地质条件复杂、工程难度和规模巨大、高速公路建设推进滞后，而现行公路工程相关标准是基于全国性的普遍标准，在西部高原山区的特殊条件下存在个别技术指标适应性不足的现实，实时开展四川高原山区高速公路工程建设技术标准的研究，探索适合四川高原山区自然条件、地质条件、交通量特点的四川高原山区高速公路技术标准，对指导和推进四川高原山区高速公路的规划与建设具有重要意义。</w:t>
      </w:r>
    </w:p>
    <w:p w14:paraId="18A684F1">
      <w:pPr>
        <w:pStyle w:val="57"/>
        <w:ind w:firstLine="420"/>
      </w:pPr>
      <w:r>
        <w:rPr>
          <w:rFonts w:hint="eastAsia"/>
        </w:rPr>
        <w:t>本文件结合四川高原山区建设条件、四川高原山区社会经济及交通发展现状，在现行公路工程技术标准的基础上进行一定范围的创新和突破，以期在技术标准及相关指标的采用上，更加切合四川高原山区高速公路的发展，进而在一定程度上起到推动山区高速公路建设的积极作用。</w:t>
      </w:r>
    </w:p>
    <w:p w14:paraId="2B090B29">
      <w:pPr>
        <w:pStyle w:val="57"/>
        <w:ind w:firstLine="420"/>
      </w:pPr>
    </w:p>
    <w:p w14:paraId="5A6480A6">
      <w:pPr>
        <w:pStyle w:val="57"/>
        <w:ind w:firstLine="420"/>
      </w:pPr>
    </w:p>
    <w:p w14:paraId="537E66B7">
      <w:pPr>
        <w:pStyle w:val="57"/>
        <w:ind w:firstLine="420"/>
        <w:sectPr>
          <w:pgSz w:w="11906" w:h="16838"/>
          <w:pgMar w:top="1928" w:right="1134" w:bottom="1134" w:left="1134" w:header="1418" w:footer="1134" w:gutter="284"/>
          <w:pgNumType w:fmt="upperRoman"/>
          <w:cols w:space="425" w:num="1"/>
          <w:formProt w:val="0"/>
          <w:docGrid w:type="lines" w:linePitch="312" w:charSpace="0"/>
        </w:sectPr>
      </w:pPr>
    </w:p>
    <w:bookmarkEnd w:id="22"/>
    <w:p w14:paraId="17D53FF9">
      <w:pPr>
        <w:spacing w:line="20" w:lineRule="exact"/>
        <w:jc w:val="center"/>
        <w:rPr>
          <w:rFonts w:hint="eastAsia" w:ascii="黑体" w:hAnsi="黑体" w:eastAsia="黑体"/>
          <w:sz w:val="32"/>
          <w:szCs w:val="32"/>
        </w:rPr>
      </w:pPr>
      <w:bookmarkStart w:id="24" w:name="BookMark4"/>
    </w:p>
    <w:p w14:paraId="6B03F551">
      <w:pPr>
        <w:spacing w:line="20" w:lineRule="exact"/>
        <w:jc w:val="center"/>
        <w:rPr>
          <w:rFonts w:hint="eastAsia" w:ascii="黑体" w:hAnsi="黑体" w:eastAsia="黑体"/>
          <w:sz w:val="32"/>
          <w:szCs w:val="32"/>
        </w:rPr>
      </w:pPr>
    </w:p>
    <w:sdt>
      <w:sdtPr>
        <w:tag w:val="NEW_STAND_NAME"/>
        <w:id w:val="595910757"/>
        <w:lock w:val="sdtLocked"/>
        <w:placeholder>
          <w:docPart w:val="4DEE2BBF98FA4223903E8B3A1CCFDBD1"/>
        </w:placeholder>
      </w:sdtPr>
      <w:sdtContent>
        <w:p w14:paraId="11E717AB">
          <w:pPr>
            <w:pStyle w:val="178"/>
            <w:spacing w:before="3" w:beforeLines="1" w:after="686" w:afterLines="220"/>
            <w:rPr>
              <w:rFonts w:hint="eastAsia"/>
            </w:rPr>
          </w:pPr>
          <w:bookmarkStart w:id="25" w:name="NEW_STAND_NAME"/>
          <w:r>
            <w:rPr>
              <w:rFonts w:hint="eastAsia"/>
            </w:rPr>
            <w:t>高原山区小交通量高速公路技术规程</w:t>
          </w:r>
        </w:p>
      </w:sdtContent>
    </w:sdt>
    <w:bookmarkEnd w:id="25"/>
    <w:p w14:paraId="6983BCAE">
      <w:pPr>
        <w:pStyle w:val="105"/>
        <w:spacing w:before="312" w:after="312"/>
      </w:pPr>
      <w:bookmarkStart w:id="26" w:name="_Toc97191423"/>
      <w:bookmarkStart w:id="27" w:name="_Toc26986771"/>
      <w:bookmarkStart w:id="28" w:name="_Toc26648465"/>
      <w:bookmarkStart w:id="29" w:name="_Toc17233333"/>
      <w:bookmarkStart w:id="30" w:name="_Toc24884218"/>
      <w:bookmarkStart w:id="31" w:name="_Toc26718930"/>
      <w:bookmarkStart w:id="32" w:name="_Toc26986530"/>
      <w:bookmarkStart w:id="33" w:name="_Toc24884211"/>
      <w:bookmarkStart w:id="34" w:name="_Toc17233325"/>
      <w:r>
        <w:rPr>
          <w:rFonts w:hint="eastAsia"/>
        </w:rPr>
        <w:t>范围</w:t>
      </w:r>
      <w:bookmarkEnd w:id="26"/>
      <w:bookmarkEnd w:id="27"/>
      <w:bookmarkEnd w:id="28"/>
      <w:bookmarkEnd w:id="29"/>
      <w:bookmarkEnd w:id="30"/>
      <w:bookmarkEnd w:id="31"/>
      <w:bookmarkEnd w:id="32"/>
      <w:bookmarkEnd w:id="33"/>
      <w:bookmarkEnd w:id="34"/>
    </w:p>
    <w:p w14:paraId="28EF5493">
      <w:pPr>
        <w:pStyle w:val="57"/>
        <w:ind w:firstLine="420"/>
      </w:pPr>
      <w:r>
        <w:rPr>
          <w:rFonts w:hint="eastAsia"/>
        </w:rPr>
        <w:t>本文件规定了高原山区小交通量高速公路的定义、速度、路幅宽度，提出了路线、路基路面、桥涵、隧道、路线交叉、交通工程及沿线设施的相关要求。</w:t>
      </w:r>
    </w:p>
    <w:p w14:paraId="7DEA5CF0">
      <w:pPr>
        <w:pStyle w:val="57"/>
        <w:ind w:firstLine="420"/>
      </w:pPr>
      <w:r>
        <w:rPr>
          <w:rFonts w:hint="eastAsia"/>
        </w:rPr>
        <w:t>本文件适用于四川省境内位于青藏、云贵高原及其过渡带的区域，路段年平均日设计交通量不超过30000pcu/d的小交通量高速公路。</w:t>
      </w:r>
      <w:bookmarkStart w:id="35" w:name="_Toc17233334"/>
      <w:bookmarkStart w:id="36" w:name="_Toc17233326"/>
      <w:bookmarkStart w:id="37" w:name="_Toc24884219"/>
      <w:bookmarkStart w:id="38" w:name="_Toc26648466"/>
      <w:bookmarkStart w:id="39" w:name="_Toc24884212"/>
    </w:p>
    <w:p w14:paraId="22FC5B73">
      <w:pPr>
        <w:pStyle w:val="105"/>
        <w:spacing w:before="312" w:after="312"/>
      </w:pPr>
      <w:bookmarkStart w:id="40" w:name="_Toc26718931"/>
      <w:bookmarkStart w:id="41" w:name="_Toc26986531"/>
      <w:bookmarkStart w:id="42" w:name="_Toc26986772"/>
      <w:bookmarkStart w:id="43" w:name="_Toc97191424"/>
      <w:r>
        <w:rPr>
          <w:rFonts w:hint="eastAsia"/>
        </w:rPr>
        <w:t>规范性引用文件</w:t>
      </w:r>
      <w:bookmarkEnd w:id="35"/>
      <w:bookmarkEnd w:id="36"/>
      <w:bookmarkEnd w:id="37"/>
      <w:bookmarkEnd w:id="38"/>
      <w:bookmarkEnd w:id="39"/>
      <w:bookmarkEnd w:id="40"/>
      <w:bookmarkEnd w:id="41"/>
      <w:bookmarkEnd w:id="42"/>
      <w:bookmarkEnd w:id="43"/>
    </w:p>
    <w:sdt>
      <w:sdtPr>
        <w:rPr>
          <w:rFonts w:hint="eastAsia"/>
        </w:rPr>
        <w:id w:val="715848253"/>
        <w:placeholder>
          <w:docPart w:val="5EE9554D5C9343548F66E00A430C821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464D12C9">
          <w:pPr>
            <w:pStyle w:val="5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E70FAD3">
      <w:pPr>
        <w:pStyle w:val="57"/>
        <w:ind w:firstLine="420"/>
      </w:pPr>
      <w:r>
        <w:rPr>
          <w:rFonts w:hint="eastAsia"/>
        </w:rPr>
        <w:t>JTG B01 公路工程技术标准</w:t>
      </w:r>
    </w:p>
    <w:p w14:paraId="0F5339A3">
      <w:pPr>
        <w:pStyle w:val="57"/>
        <w:ind w:firstLine="420"/>
      </w:pPr>
      <w:r>
        <w:t>JTG B05 公路项目安全性评价规范</w:t>
      </w:r>
    </w:p>
    <w:p w14:paraId="06D6D28C">
      <w:pPr>
        <w:pStyle w:val="57"/>
        <w:ind w:firstLine="420"/>
      </w:pPr>
      <w:bookmarkStart w:id="44" w:name="_Hlk149578499"/>
      <w:r>
        <w:rPr>
          <w:rFonts w:hint="eastAsia"/>
        </w:rPr>
        <w:t>JTG D20 公路路线设计规范</w:t>
      </w:r>
    </w:p>
    <w:p w14:paraId="519EBCFD">
      <w:pPr>
        <w:pStyle w:val="57"/>
        <w:ind w:firstLine="420"/>
      </w:pPr>
      <w:r>
        <w:rPr>
          <w:rFonts w:hint="eastAsia"/>
        </w:rPr>
        <w:t>JTG/T D21 公路立体交叉设计细则</w:t>
      </w:r>
    </w:p>
    <w:bookmarkEnd w:id="44"/>
    <w:p w14:paraId="35E56C48">
      <w:pPr>
        <w:pStyle w:val="57"/>
        <w:ind w:firstLine="420"/>
      </w:pPr>
      <w:r>
        <w:rPr>
          <w:rFonts w:hint="eastAsia"/>
        </w:rPr>
        <w:t>JTG D30 公路路基设计规范</w:t>
      </w:r>
    </w:p>
    <w:p w14:paraId="1CC7A271">
      <w:pPr>
        <w:pStyle w:val="57"/>
        <w:ind w:firstLine="420"/>
      </w:pPr>
      <w:r>
        <w:rPr>
          <w:rFonts w:hint="eastAsia"/>
        </w:rPr>
        <w:t>JTG D60 公路桥涵设计通用规范</w:t>
      </w:r>
    </w:p>
    <w:p w14:paraId="06B62308">
      <w:pPr>
        <w:pStyle w:val="57"/>
        <w:ind w:firstLine="420"/>
      </w:pPr>
      <w:r>
        <w:rPr>
          <w:rFonts w:hint="eastAsia"/>
        </w:rPr>
        <w:t>JTG/T D70 公路隧道通风设计细则</w:t>
      </w:r>
    </w:p>
    <w:p w14:paraId="35F28593">
      <w:pPr>
        <w:pStyle w:val="57"/>
        <w:ind w:firstLine="420"/>
      </w:pPr>
      <w:r>
        <w:rPr>
          <w:rFonts w:hint="eastAsia"/>
        </w:rPr>
        <w:t>JTG D70/2 公路隧道设计规范 第二册 交通工程与附属设施</w:t>
      </w:r>
    </w:p>
    <w:p w14:paraId="33FB35B0">
      <w:pPr>
        <w:pStyle w:val="57"/>
        <w:ind w:firstLine="420"/>
      </w:pPr>
      <w:r>
        <w:rPr>
          <w:rFonts w:hint="eastAsia"/>
        </w:rPr>
        <w:t xml:space="preserve">JTG D81 公路交通安全设施设计规范 </w:t>
      </w:r>
    </w:p>
    <w:p w14:paraId="12EE48EC">
      <w:pPr>
        <w:pStyle w:val="57"/>
        <w:ind w:firstLine="420"/>
      </w:pPr>
      <w:r>
        <w:rPr>
          <w:rFonts w:hint="eastAsia"/>
        </w:rPr>
        <w:t>JTG/T D81 公路交通安全设施设计细则</w:t>
      </w:r>
    </w:p>
    <w:p w14:paraId="55C5B482">
      <w:pPr>
        <w:pStyle w:val="57"/>
        <w:ind w:firstLine="420"/>
      </w:pPr>
      <w:r>
        <w:rPr>
          <w:rFonts w:hint="eastAsia"/>
        </w:rPr>
        <w:t>JTG 3370.1 公路隧道设计规范 第一册 土建工程</w:t>
      </w:r>
    </w:p>
    <w:p w14:paraId="4747803F">
      <w:pPr>
        <w:pStyle w:val="57"/>
        <w:ind w:firstLine="420"/>
      </w:pPr>
      <w:r>
        <w:rPr>
          <w:rFonts w:hint="eastAsia"/>
        </w:rPr>
        <w:t>JTG/T 3381 公路限速标志设计规范</w:t>
      </w:r>
    </w:p>
    <w:p w14:paraId="15D671DA">
      <w:pPr>
        <w:pStyle w:val="57"/>
        <w:ind w:firstLine="420"/>
      </w:pPr>
      <w:r>
        <w:rPr>
          <w:rFonts w:hint="eastAsia"/>
        </w:rPr>
        <w:t>JTJ 003 公路自然区划标准</w:t>
      </w:r>
    </w:p>
    <w:p w14:paraId="5EDA80F3">
      <w:pPr>
        <w:pStyle w:val="105"/>
        <w:spacing w:before="312" w:after="312"/>
      </w:pPr>
      <w:bookmarkStart w:id="45" w:name="_Toc97191425"/>
      <w:r>
        <w:rPr>
          <w:rFonts w:hint="eastAsia"/>
          <w:szCs w:val="21"/>
        </w:rPr>
        <w:t>术语和定义</w:t>
      </w:r>
      <w:bookmarkEnd w:id="45"/>
    </w:p>
    <w:sdt>
      <w:sdtPr>
        <w:id w:val="-1909835108"/>
        <w:placeholder>
          <w:docPart w:val="DB192F149D7842B3AA80C5CD7F7D2BE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F91D26D">
          <w:pPr>
            <w:pStyle w:val="57"/>
            <w:ind w:firstLine="420"/>
          </w:pPr>
          <w:bookmarkStart w:id="46" w:name="_Toc26986532"/>
          <w:bookmarkEnd w:id="46"/>
          <w:r>
            <w:t>下列术语和定义适用于本文件。</w:t>
          </w:r>
        </w:p>
      </w:sdtContent>
    </w:sdt>
    <w:p w14:paraId="45069E02">
      <w:pPr>
        <w:pStyle w:val="106"/>
        <w:spacing w:before="156" w:after="156"/>
      </w:pPr>
      <w:bookmarkStart w:id="47" w:name="_Toc149656038"/>
      <w:bookmarkStart w:id="48" w:name="_Toc149656114"/>
      <w:bookmarkStart w:id="49" w:name="_Toc8817"/>
      <w:bookmarkStart w:id="50" w:name="_Toc149668515"/>
      <w:bookmarkStart w:id="51" w:name="_Toc169688308"/>
      <w:bookmarkStart w:id="52" w:name="_Toc149674694"/>
    </w:p>
    <w:p w14:paraId="363AAD65">
      <w:pPr>
        <w:pStyle w:val="57"/>
        <w:ind w:firstLine="420"/>
        <w:rPr>
          <w:rFonts w:hint="eastAsia" w:ascii="黑体" w:hAnsi="黑体" w:eastAsia="黑体"/>
        </w:rPr>
      </w:pPr>
      <w:r>
        <w:rPr>
          <w:rFonts w:hint="eastAsia" w:ascii="黑体" w:hAnsi="黑体" w:eastAsia="黑体"/>
        </w:rPr>
        <w:t>高原山区小交通量高速公路</w:t>
      </w:r>
      <w:r>
        <w:rPr>
          <w:rFonts w:ascii="黑体" w:hAnsi="黑体" w:eastAsia="黑体"/>
        </w:rPr>
        <w:t xml:space="preserve"> </w:t>
      </w:r>
      <w:bookmarkEnd w:id="47"/>
      <w:bookmarkEnd w:id="48"/>
      <w:bookmarkEnd w:id="49"/>
      <w:bookmarkEnd w:id="50"/>
      <w:bookmarkEnd w:id="51"/>
      <w:bookmarkEnd w:id="52"/>
      <w:r>
        <w:rPr>
          <w:rFonts w:hint="eastAsia" w:ascii="黑体" w:hAnsi="黑体" w:eastAsia="黑体"/>
        </w:rPr>
        <w:t>e</w:t>
      </w:r>
      <w:r>
        <w:rPr>
          <w:rFonts w:ascii="黑体" w:hAnsi="黑体" w:eastAsia="黑体"/>
        </w:rPr>
        <w:t xml:space="preserve">xpressway with low traffic volume in the plateau mountainous areas </w:t>
      </w:r>
    </w:p>
    <w:p w14:paraId="041AD815">
      <w:pPr>
        <w:pStyle w:val="57"/>
        <w:ind w:firstLine="420"/>
      </w:pPr>
      <w:r>
        <w:rPr>
          <w:rFonts w:hint="eastAsia"/>
        </w:rPr>
        <w:t>已纳入《四川省高速公路网布局规划》，位于青藏、云贵高原及其过渡带，且年平均日设计交通量应在30000辆小客车以下的高速公路。</w:t>
      </w:r>
    </w:p>
    <w:p w14:paraId="14E04FAF">
      <w:pPr>
        <w:pStyle w:val="181"/>
      </w:pPr>
      <w:r>
        <w:t>高原通常是指海拔高度在1000m以上，相对高差500m以上的地区，地势相对平坦或者有一定起伏的广阔地区。例如我国四大高原中的青藏高原一般海拔在3000-5000m之间，平均海拔4000m以上；云贵高原海拔在400～3500m之间，平均海拔约2000m；内蒙古高原一般海拔1000～1200m；黄土高原海拔在800～3000m之间，平均海拔约2000m。四川高原山区区域海拔多在1000m以上，相对高差超过500m。</w:t>
      </w:r>
    </w:p>
    <w:p w14:paraId="64CFCB0B">
      <w:pPr>
        <w:pStyle w:val="181"/>
      </w:pPr>
      <w:r>
        <w:t>本文件所指的小交通量，是基于通行能力计算，按照满足三级服务水平所能承担的最大交通量进行界定。计算结果显示，双向四车道高速公路，在车辆速度80km/h、车道宽度3.5m，且不考虑设置硬路肩紧急停车功能情况下，年平均日设计交通量小于25000pcu/d时，服务水平为一级或二级；年平均日设计交通量25000～30000 pcu/d时，服务水平为三级；年平均日设计交通量超过30000pcu/d时，服务水平为四级。因此，本文件小交通量上限值界定为30000pcu/d。</w:t>
      </w:r>
      <w:bookmarkStart w:id="53" w:name="_Toc124697415"/>
      <w:bookmarkStart w:id="54" w:name="_Toc139045979"/>
      <w:bookmarkStart w:id="55" w:name="_Toc139046838"/>
      <w:bookmarkStart w:id="56" w:name="_Toc137483144"/>
      <w:bookmarkStart w:id="57" w:name="_Toc139048103"/>
      <w:bookmarkStart w:id="58" w:name="_Toc141803138"/>
      <w:bookmarkStart w:id="59" w:name="_Toc138254290"/>
      <w:bookmarkStart w:id="60" w:name="_Toc141802164"/>
      <w:bookmarkStart w:id="61" w:name="_Toc139291801"/>
      <w:bookmarkStart w:id="62" w:name="_Toc139046215"/>
      <w:bookmarkStart w:id="63" w:name="_Toc137384192"/>
      <w:bookmarkStart w:id="64" w:name="_Toc138922503"/>
      <w:bookmarkStart w:id="65" w:name="_Toc138922872"/>
      <w:bookmarkStart w:id="66" w:name="_Toc139046913"/>
      <w:bookmarkStart w:id="67" w:name="_Toc142032689"/>
      <w:bookmarkStart w:id="68" w:name="_Toc139015436"/>
      <w:bookmarkStart w:id="69" w:name="_Toc149656039"/>
      <w:bookmarkStart w:id="70" w:name="_Toc29931"/>
      <w:bookmarkStart w:id="71" w:name="_Toc146102880"/>
      <w:bookmarkStart w:id="72" w:name="_Toc149656115"/>
      <w:bookmarkStart w:id="73" w:name="_Toc149668516"/>
      <w:bookmarkStart w:id="74" w:name="_Toc146727197"/>
      <w:bookmarkStart w:id="75" w:name="_Toc13170"/>
      <w:bookmarkStart w:id="76" w:name="_Toc146049157"/>
      <w:bookmarkStart w:id="77" w:name="_Toc149674695"/>
      <w:bookmarkStart w:id="78" w:name="_Toc169688309"/>
    </w:p>
    <w:p w14:paraId="12AD5B3C">
      <w:pPr>
        <w:pStyle w:val="106"/>
        <w:spacing w:before="156" w:after="156"/>
      </w:pPr>
    </w:p>
    <w:p w14:paraId="1F91D867">
      <w:pPr>
        <w:pStyle w:val="57"/>
        <w:ind w:firstLine="420"/>
        <w:rPr>
          <w:rFonts w:hint="eastAsia" w:ascii="黑体" w:hAnsi="黑体" w:eastAsia="黑体"/>
        </w:rPr>
      </w:pPr>
      <w:r>
        <w:rPr>
          <w:rFonts w:hint="eastAsia" w:ascii="黑体" w:hAnsi="黑体" w:eastAsia="黑体"/>
        </w:rPr>
        <w:t>干线高速公路</w:t>
      </w:r>
      <w:bookmarkEnd w:id="53"/>
      <w:r>
        <w:rPr>
          <w:rFonts w:hint="eastAsia" w:ascii="黑体" w:hAnsi="黑体" w:eastAsia="黑体"/>
        </w:rPr>
        <w:t xml:space="preserve"> </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Start w:id="79" w:name="_Hlk147737202"/>
      <w:r>
        <w:rPr>
          <w:rFonts w:hint="eastAsia" w:ascii="黑体" w:hAnsi="黑体" w:eastAsia="黑体"/>
        </w:rPr>
        <w:t>arterial expressway</w:t>
      </w:r>
      <w:bookmarkEnd w:id="69"/>
      <w:bookmarkEnd w:id="70"/>
      <w:bookmarkEnd w:id="71"/>
      <w:bookmarkEnd w:id="72"/>
      <w:bookmarkEnd w:id="73"/>
      <w:bookmarkEnd w:id="74"/>
      <w:bookmarkEnd w:id="75"/>
      <w:bookmarkEnd w:id="76"/>
      <w:bookmarkEnd w:id="77"/>
      <w:bookmarkEnd w:id="78"/>
    </w:p>
    <w:bookmarkEnd w:id="79"/>
    <w:p w14:paraId="64E6BB8F">
      <w:pPr>
        <w:pStyle w:val="57"/>
        <w:ind w:firstLine="420"/>
      </w:pPr>
      <w:r>
        <w:t>四川</w:t>
      </w:r>
      <w:r>
        <w:rPr>
          <w:rFonts w:hint="eastAsia"/>
        </w:rPr>
        <w:t>高原山区小交通量高速公路中重要通道或连接</w:t>
      </w:r>
      <w:r>
        <w:t>市（州）</w:t>
      </w:r>
      <w:r>
        <w:rPr>
          <w:rFonts w:hint="eastAsia"/>
        </w:rPr>
        <w:t>的高速公路。</w:t>
      </w:r>
      <w:bookmarkStart w:id="80" w:name="_Toc139048104"/>
      <w:bookmarkStart w:id="81" w:name="_Toc138922873"/>
      <w:bookmarkStart w:id="82" w:name="_Toc139291802"/>
      <w:bookmarkStart w:id="83" w:name="_Toc138922504"/>
      <w:bookmarkStart w:id="84" w:name="_Toc124697416"/>
      <w:bookmarkStart w:id="85" w:name="_Toc139045980"/>
      <w:bookmarkStart w:id="86" w:name="_Toc139015437"/>
      <w:bookmarkStart w:id="87" w:name="_Toc137384193"/>
      <w:bookmarkStart w:id="88" w:name="_Toc139046839"/>
      <w:bookmarkStart w:id="89" w:name="_Toc139046216"/>
      <w:bookmarkStart w:id="90" w:name="_Toc141802165"/>
      <w:bookmarkStart w:id="91" w:name="_Toc137483145"/>
      <w:bookmarkStart w:id="92" w:name="_Toc139046914"/>
      <w:bookmarkStart w:id="93" w:name="_Toc142032690"/>
      <w:bookmarkStart w:id="94" w:name="_Toc141803139"/>
      <w:bookmarkStart w:id="95" w:name="_Toc138254291"/>
      <w:bookmarkStart w:id="96" w:name="_Toc146102881"/>
      <w:bookmarkStart w:id="97" w:name="_Toc146049158"/>
      <w:bookmarkStart w:id="98" w:name="_Toc149674696"/>
      <w:bookmarkStart w:id="99" w:name="_Toc8723"/>
      <w:bookmarkStart w:id="100" w:name="_Toc146727198"/>
      <w:bookmarkStart w:id="101" w:name="_Toc169688310"/>
      <w:bookmarkStart w:id="102" w:name="_Toc149656040"/>
      <w:bookmarkStart w:id="103" w:name="_Toc149668517"/>
      <w:bookmarkStart w:id="104" w:name="_Toc149656116"/>
      <w:bookmarkStart w:id="105" w:name="_Toc32412"/>
    </w:p>
    <w:p w14:paraId="0901B40E">
      <w:pPr>
        <w:pStyle w:val="106"/>
        <w:spacing w:before="156" w:after="156"/>
      </w:pPr>
    </w:p>
    <w:p w14:paraId="02B6415B">
      <w:pPr>
        <w:pStyle w:val="57"/>
        <w:ind w:firstLine="420"/>
        <w:rPr>
          <w:rFonts w:hint="eastAsia" w:ascii="黑体" w:hAnsi="黑体" w:eastAsia="黑体"/>
        </w:rPr>
      </w:pPr>
      <w:r>
        <w:rPr>
          <w:rFonts w:hint="eastAsia" w:ascii="黑体" w:hAnsi="黑体" w:eastAsia="黑体"/>
        </w:rPr>
        <w:t>支线高速公路</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Pr>
          <w:rFonts w:hint="eastAsia" w:ascii="黑体" w:hAnsi="黑体" w:eastAsia="黑体"/>
        </w:rPr>
        <w:t xml:space="preserve"> </w:t>
      </w:r>
      <w:bookmarkStart w:id="106" w:name="_Hlk147737305"/>
      <w:r>
        <w:rPr>
          <w:rFonts w:hint="eastAsia" w:ascii="黑体" w:hAnsi="黑体" w:eastAsia="黑体"/>
        </w:rPr>
        <w:t>feeder expressway</w:t>
      </w:r>
      <w:bookmarkEnd w:id="96"/>
      <w:bookmarkEnd w:id="97"/>
      <w:bookmarkEnd w:id="98"/>
      <w:bookmarkEnd w:id="99"/>
      <w:bookmarkEnd w:id="100"/>
      <w:bookmarkEnd w:id="101"/>
      <w:bookmarkEnd w:id="102"/>
      <w:bookmarkEnd w:id="103"/>
      <w:bookmarkEnd w:id="104"/>
      <w:bookmarkEnd w:id="105"/>
      <w:bookmarkEnd w:id="106"/>
    </w:p>
    <w:p w14:paraId="24F602D2">
      <w:pPr>
        <w:pStyle w:val="57"/>
        <w:ind w:firstLine="420"/>
      </w:pPr>
      <w:r>
        <w:t>四川</w:t>
      </w:r>
      <w:r>
        <w:rPr>
          <w:rFonts w:hint="eastAsia"/>
        </w:rPr>
        <w:t>高原山区小交通量高速公路中除干线高速公路以外的高速公路。</w:t>
      </w:r>
    </w:p>
    <w:p w14:paraId="30106124">
      <w:pPr>
        <w:pStyle w:val="180"/>
      </w:pPr>
      <w:r>
        <w:t>在《四川省高速公路网布局规划（2022—2035年）》的基础上，根据项目所承担的路网功能、连接节点重要程度，综合考虑路段交通量、服务人口等影响因素，将四川省高原山区高速公路划分为干线高速公路和支线高速公路。</w:t>
      </w:r>
      <w:bookmarkStart w:id="107" w:name="_Toc124697417"/>
      <w:bookmarkStart w:id="108" w:name="_Toc137384195"/>
      <w:bookmarkStart w:id="109" w:name="_Toc137483146"/>
      <w:bookmarkStart w:id="110" w:name="_Toc139015438"/>
      <w:bookmarkStart w:id="111" w:name="_Toc139046840"/>
      <w:bookmarkStart w:id="112" w:name="_Toc138254292"/>
      <w:bookmarkStart w:id="113" w:name="_Toc139291803"/>
      <w:bookmarkStart w:id="114" w:name="_Toc139046217"/>
      <w:bookmarkStart w:id="115" w:name="_Toc139048105"/>
      <w:bookmarkStart w:id="116" w:name="_Toc139045981"/>
      <w:bookmarkStart w:id="117" w:name="_Toc142032691"/>
      <w:bookmarkStart w:id="118" w:name="_Toc138922505"/>
      <w:bookmarkStart w:id="119" w:name="_Toc141803140"/>
      <w:bookmarkStart w:id="120" w:name="_Toc139046915"/>
      <w:bookmarkStart w:id="121" w:name="_Toc141802166"/>
      <w:bookmarkStart w:id="122" w:name="_Toc138922874"/>
      <w:bookmarkStart w:id="123" w:name="_Toc149656041"/>
      <w:bookmarkStart w:id="124" w:name="_Toc146102882"/>
      <w:bookmarkStart w:id="125" w:name="_Toc146049159"/>
      <w:bookmarkStart w:id="126" w:name="_Toc169688311"/>
      <w:bookmarkStart w:id="127" w:name="_Toc146727199"/>
      <w:bookmarkStart w:id="128" w:name="_Toc15389"/>
      <w:bookmarkStart w:id="129" w:name="_Toc149656117"/>
      <w:bookmarkStart w:id="130" w:name="_Toc313"/>
      <w:bookmarkStart w:id="131" w:name="_Toc149668518"/>
      <w:bookmarkStart w:id="132" w:name="_Toc149674697"/>
    </w:p>
    <w:p w14:paraId="52BA9F8D">
      <w:pPr>
        <w:pStyle w:val="106"/>
        <w:spacing w:before="156" w:after="156"/>
      </w:pPr>
    </w:p>
    <w:p w14:paraId="7F6B66EF">
      <w:pPr>
        <w:pStyle w:val="57"/>
        <w:ind w:firstLine="420"/>
        <w:rPr>
          <w:rFonts w:hint="eastAsia" w:ascii="黑体" w:hAnsi="黑体" w:eastAsia="黑体"/>
        </w:rPr>
      </w:pPr>
      <w:r>
        <w:rPr>
          <w:rFonts w:hint="eastAsia" w:ascii="黑体" w:hAnsi="黑体" w:eastAsia="黑体"/>
        </w:rPr>
        <w:t>建设I区</w:t>
      </w:r>
      <w:bookmarkEnd w:id="107"/>
      <w:bookmarkEnd w:id="108"/>
      <w:r>
        <w:rPr>
          <w:rFonts w:hint="eastAsia" w:ascii="黑体" w:hAnsi="黑体" w:eastAsia="黑体"/>
        </w:rPr>
        <w:t xml:space="preserve"> </w:t>
      </w:r>
      <w:bookmarkEnd w:id="109"/>
      <w:r>
        <w:rPr>
          <w:rFonts w:hint="eastAsia" w:ascii="黑体" w:hAnsi="黑体" w:eastAsia="黑体"/>
        </w:rPr>
        <w:t xml:space="preserve">construction </w:t>
      </w:r>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33" w:name="_Hlk117767383"/>
      <w:r>
        <w:rPr>
          <w:rFonts w:hint="eastAsia" w:ascii="黑体" w:hAnsi="黑体" w:eastAsia="黑体"/>
        </w:rPr>
        <w:t>region I</w:t>
      </w:r>
      <w:bookmarkEnd w:id="123"/>
      <w:bookmarkEnd w:id="124"/>
      <w:bookmarkEnd w:id="125"/>
      <w:bookmarkEnd w:id="126"/>
      <w:bookmarkEnd w:id="127"/>
      <w:bookmarkEnd w:id="128"/>
      <w:bookmarkEnd w:id="129"/>
      <w:bookmarkEnd w:id="130"/>
      <w:bookmarkEnd w:id="131"/>
      <w:bookmarkEnd w:id="132"/>
    </w:p>
    <w:bookmarkEnd w:id="133"/>
    <w:p w14:paraId="2A068627">
      <w:pPr>
        <w:pStyle w:val="57"/>
        <w:ind w:firstLine="420"/>
      </w:pPr>
      <w:bookmarkStart w:id="134" w:name="_Hlk147737322"/>
      <w:r>
        <w:rPr>
          <w:rFonts w:hint="eastAsia"/>
        </w:rPr>
        <w:t>高原山区内</w:t>
      </w:r>
      <w:bookmarkEnd w:id="134"/>
      <w:r>
        <w:rPr>
          <w:rFonts w:hint="eastAsia"/>
        </w:rPr>
        <w:t>，地形地貌为丘状高原、高原草甸、U型河谷、沼泽，地面坡度不大于20°，相对高差不大于500m的区域。</w:t>
      </w:r>
      <w:bookmarkStart w:id="135" w:name="_Toc139048106"/>
      <w:bookmarkStart w:id="136" w:name="_Toc139046218"/>
      <w:bookmarkStart w:id="137" w:name="_Toc137483147"/>
      <w:bookmarkStart w:id="138" w:name="_Toc139046916"/>
      <w:bookmarkStart w:id="139" w:name="_Toc142032692"/>
      <w:bookmarkStart w:id="140" w:name="_Toc141802167"/>
      <w:bookmarkStart w:id="141" w:name="_Toc139045982"/>
      <w:bookmarkStart w:id="142" w:name="_Toc138254293"/>
      <w:bookmarkStart w:id="143" w:name="_Toc139015439"/>
      <w:bookmarkStart w:id="144" w:name="_Toc141803141"/>
      <w:bookmarkStart w:id="145" w:name="_Toc138922506"/>
      <w:bookmarkStart w:id="146" w:name="_Toc138922875"/>
      <w:bookmarkStart w:id="147" w:name="_Toc139291804"/>
      <w:bookmarkStart w:id="148" w:name="_Toc139046841"/>
      <w:bookmarkStart w:id="149" w:name="_Toc149674698"/>
      <w:bookmarkStart w:id="150" w:name="_Toc146049160"/>
      <w:bookmarkStart w:id="151" w:name="_Toc146102883"/>
      <w:bookmarkStart w:id="152" w:name="_Toc146727200"/>
      <w:bookmarkStart w:id="153" w:name="_Toc6672"/>
      <w:bookmarkStart w:id="154" w:name="_Toc149668519"/>
      <w:bookmarkStart w:id="155" w:name="_Toc22107"/>
      <w:bookmarkStart w:id="156" w:name="_Toc169688312"/>
      <w:bookmarkStart w:id="157" w:name="_Toc149656118"/>
      <w:bookmarkStart w:id="158" w:name="_Toc149656042"/>
    </w:p>
    <w:p w14:paraId="6C4AA241">
      <w:pPr>
        <w:pStyle w:val="106"/>
        <w:spacing w:before="156" w:after="156"/>
      </w:pPr>
      <w:r>
        <w:rPr>
          <w:rFonts w:hint="eastAsia"/>
        </w:rPr>
        <w:t xml:space="preserve"> </w:t>
      </w:r>
    </w:p>
    <w:p w14:paraId="57554628">
      <w:pPr>
        <w:pStyle w:val="57"/>
        <w:ind w:firstLine="420"/>
        <w:rPr>
          <w:rFonts w:hint="eastAsia" w:ascii="黑体" w:hAnsi="黑体" w:eastAsia="黑体"/>
        </w:rPr>
      </w:pPr>
      <w:r>
        <w:rPr>
          <w:rFonts w:hint="eastAsia" w:ascii="黑体" w:hAnsi="黑体" w:eastAsia="黑体"/>
        </w:rPr>
        <w:t xml:space="preserve">建设Ⅱ区 </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Pr>
          <w:rFonts w:ascii="黑体" w:hAnsi="黑体" w:eastAsia="黑体"/>
        </w:rPr>
        <w:t>c</w:t>
      </w:r>
      <w:r>
        <w:rPr>
          <w:rFonts w:hint="eastAsia" w:ascii="黑体" w:hAnsi="黑体" w:eastAsia="黑体"/>
        </w:rPr>
        <w:t>onstruction regionⅡ</w:t>
      </w:r>
      <w:bookmarkEnd w:id="149"/>
      <w:bookmarkEnd w:id="150"/>
      <w:bookmarkEnd w:id="151"/>
      <w:bookmarkEnd w:id="152"/>
      <w:bookmarkEnd w:id="153"/>
      <w:bookmarkEnd w:id="154"/>
      <w:bookmarkEnd w:id="155"/>
      <w:bookmarkEnd w:id="156"/>
      <w:bookmarkEnd w:id="157"/>
      <w:bookmarkEnd w:id="158"/>
    </w:p>
    <w:p w14:paraId="7D714B03">
      <w:pPr>
        <w:pStyle w:val="57"/>
        <w:ind w:firstLine="420"/>
      </w:pPr>
      <w:r>
        <w:rPr>
          <w:rFonts w:hint="eastAsia"/>
        </w:rPr>
        <w:t>高原山区内，地形地貌为高山、中山、V型峡谷，地面坡度大于</w:t>
      </w:r>
      <w:r>
        <w:t>2</w:t>
      </w:r>
      <w:r>
        <w:rPr>
          <w:rFonts w:hint="eastAsia"/>
        </w:rPr>
        <w:t>0°，</w:t>
      </w:r>
      <w:r>
        <w:t>相对高差大于</w:t>
      </w:r>
      <w:r>
        <w:rPr>
          <w:rFonts w:hint="eastAsia"/>
        </w:rPr>
        <w:t>500m的区域。</w:t>
      </w:r>
    </w:p>
    <w:p w14:paraId="7E57B429">
      <w:pPr>
        <w:pStyle w:val="180"/>
      </w:pPr>
      <w:r>
        <w:t>四川高原山区高速公路建设分区可参阅附录A。</w:t>
      </w:r>
    </w:p>
    <w:p w14:paraId="4344A155">
      <w:pPr>
        <w:pStyle w:val="106"/>
        <w:spacing w:before="156" w:after="156"/>
      </w:pPr>
      <w:bookmarkStart w:id="159" w:name="_Toc149656043"/>
      <w:bookmarkStart w:id="160" w:name="_Toc146102884"/>
      <w:bookmarkStart w:id="161" w:name="_Toc2632"/>
      <w:bookmarkStart w:id="162" w:name="_Toc146727201"/>
      <w:bookmarkStart w:id="163" w:name="_Toc25640"/>
      <w:bookmarkStart w:id="164" w:name="_Toc149674699"/>
      <w:bookmarkStart w:id="165" w:name="_Toc169688313"/>
      <w:bookmarkStart w:id="166" w:name="_Toc149656119"/>
      <w:bookmarkStart w:id="167" w:name="_Toc146049161"/>
      <w:bookmarkStart w:id="168" w:name="_Toc149668520"/>
      <w:bookmarkStart w:id="169" w:name="_Toc139046219"/>
      <w:bookmarkStart w:id="170" w:name="_Toc124697421"/>
      <w:bookmarkStart w:id="171" w:name="_Toc142032693"/>
      <w:bookmarkStart w:id="172" w:name="_Toc139048107"/>
      <w:bookmarkStart w:id="173" w:name="_Toc139046842"/>
      <w:bookmarkStart w:id="174" w:name="_Toc138922507"/>
      <w:bookmarkStart w:id="175" w:name="_Toc139015440"/>
      <w:bookmarkStart w:id="176" w:name="_Toc137483148"/>
      <w:bookmarkStart w:id="177" w:name="_Toc141803142"/>
      <w:bookmarkStart w:id="178" w:name="_Toc141802168"/>
      <w:bookmarkStart w:id="179" w:name="_Hlk120265063"/>
      <w:bookmarkStart w:id="180" w:name="_Toc139046917"/>
      <w:bookmarkStart w:id="181" w:name="_Toc138254294"/>
      <w:bookmarkStart w:id="182" w:name="_Toc139045983"/>
      <w:bookmarkStart w:id="183" w:name="_Toc139291805"/>
      <w:bookmarkStart w:id="184" w:name="_Toc137384196"/>
      <w:bookmarkStart w:id="185" w:name="_Toc138922876"/>
    </w:p>
    <w:p w14:paraId="0926401B">
      <w:pPr>
        <w:pStyle w:val="57"/>
        <w:ind w:firstLine="420"/>
      </w:pPr>
      <w:r>
        <w:rPr>
          <w:rFonts w:hint="eastAsia" w:ascii="黑体" w:hAnsi="黑体" w:eastAsia="黑体"/>
        </w:rPr>
        <w:t>I型服务区 Service area type I</w:t>
      </w:r>
      <w:bookmarkEnd w:id="159"/>
      <w:bookmarkEnd w:id="160"/>
      <w:bookmarkEnd w:id="161"/>
      <w:bookmarkEnd w:id="162"/>
      <w:bookmarkEnd w:id="163"/>
      <w:bookmarkEnd w:id="164"/>
      <w:bookmarkEnd w:id="165"/>
      <w:bookmarkEnd w:id="166"/>
      <w:bookmarkEnd w:id="167"/>
      <w:bookmarkEnd w:id="168"/>
    </w:p>
    <w:p w14:paraId="1B760402">
      <w:pPr>
        <w:pStyle w:val="57"/>
        <w:ind w:firstLine="420"/>
      </w:pPr>
      <w:r>
        <w:rPr>
          <w:rFonts w:hint="eastAsia"/>
        </w:rPr>
        <w:t>为途经车辆提供停车、加油、充电、补给功能，为驾乘人员提供如厕、休息、观景、简单医疗等基本功能，及餐饮、购物等必要功能的综合型服务设施。</w:t>
      </w:r>
    </w:p>
    <w:p w14:paraId="19847D0C">
      <w:pPr>
        <w:pStyle w:val="106"/>
        <w:spacing w:before="156" w:after="156"/>
      </w:pPr>
      <w:bookmarkStart w:id="186" w:name="_Toc149656044"/>
      <w:bookmarkStart w:id="187" w:name="_Toc146727202"/>
      <w:bookmarkStart w:id="188" w:name="_Toc146102885"/>
      <w:bookmarkStart w:id="189" w:name="_Toc9304"/>
      <w:bookmarkStart w:id="190" w:name="_Toc149656120"/>
      <w:bookmarkStart w:id="191" w:name="_Toc169688314"/>
      <w:bookmarkStart w:id="192" w:name="_Toc149668521"/>
      <w:bookmarkStart w:id="193" w:name="_Toc29464"/>
      <w:bookmarkStart w:id="194" w:name="_Toc146049162"/>
      <w:bookmarkStart w:id="195" w:name="_Toc149674700"/>
    </w:p>
    <w:p w14:paraId="0ABDF14E">
      <w:pPr>
        <w:pStyle w:val="57"/>
        <w:ind w:firstLine="420"/>
        <w:rPr>
          <w:rFonts w:hint="eastAsia" w:ascii="黑体" w:hAnsi="黑体" w:eastAsia="黑体"/>
        </w:rPr>
      </w:pPr>
      <w:r>
        <w:rPr>
          <w:rFonts w:hint="eastAsia" w:ascii="黑体" w:hAnsi="黑体" w:eastAsia="黑体"/>
        </w:rPr>
        <w:t>II型服务区 Service area typeⅡ</w:t>
      </w:r>
      <w:bookmarkEnd w:id="186"/>
      <w:bookmarkEnd w:id="187"/>
      <w:bookmarkEnd w:id="188"/>
      <w:bookmarkEnd w:id="189"/>
      <w:bookmarkEnd w:id="190"/>
      <w:bookmarkEnd w:id="191"/>
      <w:bookmarkEnd w:id="192"/>
      <w:bookmarkEnd w:id="193"/>
      <w:bookmarkEnd w:id="194"/>
      <w:bookmarkEnd w:id="195"/>
    </w:p>
    <w:p w14:paraId="4BFCAF9F">
      <w:pPr>
        <w:pStyle w:val="57"/>
        <w:ind w:firstLine="420"/>
        <w:rPr>
          <w:color w:val="000000"/>
        </w:rPr>
      </w:pPr>
      <w:r>
        <w:rPr>
          <w:rFonts w:hint="eastAsia"/>
          <w:color w:val="000000"/>
        </w:rPr>
        <w:t>为途经车辆提供停车、加油、充电功能，为驾乘人员提供如厕、休息、观景等基本功能的常规型服务设施。</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5658EEC">
      <w:pPr>
        <w:pStyle w:val="105"/>
        <w:spacing w:before="312" w:after="312"/>
      </w:pPr>
      <w:r>
        <w:rPr>
          <w:rFonts w:hint="eastAsia"/>
        </w:rPr>
        <w:t>总则</w:t>
      </w:r>
    </w:p>
    <w:p w14:paraId="7428B91D">
      <w:pPr>
        <w:pStyle w:val="163"/>
      </w:pPr>
      <w:r>
        <w:rPr>
          <w:rFonts w:hint="eastAsia"/>
        </w:rPr>
        <w:t>为进一步</w:t>
      </w:r>
      <w:r>
        <w:rPr>
          <w:rFonts w:hint="eastAsia" w:hAnsi="宋体"/>
          <w:szCs w:val="21"/>
        </w:rPr>
        <w:t>推动</w:t>
      </w:r>
      <w:r>
        <w:rPr>
          <w:rFonts w:hint="eastAsia"/>
        </w:rPr>
        <w:t>四川高原山区高速公路</w:t>
      </w:r>
      <w:r>
        <w:t>高质量</w:t>
      </w:r>
      <w:r>
        <w:rPr>
          <w:rFonts w:hint="eastAsia"/>
        </w:rPr>
        <w:t>建设，</w:t>
      </w:r>
      <w:r>
        <w:t>体现小交通量下的</w:t>
      </w:r>
      <w:r>
        <w:rPr>
          <w:rFonts w:hint="eastAsia"/>
        </w:rPr>
        <w:t>高原山区高速公路发展可持续性，制定本文件。</w:t>
      </w:r>
    </w:p>
    <w:p w14:paraId="59529561">
      <w:pPr>
        <w:pStyle w:val="163"/>
      </w:pPr>
      <w:r>
        <w:rPr>
          <w:rFonts w:hint="eastAsia"/>
        </w:rPr>
        <w:t>本文件适用于四川高原山区</w:t>
      </w:r>
      <w:bookmarkStart w:id="196" w:name="_Hlk143764017"/>
      <w:r>
        <w:rPr>
          <w:rFonts w:hint="eastAsia"/>
        </w:rPr>
        <w:t>小交通量</w:t>
      </w:r>
      <w:bookmarkEnd w:id="196"/>
      <w:r>
        <w:rPr>
          <w:rFonts w:hint="eastAsia"/>
        </w:rPr>
        <w:t>高速公路建设的各阶段。四川高原山区小交通量干线高速公路宜优先按照现行的《公路工程技术标准》（JTG B01）执行。</w:t>
      </w:r>
    </w:p>
    <w:p w14:paraId="50399037">
      <w:pPr>
        <w:pStyle w:val="163"/>
      </w:pPr>
      <w:r>
        <w:rPr>
          <w:rFonts w:hint="eastAsia"/>
        </w:rPr>
        <w:t>四川高原山区小交通量高速公路应遵循安全耐久、低碳环保、经济适用、易于建设与养护的原则，并兼顾全寿命周期成本设计的理念。</w:t>
      </w:r>
    </w:p>
    <w:p w14:paraId="4B5E6FFC">
      <w:pPr>
        <w:pStyle w:val="163"/>
      </w:pPr>
      <w:r>
        <w:rPr>
          <w:rFonts w:hint="eastAsia"/>
        </w:rPr>
        <w:t>四川高原山区小交通量高速公路应推进信息化、数字化、标准化设计，为工厂化生产、装配化施工、信息化管理、智能化应用创造条件。</w:t>
      </w:r>
    </w:p>
    <w:p w14:paraId="00FB06DE">
      <w:pPr>
        <w:pStyle w:val="163"/>
      </w:pPr>
      <w:r>
        <w:rPr>
          <w:rFonts w:hint="eastAsia"/>
        </w:rPr>
        <w:t>四川高</w:t>
      </w:r>
      <w:r>
        <w:rPr>
          <w:rFonts w:hint="eastAsia" w:ascii="黑体" w:hAnsi="黑体"/>
        </w:rPr>
        <w:t>原</w:t>
      </w:r>
      <w:r>
        <w:rPr>
          <w:rFonts w:hint="eastAsia"/>
        </w:rPr>
        <w:t>山区生态环境脆弱，地形地质及气候条件复杂，应重视地质勘察及基础资料收集，合理选用路线方案及工程措施，加强对生态环境的保护。</w:t>
      </w:r>
    </w:p>
    <w:p w14:paraId="394330D7">
      <w:pPr>
        <w:pStyle w:val="163"/>
      </w:pPr>
      <w:r>
        <w:rPr>
          <w:rFonts w:hint="eastAsia"/>
        </w:rPr>
        <w:t>四川高原山区小交通量高速公路进行安全性评价时，有关评价要素宜采用本文件的规定。</w:t>
      </w:r>
    </w:p>
    <w:p w14:paraId="61B578CD">
      <w:pPr>
        <w:pStyle w:val="163"/>
      </w:pPr>
      <w:r>
        <w:rPr>
          <w:rFonts w:hint="eastAsia"/>
        </w:rPr>
        <w:t>四川高原山区小交通量高速公路建设宜根据项目实际情况，按照本文件确定的原则，选择适合的建设标准、技术指标</w:t>
      </w:r>
      <w:bookmarkStart w:id="197" w:name="_Hlk143758975"/>
      <w:r>
        <w:rPr>
          <w:rFonts w:hint="eastAsia"/>
        </w:rPr>
        <w:t>。</w:t>
      </w:r>
      <w:bookmarkEnd w:id="197"/>
    </w:p>
    <w:p w14:paraId="09E84DD5">
      <w:pPr>
        <w:pStyle w:val="163"/>
      </w:pPr>
      <w:r>
        <w:rPr>
          <w:rFonts w:hint="eastAsia"/>
        </w:rPr>
        <w:t>本文件未规定的内容，应遵照现行公路行业相关技术标准、规范执行。</w:t>
      </w:r>
    </w:p>
    <w:p w14:paraId="1A07AC9F">
      <w:pPr>
        <w:pStyle w:val="105"/>
        <w:spacing w:before="312" w:after="312"/>
      </w:pPr>
      <w:bookmarkStart w:id="198" w:name="_Toc15941"/>
      <w:bookmarkStart w:id="199" w:name="_Toc137384199"/>
      <w:bookmarkStart w:id="200" w:name="_Toc121297799"/>
      <w:r>
        <w:rPr>
          <w:rFonts w:hint="eastAsia"/>
        </w:rPr>
        <w:t>基本规定</w:t>
      </w:r>
      <w:bookmarkEnd w:id="198"/>
      <w:bookmarkEnd w:id="199"/>
      <w:bookmarkEnd w:id="200"/>
    </w:p>
    <w:p w14:paraId="337602A4">
      <w:pPr>
        <w:pStyle w:val="106"/>
        <w:spacing w:before="156" w:after="156"/>
        <w:rPr>
          <w:rStyle w:val="231"/>
          <w:rFonts w:hint="eastAsia"/>
          <w:color w:val="000000"/>
          <w:sz w:val="21"/>
          <w:szCs w:val="44"/>
        </w:rPr>
      </w:pPr>
      <w:bookmarkStart w:id="201" w:name="_Toc121297801"/>
      <w:bookmarkStart w:id="202" w:name="_Toc138922880"/>
      <w:bookmarkStart w:id="203" w:name="_Toc12354"/>
      <w:bookmarkStart w:id="204" w:name="_Toc137384200"/>
      <w:r>
        <w:rPr>
          <w:rStyle w:val="231"/>
          <w:rFonts w:hint="eastAsia"/>
          <w:color w:val="000000"/>
          <w:sz w:val="21"/>
          <w:szCs w:val="44"/>
        </w:rPr>
        <w:t>服务水平</w:t>
      </w:r>
      <w:bookmarkEnd w:id="201"/>
      <w:bookmarkEnd w:id="202"/>
      <w:bookmarkEnd w:id="203"/>
      <w:bookmarkEnd w:id="204"/>
    </w:p>
    <w:p w14:paraId="51500DDE">
      <w:pPr>
        <w:pStyle w:val="166"/>
      </w:pPr>
      <w:r>
        <w:rPr>
          <w:rFonts w:hint="eastAsia"/>
        </w:rPr>
        <w:t>高原山区小</w:t>
      </w:r>
      <w:r>
        <w:rPr>
          <w:rFonts w:hint="eastAsia"/>
          <w:bCs/>
          <w:lang w:bidi="ar"/>
        </w:rPr>
        <w:t>交通量</w:t>
      </w:r>
      <w:r>
        <w:rPr>
          <w:rFonts w:hint="eastAsia"/>
        </w:rPr>
        <w:t>高速公路设计服务水平应不低于《公路工程技术标准》（JTG B01-2014）规定的三级服务水平</w:t>
      </w:r>
      <w:r>
        <w:t>。</w:t>
      </w:r>
    </w:p>
    <w:p w14:paraId="0730D1A6">
      <w:pPr>
        <w:pStyle w:val="166"/>
        <w:rPr>
          <w:rStyle w:val="232"/>
          <w:rFonts w:hint="eastAsia" w:hAnsi="宋体"/>
          <w:szCs w:val="21"/>
        </w:rPr>
      </w:pPr>
      <w:r>
        <w:rPr>
          <w:rFonts w:hint="eastAsia"/>
        </w:rPr>
        <w:t>长隧道及特长隧道路段、互通式立体交叉的分合流区段以及交织区段，设计服务水平可降低一级。</w:t>
      </w:r>
    </w:p>
    <w:p w14:paraId="76E7722B">
      <w:pPr>
        <w:pStyle w:val="106"/>
        <w:spacing w:before="156" w:after="156"/>
        <w:rPr>
          <w:rStyle w:val="231"/>
          <w:rFonts w:hint="eastAsia"/>
          <w:color w:val="000000"/>
          <w:sz w:val="21"/>
          <w:szCs w:val="44"/>
        </w:rPr>
      </w:pPr>
      <w:bookmarkStart w:id="205" w:name="_Toc121297802"/>
      <w:bookmarkStart w:id="206" w:name="_Toc138922881"/>
      <w:bookmarkStart w:id="207" w:name="_Toc137384201"/>
      <w:bookmarkStart w:id="208" w:name="_Toc21998"/>
      <w:r>
        <w:rPr>
          <w:rStyle w:val="231"/>
          <w:rFonts w:hint="eastAsia"/>
          <w:color w:val="000000"/>
          <w:sz w:val="21"/>
          <w:szCs w:val="44"/>
        </w:rPr>
        <w:t>速度</w:t>
      </w:r>
      <w:bookmarkEnd w:id="205"/>
      <w:bookmarkEnd w:id="206"/>
      <w:bookmarkEnd w:id="207"/>
      <w:bookmarkEnd w:id="208"/>
    </w:p>
    <w:p w14:paraId="2813C38C">
      <w:pPr>
        <w:pStyle w:val="166"/>
      </w:pPr>
      <w:r>
        <w:t>高原山区小交通量高速公</w:t>
      </w:r>
      <w:r>
        <w:rPr>
          <w:rFonts w:hint="eastAsia"/>
        </w:rPr>
        <w:t>路设计速度应符合表1的规定。设计</w:t>
      </w:r>
      <w:r>
        <w:t>速度的</w:t>
      </w:r>
      <w:r>
        <w:rPr>
          <w:rFonts w:hint="eastAsia"/>
        </w:rPr>
        <w:t>选用应根据公路的功能、分类，结合交通量、地形、工程经济、沿线土地利用性质等因素论证确定，并应满足下列规定。</w:t>
      </w:r>
    </w:p>
    <w:p w14:paraId="157073FB">
      <w:pPr>
        <w:pStyle w:val="175"/>
      </w:pPr>
      <w:r>
        <w:rPr>
          <w:rFonts w:hint="eastAsia"/>
        </w:rPr>
        <w:t>干线高速公路应</w:t>
      </w:r>
      <w:r>
        <w:rPr>
          <w:rFonts w:hint="eastAsia" w:ascii="Times New Roman"/>
        </w:rPr>
        <w:t>优先</w:t>
      </w:r>
      <w:r>
        <w:rPr>
          <w:rFonts w:hint="eastAsia"/>
        </w:rPr>
        <w:t>采用较高速度进行设计。</w:t>
      </w:r>
    </w:p>
    <w:p w14:paraId="161E1FE8">
      <w:pPr>
        <w:pStyle w:val="175"/>
      </w:pPr>
      <w:r>
        <w:rPr>
          <w:rFonts w:hint="eastAsia"/>
        </w:rPr>
        <w:t>局部</w:t>
      </w:r>
      <w:r>
        <w:t>受地形、地质等条件限制的</w:t>
      </w:r>
      <w:r>
        <w:rPr>
          <w:rFonts w:hint="eastAsia"/>
        </w:rPr>
        <w:t>特殊困难路段，</w:t>
      </w:r>
      <w:r>
        <w:t>经技术经济比较论证后，</w:t>
      </w:r>
      <w:r>
        <w:rPr>
          <w:rFonts w:hint="eastAsia"/>
        </w:rPr>
        <w:t>设计速度可降低20km/</w:t>
      </w:r>
      <w:r>
        <w:t>h</w:t>
      </w:r>
      <w:r>
        <w:rPr>
          <w:rFonts w:hint="eastAsia"/>
        </w:rPr>
        <w:t>。降低速度的路段长度，</w:t>
      </w:r>
      <w:r>
        <w:rPr>
          <w:rFonts w:hint="eastAsia" w:ascii="Times New Roman"/>
        </w:rPr>
        <w:t>不宜</w:t>
      </w:r>
      <w:r>
        <w:rPr>
          <w:rFonts w:hint="eastAsia"/>
        </w:rPr>
        <w:t>大于1</w:t>
      </w:r>
      <w:r>
        <w:t>5</w:t>
      </w:r>
      <w:r>
        <w:rPr>
          <w:rFonts w:hint="eastAsia"/>
        </w:rPr>
        <w:t>km或仅限于相邻两互通式立体交叉间，且不应小于</w:t>
      </w:r>
      <w:r>
        <w:t>2</w:t>
      </w:r>
      <w:r>
        <w:rPr>
          <w:rFonts w:hint="eastAsia"/>
        </w:rPr>
        <w:t>km</w:t>
      </w:r>
      <w:r>
        <w:t>。</w:t>
      </w:r>
    </w:p>
    <w:p w14:paraId="644F28A5">
      <w:pPr>
        <w:pStyle w:val="113"/>
        <w:spacing w:before="156" w:after="156"/>
      </w:pPr>
      <w:r>
        <w:rPr>
          <w:rFonts w:hint="eastAsia"/>
        </w:rPr>
        <w:t>高原山区小交通量高速公路设计速度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1D88F5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4BD7273E">
            <w:pPr>
              <w:pStyle w:val="179"/>
            </w:pPr>
            <w:r>
              <w:rPr>
                <w:rFonts w:hint="eastAsia"/>
              </w:rPr>
              <w:t>分区</w:t>
            </w:r>
          </w:p>
        </w:tc>
        <w:tc>
          <w:tcPr>
            <w:tcW w:w="3734" w:type="dxa"/>
            <w:gridSpan w:val="2"/>
            <w:tcBorders>
              <w:top w:val="single" w:color="auto" w:sz="8" w:space="0"/>
              <w:bottom w:val="single" w:color="auto" w:sz="8" w:space="0"/>
            </w:tcBorders>
            <w:shd w:val="clear" w:color="auto" w:fill="auto"/>
            <w:vAlign w:val="center"/>
          </w:tcPr>
          <w:p w14:paraId="1809658B">
            <w:pPr>
              <w:pStyle w:val="179"/>
            </w:pPr>
            <w:r>
              <w:rPr>
                <w:rFonts w:hint="eastAsia"/>
              </w:rPr>
              <w:t>建设</w:t>
            </w:r>
            <w:bookmarkStart w:id="209" w:name="_Hlk143718446"/>
            <w:r>
              <w:rPr>
                <w:rFonts w:hint="eastAsia"/>
              </w:rPr>
              <w:t>Ⅰ区</w:t>
            </w:r>
            <w:bookmarkEnd w:id="209"/>
          </w:p>
        </w:tc>
        <w:tc>
          <w:tcPr>
            <w:tcW w:w="3734" w:type="dxa"/>
            <w:gridSpan w:val="2"/>
            <w:tcBorders>
              <w:top w:val="single" w:color="auto" w:sz="8" w:space="0"/>
              <w:bottom w:val="single" w:color="auto" w:sz="8" w:space="0"/>
            </w:tcBorders>
            <w:shd w:val="clear" w:color="auto" w:fill="auto"/>
            <w:vAlign w:val="center"/>
          </w:tcPr>
          <w:p w14:paraId="3B894E2D">
            <w:pPr>
              <w:pStyle w:val="179"/>
            </w:pPr>
            <w:r>
              <w:rPr>
                <w:rFonts w:hint="eastAsia"/>
              </w:rPr>
              <w:t>建设Ⅱ区</w:t>
            </w:r>
          </w:p>
        </w:tc>
      </w:tr>
      <w:tr w14:paraId="4927AD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2A402C70">
            <w:pPr>
              <w:pStyle w:val="179"/>
            </w:pPr>
            <w:r>
              <w:rPr>
                <w:rFonts w:hint="eastAsia"/>
              </w:rPr>
              <w:t>设计速度（km</w:t>
            </w:r>
            <w:r>
              <w:t>/h</w:t>
            </w:r>
            <w:r>
              <w:rPr>
                <w:rFonts w:hint="eastAsia"/>
              </w:rPr>
              <w:t>）</w:t>
            </w:r>
          </w:p>
        </w:tc>
        <w:tc>
          <w:tcPr>
            <w:tcW w:w="1867" w:type="dxa"/>
            <w:tcBorders>
              <w:top w:val="single" w:color="auto" w:sz="8" w:space="0"/>
            </w:tcBorders>
            <w:shd w:val="clear" w:color="auto" w:fill="auto"/>
            <w:vAlign w:val="center"/>
          </w:tcPr>
          <w:p w14:paraId="7AF589D8">
            <w:pPr>
              <w:pStyle w:val="179"/>
            </w:pPr>
            <w:r>
              <w:rPr>
                <w:rFonts w:hint="eastAsia"/>
              </w:rPr>
              <w:t>1</w:t>
            </w:r>
            <w:r>
              <w:t>20</w:t>
            </w:r>
          </w:p>
        </w:tc>
        <w:tc>
          <w:tcPr>
            <w:tcW w:w="1867" w:type="dxa"/>
            <w:tcBorders>
              <w:top w:val="single" w:color="auto" w:sz="8" w:space="0"/>
            </w:tcBorders>
            <w:shd w:val="clear" w:color="auto" w:fill="auto"/>
            <w:vAlign w:val="center"/>
          </w:tcPr>
          <w:p w14:paraId="38B61669">
            <w:pPr>
              <w:pStyle w:val="179"/>
            </w:pPr>
            <w:r>
              <w:rPr>
                <w:rFonts w:hint="eastAsia"/>
              </w:rPr>
              <w:t>1</w:t>
            </w:r>
            <w:r>
              <w:t>00</w:t>
            </w:r>
          </w:p>
        </w:tc>
        <w:tc>
          <w:tcPr>
            <w:tcW w:w="1867" w:type="dxa"/>
            <w:tcBorders>
              <w:top w:val="single" w:color="auto" w:sz="8" w:space="0"/>
            </w:tcBorders>
            <w:shd w:val="clear" w:color="auto" w:fill="auto"/>
            <w:vAlign w:val="center"/>
          </w:tcPr>
          <w:p w14:paraId="3C868633">
            <w:pPr>
              <w:pStyle w:val="179"/>
            </w:pPr>
            <w:r>
              <w:rPr>
                <w:rFonts w:hint="eastAsia"/>
              </w:rPr>
              <w:t>1</w:t>
            </w:r>
            <w:r>
              <w:t>00</w:t>
            </w:r>
          </w:p>
        </w:tc>
        <w:tc>
          <w:tcPr>
            <w:tcW w:w="1867" w:type="dxa"/>
            <w:tcBorders>
              <w:top w:val="single" w:color="auto" w:sz="8" w:space="0"/>
            </w:tcBorders>
            <w:shd w:val="clear" w:color="auto" w:fill="auto"/>
            <w:vAlign w:val="center"/>
          </w:tcPr>
          <w:p w14:paraId="0FD71405">
            <w:pPr>
              <w:pStyle w:val="179"/>
            </w:pPr>
            <w:r>
              <w:rPr>
                <w:rFonts w:hint="eastAsia"/>
              </w:rPr>
              <w:t>8</w:t>
            </w:r>
            <w:r>
              <w:t>0</w:t>
            </w:r>
          </w:p>
        </w:tc>
      </w:tr>
    </w:tbl>
    <w:p w14:paraId="0C3D0FF7">
      <w:pPr>
        <w:pStyle w:val="175"/>
        <w:numPr>
          <w:ilvl w:val="0"/>
          <w:numId w:val="0"/>
        </w:numPr>
        <w:ind w:left="851"/>
        <w:rPr>
          <w:rFonts w:hint="eastAsia"/>
        </w:rPr>
      </w:pPr>
    </w:p>
    <w:p w14:paraId="1CBAB1D8">
      <w:pPr>
        <w:pStyle w:val="180"/>
      </w:pPr>
      <w:r>
        <w:t>现行JTG B01-2014</w:t>
      </w:r>
      <w:r>
        <w:rPr>
          <w:rFonts w:hint="eastAsia"/>
        </w:rPr>
        <w:t xml:space="preserve"> </w:t>
      </w:r>
      <w:r>
        <w:t>中3.5.1规定高速公路的设计速度为120km/h、100km/h、80km/h三档，特别强调在因新建工程可能诱发工程地质病害时，经论证，该局部路段的设计速度可采用60km/h。《日本道路构造令》规定，在受地形限制等不得已情况下，当交通量在10000～30000pcu/d时可采用80km/h和60km/h；当交通量小于10000pcu/d时，设计速度为60km/h。由于受地形等限制，在15～10 km同一设计路段里，允许有一至二处将设计车速降低20～10km/h。同时，为避免同一设计路段的几何组成形状短距离内变化，造成驾驶员错觉，《日本道路构造令》给出了在不得已降低车速的情况下，按第1种设计时最小路段长度为5km，按第2种设计时为2km。基于四川高原山区特殊的自然和地理条件、公路建设特点和发展需求，参照JTG B01-2014和日本道路构造令的相关规定，作出上述规定。</w:t>
      </w:r>
    </w:p>
    <w:p w14:paraId="481C2F18">
      <w:pPr>
        <w:pStyle w:val="57"/>
        <w:ind w:firstLine="420"/>
        <w:rPr>
          <w:rFonts w:hint="eastAsia"/>
        </w:rPr>
      </w:pPr>
    </w:p>
    <w:p w14:paraId="592A8A25">
      <w:pPr>
        <w:pStyle w:val="166"/>
      </w:pPr>
      <w:r>
        <w:rPr>
          <w:rFonts w:hint="eastAsia"/>
        </w:rPr>
        <w:t>高原山区小交通量高速公路设计时，</w:t>
      </w:r>
      <w:bookmarkStart w:id="210" w:name="_Hlk168510335"/>
      <w:r>
        <w:rPr>
          <w:rFonts w:hint="eastAsia"/>
        </w:rPr>
        <w:t>应同步采用运行速度进行检</w:t>
      </w:r>
      <w:bookmarkEnd w:id="210"/>
      <w:r>
        <w:rPr>
          <w:rFonts w:hint="eastAsia"/>
        </w:rPr>
        <w:t>验，并应满足下列规定。</w:t>
      </w:r>
    </w:p>
    <w:p w14:paraId="500286E8">
      <w:pPr>
        <w:pStyle w:val="175"/>
        <w:numPr>
          <w:ilvl w:val="0"/>
          <w:numId w:val="32"/>
        </w:numPr>
      </w:pPr>
      <w:r>
        <w:rPr>
          <w:rFonts w:hint="eastAsia"/>
        </w:rPr>
        <w:t>同一路段</w:t>
      </w:r>
      <w:r>
        <w:rPr>
          <w:rFonts w:hint="eastAsia" w:ascii="Times New Roman"/>
        </w:rPr>
        <w:t>运行</w:t>
      </w:r>
      <w:r>
        <w:rPr>
          <w:rFonts w:hint="eastAsia"/>
        </w:rPr>
        <w:t>速度与设计速度之差应小于20km/h。当运行速度与设计速度之差大于20km/h时，应重新论证路段设计速度或拟定技术指标较低的方案进行技术经济比较。</w:t>
      </w:r>
    </w:p>
    <w:p w14:paraId="0BFE477A">
      <w:pPr>
        <w:pStyle w:val="175"/>
      </w:pPr>
      <w:r>
        <w:rPr>
          <w:rFonts w:hint="eastAsia"/>
        </w:rPr>
        <w:t>相邻路段间运行速度差应小于20km/h。</w:t>
      </w:r>
    </w:p>
    <w:p w14:paraId="3508DAF4">
      <w:pPr>
        <w:pStyle w:val="180"/>
      </w:pPr>
      <w:r>
        <w:t>现行公路工程技术标准JTG B01-201“3.5.2”中，规定同一路段运行速度与设计速度之差宜小于20km/h，设计人员在具体掌握时，通常未严格执行该规定，导致运行速度普遍高于设计速度，有些甚至高出较多，反映出设计对线形指标的掌握普遍偏高。在地形地质条件较好或经济发达地区，项目经济性对采用较高线形指标的设计方法不太敏感，但在地形地质条件复杂、交通量较小、经济欠发达地区就较为敏感。综合高速公路功能、经济敏感性、设计习惯等，要求高原山区小交通量高速公路设计时，应同步采用运行速度进行检验。</w:t>
      </w:r>
    </w:p>
    <w:p w14:paraId="56A0F8DB">
      <w:pPr>
        <w:pStyle w:val="106"/>
        <w:spacing w:before="156" w:after="156"/>
        <w:rPr>
          <w:rStyle w:val="231"/>
          <w:rFonts w:hint="eastAsia"/>
          <w:color w:val="000000"/>
          <w:sz w:val="21"/>
          <w:szCs w:val="44"/>
        </w:rPr>
      </w:pPr>
      <w:bookmarkStart w:id="211" w:name="_Toc137384202"/>
      <w:bookmarkStart w:id="212" w:name="_Toc138922882"/>
      <w:bookmarkStart w:id="213" w:name="_Toc14517"/>
      <w:r>
        <w:rPr>
          <w:rStyle w:val="231"/>
          <w:rFonts w:hint="eastAsia"/>
          <w:color w:val="000000"/>
          <w:sz w:val="21"/>
          <w:szCs w:val="44"/>
        </w:rPr>
        <w:t>路幅宽度</w:t>
      </w:r>
      <w:bookmarkEnd w:id="211"/>
      <w:bookmarkEnd w:id="212"/>
      <w:bookmarkEnd w:id="213"/>
    </w:p>
    <w:p w14:paraId="7877DD05">
      <w:pPr>
        <w:pStyle w:val="166"/>
      </w:pPr>
      <w:r>
        <w:rPr>
          <w:rFonts w:hint="eastAsia"/>
        </w:rPr>
        <w:t>高原山区小交通量高速公路路基标准横断面分为整体式和分离式两种。整体式路基由车道、中间带、路肩等部分组成；分离式路基由车道、路肩等部分组成。</w:t>
      </w:r>
    </w:p>
    <w:p w14:paraId="29670580">
      <w:pPr>
        <w:pStyle w:val="166"/>
      </w:pPr>
      <w:r>
        <w:rPr>
          <w:rFonts w:hint="eastAsia"/>
        </w:rPr>
        <w:t>高原山区小交通量高速公路车道宽度应符合表2的规定。</w:t>
      </w:r>
    </w:p>
    <w:p w14:paraId="79D8C499">
      <w:pPr>
        <w:pStyle w:val="113"/>
        <w:spacing w:before="156" w:after="156"/>
      </w:pPr>
      <w:r>
        <w:rPr>
          <w:rFonts w:hint="eastAsia"/>
        </w:rPr>
        <w:t>车道宽度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110"/>
        <w:gridCol w:w="3112"/>
        <w:gridCol w:w="3112"/>
      </w:tblGrid>
      <w:tr w14:paraId="08749A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0" w:type="dxa"/>
            <w:tcBorders>
              <w:top w:val="single" w:color="auto" w:sz="8" w:space="0"/>
              <w:bottom w:val="single" w:color="auto" w:sz="8" w:space="0"/>
            </w:tcBorders>
            <w:shd w:val="clear" w:color="auto" w:fill="auto"/>
            <w:vAlign w:val="center"/>
          </w:tcPr>
          <w:p w14:paraId="5C9B9A72">
            <w:pPr>
              <w:pStyle w:val="179"/>
            </w:pPr>
            <w:r>
              <w:rPr>
                <w:rFonts w:hint="eastAsia"/>
              </w:rPr>
              <w:t>设计速度</w:t>
            </w:r>
            <w:r>
              <w:t>（</w:t>
            </w:r>
            <w:bookmarkStart w:id="214" w:name="_Hlk146122096"/>
            <w:r>
              <w:t>km/h</w:t>
            </w:r>
            <w:bookmarkEnd w:id="214"/>
            <w:r>
              <w:t>）</w:t>
            </w:r>
          </w:p>
        </w:tc>
        <w:tc>
          <w:tcPr>
            <w:tcW w:w="3112" w:type="dxa"/>
            <w:tcBorders>
              <w:top w:val="single" w:color="auto" w:sz="8" w:space="0"/>
              <w:bottom w:val="single" w:color="auto" w:sz="8" w:space="0"/>
            </w:tcBorders>
            <w:shd w:val="clear" w:color="auto" w:fill="auto"/>
            <w:vAlign w:val="center"/>
          </w:tcPr>
          <w:p w14:paraId="5880F2DC">
            <w:pPr>
              <w:pStyle w:val="179"/>
            </w:pPr>
            <w:r>
              <w:t>≥100</w:t>
            </w:r>
          </w:p>
        </w:tc>
        <w:tc>
          <w:tcPr>
            <w:tcW w:w="3112" w:type="dxa"/>
            <w:tcBorders>
              <w:top w:val="single" w:color="auto" w:sz="8" w:space="0"/>
              <w:bottom w:val="single" w:color="auto" w:sz="8" w:space="0"/>
            </w:tcBorders>
            <w:shd w:val="clear" w:color="auto" w:fill="auto"/>
            <w:vAlign w:val="center"/>
          </w:tcPr>
          <w:p w14:paraId="65F1CDE4">
            <w:pPr>
              <w:pStyle w:val="179"/>
            </w:pPr>
            <w:r>
              <w:t>80</w:t>
            </w:r>
          </w:p>
        </w:tc>
      </w:tr>
      <w:tr w14:paraId="5644FB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tcBorders>
              <w:top w:val="single" w:color="auto" w:sz="8" w:space="0"/>
            </w:tcBorders>
            <w:shd w:val="clear" w:color="auto" w:fill="auto"/>
            <w:vAlign w:val="center"/>
          </w:tcPr>
          <w:p w14:paraId="7C4D0984">
            <w:pPr>
              <w:pStyle w:val="179"/>
            </w:pPr>
            <w:r>
              <w:rPr>
                <w:rFonts w:hint="eastAsia"/>
              </w:rPr>
              <w:t>车道宽度（m）</w:t>
            </w:r>
          </w:p>
        </w:tc>
        <w:tc>
          <w:tcPr>
            <w:tcW w:w="3112" w:type="dxa"/>
            <w:tcBorders>
              <w:top w:val="single" w:color="auto" w:sz="8" w:space="0"/>
            </w:tcBorders>
            <w:shd w:val="clear" w:color="auto" w:fill="auto"/>
            <w:vAlign w:val="center"/>
          </w:tcPr>
          <w:p w14:paraId="32730F7B">
            <w:pPr>
              <w:pStyle w:val="179"/>
            </w:pPr>
            <w:r>
              <w:rPr>
                <w:rFonts w:hint="eastAsia"/>
              </w:rPr>
              <w:t>3</w:t>
            </w:r>
            <w:r>
              <w:t>.75</w:t>
            </w:r>
          </w:p>
        </w:tc>
        <w:tc>
          <w:tcPr>
            <w:tcW w:w="3112" w:type="dxa"/>
            <w:tcBorders>
              <w:top w:val="single" w:color="auto" w:sz="8" w:space="0"/>
            </w:tcBorders>
            <w:shd w:val="clear" w:color="auto" w:fill="auto"/>
            <w:vAlign w:val="center"/>
          </w:tcPr>
          <w:p w14:paraId="0325A559">
            <w:pPr>
              <w:pStyle w:val="179"/>
            </w:pPr>
            <w:r>
              <w:rPr>
                <w:rFonts w:hint="eastAsia"/>
              </w:rPr>
              <w:t>3</w:t>
            </w:r>
            <w:r>
              <w:t>.50</w:t>
            </w:r>
          </w:p>
        </w:tc>
      </w:tr>
      <w:tr w14:paraId="004898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3"/>
            <w:shd w:val="clear" w:color="auto" w:fill="auto"/>
            <w:vAlign w:val="center"/>
          </w:tcPr>
          <w:p w14:paraId="2568DDF0">
            <w:pPr>
              <w:pStyle w:val="181"/>
              <w:numPr>
                <w:ilvl w:val="0"/>
                <w:numId w:val="33"/>
              </w:numPr>
            </w:pPr>
            <w:r>
              <w:t>以通行中小型客运车辆为主、设计速度为100km/h及以上的公路，车道宽度经论证可部分或全部采用3.50m。</w:t>
            </w:r>
          </w:p>
          <w:p w14:paraId="7DCEC42B">
            <w:pPr>
              <w:pStyle w:val="181"/>
            </w:pPr>
            <w:r>
              <w:t>以通行</w:t>
            </w:r>
            <w:bookmarkStart w:id="215" w:name="_Hlk147736910"/>
            <w:r>
              <w:t>大型车辆</w:t>
            </w:r>
            <w:bookmarkEnd w:id="215"/>
            <w:r>
              <w:t>为主、设计速度为80km/h的公路，车道宽度可部分或全部采用3.75m。通行大型车辆为主是指总质量大于或等于25t的车辆自然数所占比例大于 20% 或载质量大于 20t 的货车和 19 座以上的客车车辆自然数之和所占比例大于 20%</w:t>
            </w:r>
          </w:p>
        </w:tc>
      </w:tr>
    </w:tbl>
    <w:p w14:paraId="7181DF42">
      <w:pPr>
        <w:pStyle w:val="166"/>
      </w:pPr>
      <w:r>
        <w:rPr>
          <w:rFonts w:hint="eastAsia"/>
        </w:rPr>
        <w:t>整体式高原山区小交通量高速公路必须设置中间带，中间带由两条左侧路缘带和中央分隔带组成，左侧路缘带宽度不应小于表3的规定。</w:t>
      </w:r>
    </w:p>
    <w:p w14:paraId="72C03BD8">
      <w:pPr>
        <w:pStyle w:val="113"/>
        <w:spacing w:before="156" w:after="156"/>
      </w:pPr>
      <w:r>
        <w:rPr>
          <w:rFonts w:hint="eastAsia"/>
        </w:rPr>
        <w:t>左侧路缘带宽度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2333"/>
        <w:gridCol w:w="2333"/>
        <w:gridCol w:w="2334"/>
      </w:tblGrid>
      <w:tr w14:paraId="0AD686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4667" w:type="dxa"/>
            <w:gridSpan w:val="2"/>
            <w:tcBorders>
              <w:top w:val="single" w:color="auto" w:sz="8" w:space="0"/>
              <w:bottom w:val="single" w:color="auto" w:sz="8" w:space="0"/>
            </w:tcBorders>
            <w:shd w:val="clear" w:color="auto" w:fill="auto"/>
            <w:vAlign w:val="center"/>
          </w:tcPr>
          <w:p w14:paraId="3181634D">
            <w:pPr>
              <w:pStyle w:val="179"/>
            </w:pPr>
            <w:r>
              <w:rPr>
                <w:rFonts w:hint="eastAsia"/>
              </w:rPr>
              <w:t>设计速度</w:t>
            </w:r>
            <w:r>
              <w:t>（km/h）</w:t>
            </w:r>
          </w:p>
        </w:tc>
        <w:tc>
          <w:tcPr>
            <w:tcW w:w="2333" w:type="dxa"/>
            <w:tcBorders>
              <w:top w:val="single" w:color="auto" w:sz="8" w:space="0"/>
              <w:bottom w:val="single" w:color="auto" w:sz="8" w:space="0"/>
            </w:tcBorders>
            <w:shd w:val="clear" w:color="auto" w:fill="auto"/>
            <w:vAlign w:val="center"/>
          </w:tcPr>
          <w:p w14:paraId="4BCB5707">
            <w:pPr>
              <w:pStyle w:val="179"/>
            </w:pPr>
            <w:r>
              <w:t>≥100</w:t>
            </w:r>
          </w:p>
        </w:tc>
        <w:tc>
          <w:tcPr>
            <w:tcW w:w="2334" w:type="dxa"/>
            <w:tcBorders>
              <w:top w:val="single" w:color="auto" w:sz="8" w:space="0"/>
              <w:bottom w:val="single" w:color="auto" w:sz="8" w:space="0"/>
            </w:tcBorders>
            <w:shd w:val="clear" w:color="auto" w:fill="auto"/>
            <w:vAlign w:val="center"/>
          </w:tcPr>
          <w:p w14:paraId="52D685C4">
            <w:pPr>
              <w:pStyle w:val="179"/>
            </w:pPr>
            <w:r>
              <w:t>80</w:t>
            </w:r>
          </w:p>
        </w:tc>
      </w:tr>
      <w:tr w14:paraId="57DA12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restart"/>
            <w:tcBorders>
              <w:top w:val="single" w:color="auto" w:sz="8" w:space="0"/>
            </w:tcBorders>
            <w:shd w:val="clear" w:color="auto" w:fill="auto"/>
            <w:vAlign w:val="center"/>
          </w:tcPr>
          <w:p w14:paraId="62F93F7C">
            <w:pPr>
              <w:pStyle w:val="179"/>
            </w:pPr>
            <w:r>
              <w:rPr>
                <w:rFonts w:hint="eastAsia"/>
              </w:rPr>
              <w:t>左侧路缘带宽度（m）</w:t>
            </w:r>
          </w:p>
        </w:tc>
        <w:tc>
          <w:tcPr>
            <w:tcW w:w="2333" w:type="dxa"/>
            <w:tcBorders>
              <w:top w:val="single" w:color="auto" w:sz="8" w:space="0"/>
            </w:tcBorders>
            <w:shd w:val="clear" w:color="auto" w:fill="auto"/>
            <w:vAlign w:val="center"/>
          </w:tcPr>
          <w:p w14:paraId="0F05716F">
            <w:pPr>
              <w:pStyle w:val="179"/>
            </w:pPr>
            <w:r>
              <w:rPr>
                <w:rFonts w:hint="eastAsia"/>
              </w:rPr>
              <w:t>一般值</w:t>
            </w:r>
          </w:p>
        </w:tc>
        <w:tc>
          <w:tcPr>
            <w:tcW w:w="2333" w:type="dxa"/>
            <w:tcBorders>
              <w:top w:val="single" w:color="auto" w:sz="8" w:space="0"/>
            </w:tcBorders>
            <w:shd w:val="clear" w:color="auto" w:fill="auto"/>
            <w:vAlign w:val="center"/>
          </w:tcPr>
          <w:p w14:paraId="5EDD6CB0">
            <w:pPr>
              <w:pStyle w:val="179"/>
            </w:pPr>
            <w:r>
              <w:t>0.75</w:t>
            </w:r>
          </w:p>
        </w:tc>
        <w:tc>
          <w:tcPr>
            <w:tcW w:w="2334" w:type="dxa"/>
            <w:tcBorders>
              <w:top w:val="single" w:color="auto" w:sz="8" w:space="0"/>
            </w:tcBorders>
            <w:shd w:val="clear" w:color="auto" w:fill="auto"/>
            <w:vAlign w:val="center"/>
          </w:tcPr>
          <w:p w14:paraId="6F9F9312">
            <w:pPr>
              <w:pStyle w:val="179"/>
            </w:pPr>
            <w:r>
              <w:t>0.50</w:t>
            </w:r>
          </w:p>
        </w:tc>
      </w:tr>
      <w:tr w14:paraId="69CC8C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continue"/>
            <w:shd w:val="clear" w:color="auto" w:fill="auto"/>
            <w:vAlign w:val="center"/>
          </w:tcPr>
          <w:p w14:paraId="6400AC71">
            <w:pPr>
              <w:pStyle w:val="179"/>
            </w:pPr>
          </w:p>
        </w:tc>
        <w:tc>
          <w:tcPr>
            <w:tcW w:w="2333" w:type="dxa"/>
            <w:shd w:val="clear" w:color="auto" w:fill="auto"/>
            <w:vAlign w:val="center"/>
          </w:tcPr>
          <w:p w14:paraId="08E45FA5">
            <w:pPr>
              <w:pStyle w:val="179"/>
            </w:pPr>
            <w:r>
              <w:rPr>
                <w:rFonts w:hint="eastAsia"/>
              </w:rPr>
              <w:t>极限值</w:t>
            </w:r>
          </w:p>
        </w:tc>
        <w:tc>
          <w:tcPr>
            <w:tcW w:w="2333" w:type="dxa"/>
            <w:shd w:val="clear" w:color="auto" w:fill="auto"/>
            <w:vAlign w:val="center"/>
          </w:tcPr>
          <w:p w14:paraId="3C35E255">
            <w:pPr>
              <w:pStyle w:val="179"/>
            </w:pPr>
            <w:r>
              <w:t>0.50</w:t>
            </w:r>
          </w:p>
        </w:tc>
        <w:tc>
          <w:tcPr>
            <w:tcW w:w="2334" w:type="dxa"/>
            <w:shd w:val="clear" w:color="auto" w:fill="auto"/>
            <w:vAlign w:val="center"/>
          </w:tcPr>
          <w:p w14:paraId="7A38A2DA">
            <w:pPr>
              <w:pStyle w:val="179"/>
            </w:pPr>
            <w:r>
              <w:t>0.50</w:t>
            </w:r>
          </w:p>
        </w:tc>
      </w:tr>
      <w:tr w14:paraId="2F2BC5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4"/>
            <w:shd w:val="clear" w:color="auto" w:fill="auto"/>
            <w:vAlign w:val="center"/>
          </w:tcPr>
          <w:p w14:paraId="2C14A5DC">
            <w:pPr>
              <w:pStyle w:val="180"/>
            </w:pPr>
            <w:r>
              <w:t>一般情况下推荐采用一般值；受地形、地物限制或内侧仅限小型车通行的路段，可采用极限值。</w:t>
            </w:r>
          </w:p>
        </w:tc>
      </w:tr>
    </w:tbl>
    <w:p w14:paraId="7BEE5449">
      <w:pPr>
        <w:pStyle w:val="166"/>
      </w:pPr>
      <w:r>
        <w:rPr>
          <w:rFonts w:hint="eastAsia"/>
        </w:rPr>
        <w:t>高原山区小交通量高速公路路肩宽度应符合下列规定。</w:t>
      </w:r>
    </w:p>
    <w:p w14:paraId="01245D46">
      <w:pPr>
        <w:pStyle w:val="175"/>
        <w:numPr>
          <w:ilvl w:val="0"/>
          <w:numId w:val="34"/>
        </w:numPr>
      </w:pPr>
      <w:r>
        <w:t>应在</w:t>
      </w:r>
      <w:r>
        <w:rPr>
          <w:rFonts w:hint="eastAsia" w:ascii="Times New Roman"/>
        </w:rPr>
        <w:t>右侧</w:t>
      </w:r>
      <w:r>
        <w:t>设置路肩</w:t>
      </w:r>
      <w:r>
        <w:rPr>
          <w:rFonts w:hint="eastAsia"/>
        </w:rPr>
        <w:t>，右侧</w:t>
      </w:r>
      <w:r>
        <w:t>路肩宽度</w:t>
      </w:r>
      <w:r>
        <w:rPr>
          <w:rFonts w:hint="eastAsia"/>
        </w:rPr>
        <w:t>不应小于表4</w:t>
      </w:r>
      <w:r>
        <w:t>的规定。</w:t>
      </w:r>
    </w:p>
    <w:p w14:paraId="0478CA97">
      <w:pPr>
        <w:pStyle w:val="175"/>
      </w:pPr>
      <w:r>
        <w:t>应在右侧硬路肩宽度内设置右侧路缘带，宽度为</w:t>
      </w:r>
      <w:r>
        <w:rPr>
          <w:rFonts w:hint="eastAsia"/>
        </w:rPr>
        <w:t>0</w:t>
      </w:r>
      <w:r>
        <w:t>.50m。</w:t>
      </w:r>
    </w:p>
    <w:p w14:paraId="2900C159">
      <w:pPr>
        <w:pStyle w:val="175"/>
      </w:pPr>
      <w:r>
        <w:t>采用</w:t>
      </w:r>
      <w:r>
        <w:rPr>
          <w:rFonts w:hint="eastAsia" w:ascii="Times New Roman"/>
        </w:rPr>
        <w:t>分离式</w:t>
      </w:r>
      <w:r>
        <w:t>断面时，应设置左侧</w:t>
      </w:r>
      <w:r>
        <w:rPr>
          <w:rFonts w:hint="eastAsia"/>
        </w:rPr>
        <w:t>硬</w:t>
      </w:r>
      <w:r>
        <w:t>路肩，左侧硬路肩宽度包含左侧路缘带宽度</w:t>
      </w:r>
      <w:r>
        <w:rPr>
          <w:rFonts w:hint="eastAsia"/>
        </w:rPr>
        <w:t>，</w:t>
      </w:r>
      <w:r>
        <w:t>其宽度不应小于表</w:t>
      </w:r>
      <w:r>
        <w:rPr>
          <w:rFonts w:hint="eastAsia"/>
        </w:rPr>
        <w:t>5</w:t>
      </w:r>
      <w:r>
        <w:t>的规定。</w:t>
      </w:r>
    </w:p>
    <w:p w14:paraId="1559B91C">
      <w:pPr>
        <w:pStyle w:val="175"/>
      </w:pPr>
      <w:r>
        <w:rPr>
          <w:rFonts w:hint="eastAsia" w:ascii="Times New Roman"/>
        </w:rPr>
        <w:t>土路</w:t>
      </w:r>
      <w:r>
        <w:rPr>
          <w:rFonts w:hint="eastAsia"/>
        </w:rPr>
        <w:t>肩</w:t>
      </w:r>
      <w:r>
        <w:t>应满足标志和防护设施的设置要求，必要时进行局部加宽处理</w:t>
      </w:r>
      <w:r>
        <w:rPr>
          <w:rFonts w:hint="eastAsia"/>
        </w:rPr>
        <w:t>。</w:t>
      </w:r>
    </w:p>
    <w:p w14:paraId="7C09C038">
      <w:pPr>
        <w:pStyle w:val="113"/>
        <w:spacing w:before="156" w:after="156"/>
      </w:pPr>
      <w:r>
        <w:rPr>
          <w:rFonts w:hint="eastAsia"/>
        </w:rPr>
        <w:t>右侧路肩宽度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2333"/>
        <w:gridCol w:w="2333"/>
        <w:gridCol w:w="2334"/>
      </w:tblGrid>
      <w:tr w14:paraId="67E888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4667" w:type="dxa"/>
            <w:gridSpan w:val="2"/>
            <w:tcBorders>
              <w:top w:val="single" w:color="auto" w:sz="8" w:space="0"/>
              <w:bottom w:val="single" w:color="auto" w:sz="8" w:space="0"/>
            </w:tcBorders>
            <w:shd w:val="clear" w:color="auto" w:fill="auto"/>
            <w:vAlign w:val="center"/>
          </w:tcPr>
          <w:p w14:paraId="1D20290B">
            <w:pPr>
              <w:pStyle w:val="179"/>
            </w:pPr>
            <w:r>
              <w:rPr>
                <w:rFonts w:hint="eastAsia"/>
              </w:rPr>
              <w:t>设计速度</w:t>
            </w:r>
            <w:r>
              <w:t>（km/h）</w:t>
            </w:r>
          </w:p>
        </w:tc>
        <w:tc>
          <w:tcPr>
            <w:tcW w:w="2333" w:type="dxa"/>
            <w:tcBorders>
              <w:top w:val="single" w:color="auto" w:sz="8" w:space="0"/>
              <w:bottom w:val="single" w:color="auto" w:sz="8" w:space="0"/>
            </w:tcBorders>
            <w:shd w:val="clear" w:color="auto" w:fill="auto"/>
            <w:vAlign w:val="center"/>
          </w:tcPr>
          <w:p w14:paraId="75D358D8">
            <w:pPr>
              <w:pStyle w:val="179"/>
            </w:pPr>
            <w:r>
              <w:t>≥100</w:t>
            </w:r>
          </w:p>
        </w:tc>
        <w:tc>
          <w:tcPr>
            <w:tcW w:w="2334" w:type="dxa"/>
            <w:tcBorders>
              <w:top w:val="single" w:color="auto" w:sz="8" w:space="0"/>
              <w:bottom w:val="single" w:color="auto" w:sz="8" w:space="0"/>
            </w:tcBorders>
            <w:shd w:val="clear" w:color="auto" w:fill="auto"/>
            <w:vAlign w:val="center"/>
          </w:tcPr>
          <w:p w14:paraId="48044C1B">
            <w:pPr>
              <w:pStyle w:val="179"/>
            </w:pPr>
            <w:r>
              <w:t>80</w:t>
            </w:r>
          </w:p>
        </w:tc>
      </w:tr>
      <w:tr w14:paraId="1865EF1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restart"/>
            <w:tcBorders>
              <w:top w:val="single" w:color="auto" w:sz="8" w:space="0"/>
            </w:tcBorders>
            <w:shd w:val="clear" w:color="auto" w:fill="auto"/>
            <w:vAlign w:val="center"/>
          </w:tcPr>
          <w:p w14:paraId="5ECB0314">
            <w:pPr>
              <w:pStyle w:val="179"/>
            </w:pPr>
            <w:r>
              <w:rPr>
                <w:rFonts w:hint="eastAsia"/>
              </w:rPr>
              <w:t>右侧硬路肩（m）</w:t>
            </w:r>
          </w:p>
        </w:tc>
        <w:tc>
          <w:tcPr>
            <w:tcW w:w="2333" w:type="dxa"/>
            <w:tcBorders>
              <w:top w:val="single" w:color="auto" w:sz="8" w:space="0"/>
            </w:tcBorders>
            <w:shd w:val="clear" w:color="auto" w:fill="auto"/>
            <w:vAlign w:val="center"/>
          </w:tcPr>
          <w:p w14:paraId="2D41F427">
            <w:pPr>
              <w:pStyle w:val="179"/>
            </w:pPr>
            <w:r>
              <w:rPr>
                <w:rFonts w:hint="eastAsia"/>
              </w:rPr>
              <w:t>一般值</w:t>
            </w:r>
          </w:p>
        </w:tc>
        <w:tc>
          <w:tcPr>
            <w:tcW w:w="2333" w:type="dxa"/>
            <w:tcBorders>
              <w:top w:val="single" w:color="auto" w:sz="8" w:space="0"/>
            </w:tcBorders>
            <w:shd w:val="clear" w:color="auto" w:fill="auto"/>
            <w:vAlign w:val="center"/>
          </w:tcPr>
          <w:p w14:paraId="5640467F">
            <w:pPr>
              <w:pStyle w:val="179"/>
            </w:pPr>
            <w:r>
              <w:t>2.50</w:t>
            </w:r>
          </w:p>
        </w:tc>
        <w:tc>
          <w:tcPr>
            <w:tcW w:w="2334" w:type="dxa"/>
            <w:tcBorders>
              <w:top w:val="single" w:color="auto" w:sz="8" w:space="0"/>
            </w:tcBorders>
            <w:shd w:val="clear" w:color="auto" w:fill="auto"/>
            <w:vAlign w:val="center"/>
          </w:tcPr>
          <w:p w14:paraId="7ADD572A">
            <w:pPr>
              <w:pStyle w:val="179"/>
            </w:pPr>
            <w:r>
              <w:t>1.25</w:t>
            </w:r>
          </w:p>
        </w:tc>
      </w:tr>
      <w:tr w14:paraId="7656CC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continue"/>
            <w:shd w:val="clear" w:color="auto" w:fill="auto"/>
            <w:vAlign w:val="center"/>
          </w:tcPr>
          <w:p w14:paraId="19919FD2">
            <w:pPr>
              <w:pStyle w:val="179"/>
            </w:pPr>
          </w:p>
        </w:tc>
        <w:tc>
          <w:tcPr>
            <w:tcW w:w="2333" w:type="dxa"/>
            <w:shd w:val="clear" w:color="auto" w:fill="auto"/>
            <w:vAlign w:val="center"/>
          </w:tcPr>
          <w:p w14:paraId="02ACEEB2">
            <w:pPr>
              <w:pStyle w:val="179"/>
            </w:pPr>
            <w:r>
              <w:rPr>
                <w:rFonts w:hint="eastAsia"/>
              </w:rPr>
              <w:t>极限值</w:t>
            </w:r>
          </w:p>
        </w:tc>
        <w:tc>
          <w:tcPr>
            <w:tcW w:w="2333" w:type="dxa"/>
            <w:shd w:val="clear" w:color="auto" w:fill="auto"/>
            <w:vAlign w:val="center"/>
          </w:tcPr>
          <w:p w14:paraId="3F4DC701">
            <w:pPr>
              <w:pStyle w:val="179"/>
            </w:pPr>
            <w:r>
              <w:t>1.50</w:t>
            </w:r>
          </w:p>
        </w:tc>
        <w:tc>
          <w:tcPr>
            <w:tcW w:w="2334" w:type="dxa"/>
            <w:shd w:val="clear" w:color="auto" w:fill="auto"/>
            <w:vAlign w:val="center"/>
          </w:tcPr>
          <w:p w14:paraId="25D84EE1">
            <w:pPr>
              <w:pStyle w:val="179"/>
            </w:pPr>
            <w:r>
              <w:t>-</w:t>
            </w:r>
          </w:p>
        </w:tc>
      </w:tr>
      <w:tr w14:paraId="4BEA22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restart"/>
            <w:shd w:val="clear" w:color="auto" w:fill="auto"/>
            <w:vAlign w:val="center"/>
          </w:tcPr>
          <w:p w14:paraId="7AE5B9A3">
            <w:pPr>
              <w:pStyle w:val="179"/>
            </w:pPr>
            <w:r>
              <w:rPr>
                <w:rFonts w:hint="eastAsia"/>
              </w:rPr>
              <w:t>右侧土路肩（m）</w:t>
            </w:r>
          </w:p>
        </w:tc>
        <w:tc>
          <w:tcPr>
            <w:tcW w:w="2333" w:type="dxa"/>
            <w:shd w:val="clear" w:color="auto" w:fill="auto"/>
            <w:vAlign w:val="center"/>
          </w:tcPr>
          <w:p w14:paraId="5A0FAA0F">
            <w:pPr>
              <w:pStyle w:val="179"/>
            </w:pPr>
            <w:r>
              <w:rPr>
                <w:rFonts w:hint="eastAsia"/>
              </w:rPr>
              <w:t>一般值</w:t>
            </w:r>
          </w:p>
        </w:tc>
        <w:tc>
          <w:tcPr>
            <w:tcW w:w="4667" w:type="dxa"/>
            <w:gridSpan w:val="2"/>
            <w:shd w:val="clear" w:color="auto" w:fill="auto"/>
            <w:vAlign w:val="center"/>
          </w:tcPr>
          <w:p w14:paraId="25FBE76E">
            <w:pPr>
              <w:pStyle w:val="179"/>
            </w:pPr>
            <w:r>
              <w:t>0.75</w:t>
            </w:r>
          </w:p>
        </w:tc>
      </w:tr>
      <w:tr w14:paraId="239867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vMerge w:val="continue"/>
            <w:shd w:val="clear" w:color="auto" w:fill="auto"/>
            <w:vAlign w:val="center"/>
          </w:tcPr>
          <w:p w14:paraId="703E5E43">
            <w:pPr>
              <w:pStyle w:val="179"/>
            </w:pPr>
          </w:p>
        </w:tc>
        <w:tc>
          <w:tcPr>
            <w:tcW w:w="2333" w:type="dxa"/>
            <w:shd w:val="clear" w:color="auto" w:fill="auto"/>
            <w:vAlign w:val="center"/>
          </w:tcPr>
          <w:p w14:paraId="23B314E5">
            <w:pPr>
              <w:pStyle w:val="179"/>
            </w:pPr>
            <w:r>
              <w:rPr>
                <w:rFonts w:hint="eastAsia"/>
              </w:rPr>
              <w:t>极限值</w:t>
            </w:r>
          </w:p>
        </w:tc>
        <w:tc>
          <w:tcPr>
            <w:tcW w:w="4667" w:type="dxa"/>
            <w:gridSpan w:val="2"/>
            <w:shd w:val="clear" w:color="auto" w:fill="auto"/>
            <w:vAlign w:val="center"/>
          </w:tcPr>
          <w:p w14:paraId="2835660A">
            <w:pPr>
              <w:pStyle w:val="179"/>
            </w:pPr>
            <w:r>
              <w:rPr>
                <w:rFonts w:hint="eastAsia"/>
              </w:rPr>
              <w:t>0</w:t>
            </w:r>
            <w:r>
              <w:t>.50</w:t>
            </w:r>
          </w:p>
        </w:tc>
      </w:tr>
      <w:tr w14:paraId="35C90E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4"/>
            <w:shd w:val="clear" w:color="auto" w:fill="auto"/>
            <w:vAlign w:val="center"/>
          </w:tcPr>
          <w:p w14:paraId="28B7FF47">
            <w:pPr>
              <w:pStyle w:val="180"/>
            </w:pPr>
            <w:r>
              <w:t>一般情况下推荐采用一般值；交通量较小，且受地形、地物限制的路段，可采用极限值。</w:t>
            </w:r>
          </w:p>
        </w:tc>
      </w:tr>
    </w:tbl>
    <w:p w14:paraId="31BF7187">
      <w:pPr>
        <w:pStyle w:val="175"/>
        <w:numPr>
          <w:ilvl w:val="0"/>
          <w:numId w:val="0"/>
        </w:numPr>
        <w:rPr>
          <w:rFonts w:hint="eastAsia"/>
        </w:rPr>
      </w:pPr>
    </w:p>
    <w:p w14:paraId="71C444D1">
      <w:pPr>
        <w:pStyle w:val="113"/>
        <w:spacing w:before="156" w:after="156"/>
      </w:pPr>
      <w:r>
        <w:rPr>
          <w:rFonts w:hint="eastAsia"/>
        </w:rPr>
        <w:t>分离式断面左侧路肩宽度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2D637F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733" w:type="dxa"/>
            <w:gridSpan w:val="2"/>
            <w:tcBorders>
              <w:top w:val="single" w:color="auto" w:sz="8" w:space="0"/>
              <w:bottom w:val="single" w:color="auto" w:sz="8" w:space="0"/>
            </w:tcBorders>
            <w:shd w:val="clear" w:color="auto" w:fill="auto"/>
            <w:vAlign w:val="center"/>
          </w:tcPr>
          <w:p w14:paraId="21A87FE2">
            <w:pPr>
              <w:pStyle w:val="179"/>
            </w:pPr>
            <w:r>
              <w:rPr>
                <w:rFonts w:hint="eastAsia"/>
              </w:rPr>
              <w:t>设计速度</w:t>
            </w:r>
            <w:r>
              <w:t>（km/h）</w:t>
            </w:r>
          </w:p>
        </w:tc>
        <w:tc>
          <w:tcPr>
            <w:tcW w:w="1867" w:type="dxa"/>
            <w:tcBorders>
              <w:top w:val="single" w:color="auto" w:sz="8" w:space="0"/>
              <w:bottom w:val="single" w:color="auto" w:sz="8" w:space="0"/>
            </w:tcBorders>
            <w:shd w:val="clear" w:color="auto" w:fill="auto"/>
            <w:vAlign w:val="center"/>
          </w:tcPr>
          <w:p w14:paraId="583EBF5E">
            <w:pPr>
              <w:pStyle w:val="179"/>
            </w:pPr>
            <w:r>
              <w:rPr>
                <w:rFonts w:hint="eastAsia"/>
              </w:rPr>
              <w:t>1</w:t>
            </w:r>
            <w:r>
              <w:t>20</w:t>
            </w:r>
          </w:p>
        </w:tc>
        <w:tc>
          <w:tcPr>
            <w:tcW w:w="1867" w:type="dxa"/>
            <w:tcBorders>
              <w:top w:val="single" w:color="auto" w:sz="8" w:space="0"/>
              <w:bottom w:val="single" w:color="auto" w:sz="8" w:space="0"/>
            </w:tcBorders>
            <w:shd w:val="clear" w:color="auto" w:fill="auto"/>
            <w:vAlign w:val="center"/>
          </w:tcPr>
          <w:p w14:paraId="7A4050D0">
            <w:pPr>
              <w:pStyle w:val="179"/>
            </w:pPr>
            <w:r>
              <w:t>100</w:t>
            </w:r>
          </w:p>
        </w:tc>
        <w:tc>
          <w:tcPr>
            <w:tcW w:w="1867" w:type="dxa"/>
            <w:tcBorders>
              <w:top w:val="single" w:color="auto" w:sz="8" w:space="0"/>
              <w:bottom w:val="single" w:color="auto" w:sz="8" w:space="0"/>
            </w:tcBorders>
            <w:shd w:val="clear" w:color="auto" w:fill="auto"/>
            <w:vAlign w:val="center"/>
          </w:tcPr>
          <w:p w14:paraId="10692956">
            <w:pPr>
              <w:pStyle w:val="179"/>
            </w:pPr>
            <w:r>
              <w:t>80</w:t>
            </w:r>
          </w:p>
        </w:tc>
      </w:tr>
      <w:tr w14:paraId="4C0825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5D294C88">
            <w:pPr>
              <w:pStyle w:val="179"/>
            </w:pPr>
            <w:r>
              <w:rPr>
                <w:rFonts w:hint="eastAsia"/>
              </w:rPr>
              <w:t>左侧硬路肩（m）</w:t>
            </w:r>
          </w:p>
        </w:tc>
        <w:tc>
          <w:tcPr>
            <w:tcW w:w="1867" w:type="dxa"/>
            <w:tcBorders>
              <w:top w:val="single" w:color="auto" w:sz="8" w:space="0"/>
            </w:tcBorders>
            <w:shd w:val="clear" w:color="auto" w:fill="auto"/>
            <w:vAlign w:val="center"/>
          </w:tcPr>
          <w:p w14:paraId="1469DE71">
            <w:pPr>
              <w:pStyle w:val="179"/>
            </w:pPr>
            <w:r>
              <w:rPr>
                <w:rFonts w:hint="eastAsia"/>
              </w:rPr>
              <w:t>一般值</w:t>
            </w:r>
          </w:p>
        </w:tc>
        <w:tc>
          <w:tcPr>
            <w:tcW w:w="1867" w:type="dxa"/>
            <w:tcBorders>
              <w:top w:val="single" w:color="auto" w:sz="8" w:space="0"/>
            </w:tcBorders>
            <w:shd w:val="clear" w:color="auto" w:fill="auto"/>
            <w:vAlign w:val="center"/>
          </w:tcPr>
          <w:p w14:paraId="3C875125">
            <w:pPr>
              <w:pStyle w:val="179"/>
            </w:pPr>
            <w:r>
              <w:rPr>
                <w:rFonts w:hint="eastAsia"/>
              </w:rPr>
              <w:t>1</w:t>
            </w:r>
            <w:r>
              <w:t>.25</w:t>
            </w:r>
          </w:p>
        </w:tc>
        <w:tc>
          <w:tcPr>
            <w:tcW w:w="1867" w:type="dxa"/>
            <w:tcBorders>
              <w:top w:val="single" w:color="auto" w:sz="8" w:space="0"/>
            </w:tcBorders>
            <w:shd w:val="clear" w:color="auto" w:fill="auto"/>
            <w:vAlign w:val="center"/>
          </w:tcPr>
          <w:p w14:paraId="2E40C5D8">
            <w:pPr>
              <w:pStyle w:val="179"/>
            </w:pPr>
            <w:r>
              <w:t>1.00</w:t>
            </w:r>
          </w:p>
        </w:tc>
        <w:tc>
          <w:tcPr>
            <w:tcW w:w="1867" w:type="dxa"/>
            <w:tcBorders>
              <w:top w:val="single" w:color="auto" w:sz="8" w:space="0"/>
            </w:tcBorders>
            <w:shd w:val="clear" w:color="auto" w:fill="auto"/>
            <w:vAlign w:val="center"/>
          </w:tcPr>
          <w:p w14:paraId="05F2BB4D">
            <w:pPr>
              <w:pStyle w:val="179"/>
            </w:pPr>
            <w:r>
              <w:t>0.75</w:t>
            </w:r>
          </w:p>
        </w:tc>
      </w:tr>
      <w:tr w14:paraId="405311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6F959558">
            <w:pPr>
              <w:pStyle w:val="179"/>
            </w:pPr>
            <w:r>
              <w:rPr>
                <w:rFonts w:hint="eastAsia"/>
              </w:rPr>
              <w:t>左侧土路肩（m）</w:t>
            </w:r>
          </w:p>
        </w:tc>
        <w:tc>
          <w:tcPr>
            <w:tcW w:w="1867" w:type="dxa"/>
            <w:shd w:val="clear" w:color="auto" w:fill="auto"/>
            <w:vAlign w:val="center"/>
          </w:tcPr>
          <w:p w14:paraId="588F4C3A">
            <w:pPr>
              <w:pStyle w:val="179"/>
            </w:pPr>
            <w:r>
              <w:rPr>
                <w:rFonts w:hint="eastAsia"/>
              </w:rPr>
              <w:t>一般值</w:t>
            </w:r>
          </w:p>
        </w:tc>
        <w:tc>
          <w:tcPr>
            <w:tcW w:w="5601" w:type="dxa"/>
            <w:gridSpan w:val="3"/>
            <w:shd w:val="clear" w:color="auto" w:fill="auto"/>
            <w:vAlign w:val="center"/>
          </w:tcPr>
          <w:p w14:paraId="1441EDF8">
            <w:pPr>
              <w:pStyle w:val="179"/>
            </w:pPr>
            <w:r>
              <w:t>0.75</w:t>
            </w:r>
          </w:p>
        </w:tc>
      </w:tr>
      <w:tr w14:paraId="683733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4DD20248">
            <w:pPr>
              <w:pStyle w:val="179"/>
            </w:pPr>
          </w:p>
        </w:tc>
        <w:tc>
          <w:tcPr>
            <w:tcW w:w="1867" w:type="dxa"/>
            <w:shd w:val="clear" w:color="auto" w:fill="auto"/>
            <w:vAlign w:val="center"/>
          </w:tcPr>
          <w:p w14:paraId="0CAE6E42">
            <w:pPr>
              <w:pStyle w:val="179"/>
            </w:pPr>
            <w:r>
              <w:rPr>
                <w:rFonts w:hint="eastAsia"/>
              </w:rPr>
              <w:t>极限值</w:t>
            </w:r>
          </w:p>
        </w:tc>
        <w:tc>
          <w:tcPr>
            <w:tcW w:w="5601" w:type="dxa"/>
            <w:gridSpan w:val="3"/>
            <w:shd w:val="clear" w:color="auto" w:fill="auto"/>
            <w:vAlign w:val="center"/>
          </w:tcPr>
          <w:p w14:paraId="07E14596">
            <w:pPr>
              <w:pStyle w:val="179"/>
            </w:pPr>
            <w:r>
              <w:rPr>
                <w:rFonts w:hint="eastAsia"/>
              </w:rPr>
              <w:t>0</w:t>
            </w:r>
            <w:r>
              <w:t>.50</w:t>
            </w:r>
          </w:p>
        </w:tc>
      </w:tr>
      <w:tr w14:paraId="5495C1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5"/>
            <w:shd w:val="clear" w:color="auto" w:fill="auto"/>
            <w:vAlign w:val="center"/>
          </w:tcPr>
          <w:p w14:paraId="1C99D53A">
            <w:pPr>
              <w:pStyle w:val="180"/>
            </w:pPr>
            <w:r>
              <w:t>一般情况下推荐采用一般值；交</w:t>
            </w:r>
            <w:r>
              <w:rPr>
                <w:rFonts w:hAnsi="宋体" w:cs="宋体"/>
                <w:color w:val="000000"/>
              </w:rPr>
              <w:t>通量较小，且受地形、地物限制的路段</w:t>
            </w:r>
            <w:r>
              <w:t>，可采用极限值。</w:t>
            </w:r>
          </w:p>
        </w:tc>
      </w:tr>
    </w:tbl>
    <w:p w14:paraId="113E5506">
      <w:pPr>
        <w:pStyle w:val="166"/>
      </w:pPr>
      <w:r>
        <w:rPr>
          <w:rFonts w:hint="eastAsia"/>
        </w:rPr>
        <w:t>高原山区小交通量高速公路路幅宽度应根据公路的功能、</w:t>
      </w:r>
      <w:r>
        <w:t>技术等级、</w:t>
      </w:r>
      <w:r>
        <w:rPr>
          <w:rFonts w:hint="eastAsia"/>
        </w:rPr>
        <w:t>交通量、交通组成，结合地形、地质、工程经济、沿线土地利用性质等因素综合论证确定，并应符合下列规定。</w:t>
      </w:r>
    </w:p>
    <w:p w14:paraId="1F508CA4">
      <w:pPr>
        <w:pStyle w:val="175"/>
        <w:numPr>
          <w:ilvl w:val="0"/>
          <w:numId w:val="35"/>
        </w:numPr>
      </w:pPr>
      <w:r>
        <w:rPr>
          <w:rFonts w:hint="eastAsia"/>
        </w:rPr>
        <w:t>路幅</w:t>
      </w:r>
      <w:r>
        <w:rPr>
          <w:rFonts w:hint="eastAsia" w:ascii="Times New Roman"/>
        </w:rPr>
        <w:t>宽度</w:t>
      </w:r>
      <w:r>
        <w:rPr>
          <w:rFonts w:hint="eastAsia"/>
        </w:rPr>
        <w:t>不应小于表6的规定，路基和桥梁宜采用相同宽度。</w:t>
      </w:r>
    </w:p>
    <w:p w14:paraId="6427F4B0">
      <w:pPr>
        <w:pStyle w:val="175"/>
      </w:pPr>
      <w:r>
        <w:rPr>
          <w:rFonts w:hint="eastAsia"/>
        </w:rPr>
        <w:t>无滑坡、泥石流、崩塌体等地质灾害威胁的路段，</w:t>
      </w:r>
      <w:r>
        <w:t>桥梁</w:t>
      </w:r>
      <w:r>
        <w:rPr>
          <w:rFonts w:hint="eastAsia"/>
        </w:rPr>
        <w:t>可</w:t>
      </w:r>
      <w:r>
        <w:t>采用与路基同宽的</w:t>
      </w:r>
      <w:r>
        <w:rPr>
          <w:rFonts w:hint="eastAsia"/>
        </w:rPr>
        <w:t>整幅布置</w:t>
      </w:r>
      <w:r>
        <w:t>方案。</w:t>
      </w:r>
    </w:p>
    <w:p w14:paraId="6BE2FC58">
      <w:pPr>
        <w:pStyle w:val="175"/>
      </w:pPr>
      <w:r>
        <w:t>如</w:t>
      </w:r>
      <w:r>
        <w:rPr>
          <w:rFonts w:hint="eastAsia"/>
        </w:rPr>
        <w:t>受地形、造价等因素影响较大，</w:t>
      </w:r>
      <w:r>
        <w:t>可分段论证采用路桥不同宽方案，但路基路段长度应不小于3</w:t>
      </w:r>
      <w:r>
        <w:rPr>
          <w:rFonts w:hint="eastAsia"/>
        </w:rPr>
        <w:t>km。路、桥</w:t>
      </w:r>
      <w:r>
        <w:rPr>
          <w:rFonts w:hint="eastAsia" w:ascii="Times New Roman"/>
        </w:rPr>
        <w:t>不同</w:t>
      </w:r>
      <w:r>
        <w:rPr>
          <w:rFonts w:hint="eastAsia"/>
        </w:rPr>
        <w:t>宽度间应顺适过渡。</w:t>
      </w:r>
    </w:p>
    <w:p w14:paraId="7DF7B832">
      <w:pPr>
        <w:pStyle w:val="175"/>
      </w:pPr>
      <w:r>
        <w:t>采用</w:t>
      </w:r>
      <w:r>
        <w:rPr>
          <w:rFonts w:hint="eastAsia" w:ascii="Times New Roman"/>
        </w:rPr>
        <w:t>60km</w:t>
      </w:r>
      <w:r>
        <w:t>/h</w:t>
      </w:r>
      <w:r>
        <w:rPr>
          <w:rFonts w:hint="eastAsia"/>
        </w:rPr>
        <w:t>设计</w:t>
      </w:r>
      <w:r>
        <w:t>速度的局部特殊路段，路幅宽度宜与前后路段保持一致。</w:t>
      </w:r>
    </w:p>
    <w:p w14:paraId="23625CAA">
      <w:pPr>
        <w:pStyle w:val="180"/>
      </w:pPr>
      <w:r>
        <w:t>桥梁采用分幅布置时，桥梁中间带宽度需较整幅桥梁或路基段增加1m，从而保证桥梁段护栏的布设，以及足够的施工间隙；当采用中间带较窄的整幅式路基、桥梁分幅布置时，便存在路桥不同宽且行车道变化的情况，需对此在构造上采取相应改善措施。</w:t>
      </w:r>
    </w:p>
    <w:p w14:paraId="5E9E0354">
      <w:pPr>
        <w:pStyle w:val="57"/>
        <w:ind w:firstLine="420"/>
      </w:pPr>
    </w:p>
    <w:p w14:paraId="7D8B6628">
      <w:pPr>
        <w:pStyle w:val="113"/>
        <w:spacing w:before="156" w:after="156"/>
      </w:pPr>
      <w:r>
        <w:rPr>
          <w:rFonts w:hint="eastAsia"/>
        </w:rPr>
        <w:t>最小断面路幅宽度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7C6F05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67DB0397">
            <w:pPr>
              <w:pStyle w:val="179"/>
            </w:pPr>
            <w:r>
              <w:rPr>
                <w:rFonts w:hint="eastAsia"/>
              </w:rPr>
              <w:t>年平均日设计交通量(pc</w:t>
            </w:r>
            <w:r>
              <w:t>u</w:t>
            </w:r>
            <w:r>
              <w:rPr>
                <w:rFonts w:hint="eastAsia"/>
              </w:rPr>
              <w:t>/d</w:t>
            </w:r>
            <w:r>
              <w:t>)</w:t>
            </w:r>
          </w:p>
        </w:tc>
        <w:tc>
          <w:tcPr>
            <w:tcW w:w="3734" w:type="dxa"/>
            <w:gridSpan w:val="2"/>
            <w:tcBorders>
              <w:top w:val="single" w:color="auto" w:sz="8" w:space="0"/>
              <w:bottom w:val="single" w:color="auto" w:sz="8" w:space="0"/>
            </w:tcBorders>
            <w:shd w:val="clear" w:color="auto" w:fill="auto"/>
            <w:vAlign w:val="center"/>
          </w:tcPr>
          <w:p w14:paraId="5825A9D2">
            <w:pPr>
              <w:pStyle w:val="238"/>
              <w:rPr>
                <w:rFonts w:hint="eastAsia"/>
              </w:rPr>
            </w:pPr>
            <w:r>
              <w:t>干线高速</w:t>
            </w:r>
          </w:p>
          <w:p w14:paraId="37F0C1B2">
            <w:pPr>
              <w:pStyle w:val="179"/>
            </w:pPr>
            <w:r>
              <w:rPr>
                <w:rFonts w:hint="eastAsia"/>
              </w:rPr>
              <w:t>支线</w:t>
            </w:r>
            <w:r>
              <w:t>高速：25000</w:t>
            </w:r>
            <w:r>
              <w:rPr>
                <w:rFonts w:hint="eastAsia"/>
              </w:rPr>
              <w:t>～</w:t>
            </w:r>
            <w:r>
              <w:t>30000</w:t>
            </w:r>
          </w:p>
        </w:tc>
        <w:tc>
          <w:tcPr>
            <w:tcW w:w="3734" w:type="dxa"/>
            <w:gridSpan w:val="2"/>
            <w:tcBorders>
              <w:top w:val="single" w:color="auto" w:sz="8" w:space="0"/>
              <w:bottom w:val="single" w:color="auto" w:sz="8" w:space="0"/>
            </w:tcBorders>
            <w:shd w:val="clear" w:color="auto" w:fill="auto"/>
            <w:vAlign w:val="center"/>
          </w:tcPr>
          <w:p w14:paraId="2A438C6D">
            <w:pPr>
              <w:pStyle w:val="179"/>
            </w:pPr>
            <w:r>
              <w:rPr>
                <w:rFonts w:hint="eastAsia"/>
              </w:rPr>
              <w:t>支线</w:t>
            </w:r>
            <w:r>
              <w:t>高速：</w:t>
            </w:r>
            <w:r>
              <w:rPr>
                <w:rFonts w:hint="eastAsia"/>
              </w:rPr>
              <w:t>≤</w:t>
            </w:r>
            <w:r>
              <w:t>25000</w:t>
            </w:r>
          </w:p>
        </w:tc>
      </w:tr>
      <w:tr w14:paraId="523631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4A2DC3D6">
            <w:pPr>
              <w:pStyle w:val="179"/>
            </w:pPr>
            <w:r>
              <w:rPr>
                <w:rFonts w:hint="eastAsia"/>
              </w:rPr>
              <w:t>设计速度(</w:t>
            </w:r>
            <w:r>
              <w:t>km</w:t>
            </w:r>
            <w:r>
              <w:rPr>
                <w:rFonts w:hint="eastAsia"/>
              </w:rPr>
              <w:t>/</w:t>
            </w:r>
            <w:r>
              <w:t>h)</w:t>
            </w:r>
          </w:p>
        </w:tc>
        <w:tc>
          <w:tcPr>
            <w:tcW w:w="1867" w:type="dxa"/>
            <w:tcBorders>
              <w:top w:val="single" w:color="auto" w:sz="8" w:space="0"/>
            </w:tcBorders>
            <w:shd w:val="clear" w:color="auto" w:fill="auto"/>
            <w:vAlign w:val="center"/>
          </w:tcPr>
          <w:p w14:paraId="58BEB6BE">
            <w:pPr>
              <w:pStyle w:val="179"/>
            </w:pPr>
            <w:r>
              <w:t>≥100</w:t>
            </w:r>
          </w:p>
        </w:tc>
        <w:tc>
          <w:tcPr>
            <w:tcW w:w="1867" w:type="dxa"/>
            <w:tcBorders>
              <w:top w:val="single" w:color="auto" w:sz="8" w:space="0"/>
            </w:tcBorders>
            <w:shd w:val="clear" w:color="auto" w:fill="auto"/>
            <w:vAlign w:val="center"/>
          </w:tcPr>
          <w:p w14:paraId="2775743C">
            <w:pPr>
              <w:pStyle w:val="179"/>
            </w:pPr>
            <w:r>
              <w:t>80</w:t>
            </w:r>
          </w:p>
        </w:tc>
        <w:tc>
          <w:tcPr>
            <w:tcW w:w="1867" w:type="dxa"/>
            <w:tcBorders>
              <w:top w:val="single" w:color="auto" w:sz="8" w:space="0"/>
            </w:tcBorders>
            <w:shd w:val="clear" w:color="auto" w:fill="auto"/>
            <w:vAlign w:val="center"/>
          </w:tcPr>
          <w:p w14:paraId="5FF8FA23">
            <w:pPr>
              <w:pStyle w:val="179"/>
            </w:pPr>
            <w:r>
              <w:t>≥100</w:t>
            </w:r>
          </w:p>
        </w:tc>
        <w:tc>
          <w:tcPr>
            <w:tcW w:w="1867" w:type="dxa"/>
            <w:tcBorders>
              <w:top w:val="single" w:color="auto" w:sz="8" w:space="0"/>
            </w:tcBorders>
            <w:shd w:val="clear" w:color="auto" w:fill="auto"/>
            <w:vAlign w:val="center"/>
          </w:tcPr>
          <w:p w14:paraId="6DA0F079">
            <w:pPr>
              <w:pStyle w:val="179"/>
            </w:pPr>
            <w:r>
              <w:t>80</w:t>
            </w:r>
          </w:p>
        </w:tc>
      </w:tr>
      <w:tr w14:paraId="77C1DC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040439CF">
            <w:pPr>
              <w:pStyle w:val="179"/>
            </w:pPr>
            <w:r>
              <w:rPr>
                <w:rFonts w:hint="eastAsia"/>
              </w:rPr>
              <w:t>路基段</w:t>
            </w:r>
          </w:p>
        </w:tc>
        <w:tc>
          <w:tcPr>
            <w:tcW w:w="1867" w:type="dxa"/>
            <w:shd w:val="clear" w:color="auto" w:fill="auto"/>
            <w:vAlign w:val="center"/>
          </w:tcPr>
          <w:p w14:paraId="312A6044">
            <w:pPr>
              <w:pStyle w:val="179"/>
            </w:pPr>
            <w:r>
              <w:rPr>
                <w:rFonts w:hint="eastAsia"/>
              </w:rPr>
              <w:t>2</w:t>
            </w:r>
            <w:r>
              <w:t>1.5m</w:t>
            </w:r>
          </w:p>
        </w:tc>
        <w:tc>
          <w:tcPr>
            <w:tcW w:w="1867" w:type="dxa"/>
            <w:shd w:val="clear" w:color="auto" w:fill="auto"/>
            <w:vAlign w:val="center"/>
          </w:tcPr>
          <w:p w14:paraId="41BBCEAB">
            <w:pPr>
              <w:pStyle w:val="179"/>
            </w:pPr>
            <w:r>
              <w:t>19.5m</w:t>
            </w:r>
          </w:p>
        </w:tc>
        <w:tc>
          <w:tcPr>
            <w:tcW w:w="1867" w:type="dxa"/>
            <w:shd w:val="clear" w:color="auto" w:fill="auto"/>
            <w:vAlign w:val="center"/>
          </w:tcPr>
          <w:p w14:paraId="5CF45847">
            <w:pPr>
              <w:pStyle w:val="179"/>
            </w:pPr>
            <w:r>
              <w:t>21.0m</w:t>
            </w:r>
          </w:p>
        </w:tc>
        <w:tc>
          <w:tcPr>
            <w:tcW w:w="1867" w:type="dxa"/>
            <w:shd w:val="clear" w:color="auto" w:fill="auto"/>
            <w:vAlign w:val="center"/>
          </w:tcPr>
          <w:p w14:paraId="24EB73B0">
            <w:pPr>
              <w:pStyle w:val="179"/>
            </w:pPr>
            <w:r>
              <w:rPr>
                <w:rFonts w:hint="eastAsia"/>
              </w:rPr>
              <w:t>1</w:t>
            </w:r>
            <w:r>
              <w:t>9.5m</w:t>
            </w:r>
          </w:p>
        </w:tc>
      </w:tr>
      <w:tr w14:paraId="349719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6343C1E9">
            <w:pPr>
              <w:pStyle w:val="179"/>
            </w:pPr>
            <w:r>
              <w:rPr>
                <w:rFonts w:hint="eastAsia"/>
              </w:rPr>
              <w:t>桥梁段（分幅布置）</w:t>
            </w:r>
          </w:p>
        </w:tc>
        <w:tc>
          <w:tcPr>
            <w:tcW w:w="1867" w:type="dxa"/>
            <w:shd w:val="clear" w:color="auto" w:fill="auto"/>
            <w:vAlign w:val="center"/>
          </w:tcPr>
          <w:p w14:paraId="3972F291">
            <w:pPr>
              <w:pStyle w:val="179"/>
            </w:pPr>
            <w:r>
              <w:rPr>
                <w:rFonts w:hint="eastAsia"/>
              </w:rPr>
              <w:t>2</w:t>
            </w:r>
            <w:r>
              <w:t>2.5m</w:t>
            </w:r>
          </w:p>
        </w:tc>
        <w:tc>
          <w:tcPr>
            <w:tcW w:w="1867" w:type="dxa"/>
            <w:shd w:val="clear" w:color="auto" w:fill="auto"/>
            <w:vAlign w:val="center"/>
          </w:tcPr>
          <w:p w14:paraId="09D0863C">
            <w:pPr>
              <w:pStyle w:val="179"/>
            </w:pPr>
            <w:r>
              <w:t>20.5m</w:t>
            </w:r>
          </w:p>
        </w:tc>
        <w:tc>
          <w:tcPr>
            <w:tcW w:w="1867" w:type="dxa"/>
            <w:shd w:val="clear" w:color="auto" w:fill="auto"/>
            <w:vAlign w:val="center"/>
          </w:tcPr>
          <w:p w14:paraId="1FBA724F">
            <w:pPr>
              <w:pStyle w:val="179"/>
            </w:pPr>
            <w:r>
              <w:t>22.0m</w:t>
            </w:r>
          </w:p>
        </w:tc>
        <w:tc>
          <w:tcPr>
            <w:tcW w:w="1867" w:type="dxa"/>
            <w:shd w:val="clear" w:color="auto" w:fill="auto"/>
            <w:vAlign w:val="center"/>
          </w:tcPr>
          <w:p w14:paraId="4EBFF141">
            <w:pPr>
              <w:pStyle w:val="179"/>
            </w:pPr>
            <w:r>
              <w:t>20.5m</w:t>
            </w:r>
          </w:p>
        </w:tc>
      </w:tr>
      <w:tr w14:paraId="77E7F3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5"/>
            <w:shd w:val="clear" w:color="auto" w:fill="auto"/>
            <w:vAlign w:val="center"/>
          </w:tcPr>
          <w:p w14:paraId="23A95B79">
            <w:pPr>
              <w:pStyle w:val="181"/>
              <w:numPr>
                <w:ilvl w:val="0"/>
                <w:numId w:val="36"/>
              </w:numPr>
            </w:pPr>
            <w:r>
              <w:t>表中宽度系按中央分隔带护栏宽50cm计算，各项目中央分隔带护栏型式的宽度有变化时，路幅宽度值应据实调整。</w:t>
            </w:r>
          </w:p>
          <w:p w14:paraId="3326F092">
            <w:pPr>
              <w:pStyle w:val="181"/>
            </w:pPr>
            <w:r>
              <w:t>路基段宽度参考断面图可参见本文件附录B。</w:t>
            </w:r>
          </w:p>
        </w:tc>
      </w:tr>
    </w:tbl>
    <w:p w14:paraId="6B7469B4">
      <w:pPr>
        <w:pStyle w:val="57"/>
        <w:ind w:firstLine="420"/>
        <w:rPr>
          <w:rFonts w:hint="eastAsia"/>
        </w:rPr>
      </w:pPr>
    </w:p>
    <w:p w14:paraId="726135FB">
      <w:pPr>
        <w:pStyle w:val="166"/>
      </w:pPr>
      <w:r>
        <w:rPr>
          <w:rFonts w:hint="eastAsia"/>
        </w:rPr>
        <w:t>高原山区小交通量高速公路右侧硬路肩宽度小于2.5m时，应设置港湾式紧急停车带。港湾式紧急停车带应符合下列规定。</w:t>
      </w:r>
    </w:p>
    <w:p w14:paraId="1660CF41">
      <w:pPr>
        <w:pStyle w:val="175"/>
        <w:numPr>
          <w:ilvl w:val="0"/>
          <w:numId w:val="37"/>
        </w:numPr>
      </w:pPr>
      <w:r>
        <w:rPr>
          <w:rFonts w:hint="eastAsia"/>
        </w:rPr>
        <w:t>应</w:t>
      </w:r>
      <w:r>
        <w:t>结合交通量、工程条件灵活</w:t>
      </w:r>
      <w:r>
        <w:rPr>
          <w:rFonts w:hint="eastAsia"/>
        </w:rPr>
        <w:t>设置港湾式紧急停车带。港湾式紧急停车带</w:t>
      </w:r>
      <w:r>
        <w:t>间距不宜大于750m</w:t>
      </w:r>
      <w:r>
        <w:rPr>
          <w:rFonts w:hint="eastAsia"/>
        </w:rPr>
        <w:t>，</w:t>
      </w:r>
      <w:r>
        <w:t>且宜避开特殊桥梁、重大不良地质体等特殊困难路段</w:t>
      </w:r>
      <w:r>
        <w:rPr>
          <w:rFonts w:hint="eastAsia"/>
        </w:rPr>
        <w:t>，但最大间距不应大于2km。</w:t>
      </w:r>
    </w:p>
    <w:p w14:paraId="1AFBA7D7">
      <w:pPr>
        <w:pStyle w:val="175"/>
      </w:pPr>
      <w:r>
        <w:t>宽度应</w:t>
      </w:r>
      <w:r>
        <w:rPr>
          <w:rFonts w:hint="eastAsia"/>
        </w:rPr>
        <w:t>不小于</w:t>
      </w:r>
      <w:r>
        <w:t>3.5m，有效长度不应小于40m</w:t>
      </w:r>
      <w:r>
        <w:rPr>
          <w:rFonts w:hint="eastAsia"/>
        </w:rPr>
        <w:t>，并应在其前后设置不短于70m的过渡段。</w:t>
      </w:r>
    </w:p>
    <w:p w14:paraId="43629190">
      <w:pPr>
        <w:pStyle w:val="175"/>
      </w:pPr>
      <w:r>
        <w:rPr>
          <w:rFonts w:hint="eastAsia"/>
        </w:rPr>
        <w:t>在</w:t>
      </w:r>
      <w:r>
        <w:rPr>
          <w:rFonts w:hint="eastAsia" w:ascii="Times New Roman"/>
        </w:rPr>
        <w:t>港湾式</w:t>
      </w:r>
      <w:r>
        <w:rPr>
          <w:rFonts w:hint="eastAsia"/>
        </w:rPr>
        <w:t>紧急停车带前适当位置，应按照现GB5768.2的相关要求设置港湾式紧急停车带标志和预告标志。</w:t>
      </w:r>
    </w:p>
    <w:p w14:paraId="37770C77">
      <w:pPr>
        <w:pStyle w:val="181"/>
        <w:numPr>
          <w:ilvl w:val="0"/>
          <w:numId w:val="38"/>
        </w:numPr>
      </w:pPr>
      <w:r>
        <w:t>对于小交通量高速公路而言，港湾式紧急停车带仅作为故障车辆抢修和紧急避险使用。随着我国汽车工业的发展和老旧汽车淘汰加快，现有汽车途中故障率大幅降低。综合考虑交通量、汽车性能、造价等因素，并参考现行公路工程技术标准JTG B01-2014中隧道紧急停车带“不宜大于750m”，公路路线设计规范JTG D20-2</w:t>
      </w:r>
      <w:r>
        <w:rPr>
          <w:color w:val="FF0000"/>
        </w:rPr>
        <w:t>006</w:t>
      </w:r>
      <w:r>
        <w:t>中6.4.3紧急停车带“间距不宜大于2km”作出上述关于港湾式紧急停车带间距的规定。</w:t>
      </w:r>
    </w:p>
    <w:p w14:paraId="6D26122F">
      <w:pPr>
        <w:pStyle w:val="181"/>
      </w:pPr>
      <w:r>
        <w:t>经调研，西藏、青海省在紧急停车带间距的设置方面较为灵活，例如青海省共玉高速、花久高速由于交通量小，建设时按照2km～3.5km间距设置；西藏拉林高速按照2km间距进行设置，目前均运行良好。各项目具体设计时，可综合交通量、地形地质、结构物布设的实际情况，进一步论证港湾式紧急停车带的间距。</w:t>
      </w:r>
    </w:p>
    <w:p w14:paraId="689496EC">
      <w:pPr>
        <w:pStyle w:val="166"/>
      </w:pPr>
      <w:r>
        <w:rPr>
          <w:rFonts w:hint="eastAsia"/>
        </w:rPr>
        <w:t>可结合沿线工程条件及观景需求，设置观景台。</w:t>
      </w:r>
    </w:p>
    <w:p w14:paraId="3B4758EF">
      <w:pPr>
        <w:pStyle w:val="166"/>
      </w:pPr>
      <w:r>
        <w:rPr>
          <w:rFonts w:hint="eastAsia"/>
        </w:rPr>
        <w:t>分离式断面宽度应结合整体式路基各组成部分的</w:t>
      </w:r>
      <w:r>
        <w:t>宽度</w:t>
      </w:r>
      <w:r>
        <w:rPr>
          <w:rFonts w:hint="eastAsia"/>
        </w:rPr>
        <w:t>对应组合选用。</w:t>
      </w:r>
    </w:p>
    <w:p w14:paraId="6BF78062">
      <w:pPr>
        <w:pStyle w:val="105"/>
        <w:spacing w:before="312" w:after="312"/>
        <w:rPr>
          <w:rStyle w:val="231"/>
          <w:rFonts w:hint="eastAsia" w:ascii="宋体" w:hAnsi="宋体" w:eastAsia="宋体"/>
          <w:bCs w:val="0"/>
          <w:color w:val="FF0000"/>
          <w:sz w:val="36"/>
          <w:szCs w:val="96"/>
        </w:rPr>
      </w:pPr>
      <w:bookmarkStart w:id="216" w:name="_Toc240"/>
      <w:r>
        <w:rPr>
          <w:rFonts w:hint="eastAsia"/>
        </w:rPr>
        <w:t>路线</w:t>
      </w:r>
      <w:bookmarkEnd w:id="216"/>
    </w:p>
    <w:p w14:paraId="1105247F">
      <w:pPr>
        <w:pStyle w:val="106"/>
        <w:spacing w:before="156" w:after="156"/>
        <w:rPr>
          <w:rStyle w:val="231"/>
          <w:rFonts w:hint="eastAsia"/>
          <w:color w:val="000000"/>
          <w:sz w:val="21"/>
          <w:szCs w:val="44"/>
        </w:rPr>
      </w:pPr>
      <w:bookmarkStart w:id="217" w:name="_Toc21179"/>
      <w:r>
        <w:rPr>
          <w:rStyle w:val="231"/>
          <w:rFonts w:hint="eastAsia"/>
          <w:color w:val="000000"/>
          <w:sz w:val="21"/>
          <w:szCs w:val="44"/>
        </w:rPr>
        <w:t>一般规定</w:t>
      </w:r>
      <w:bookmarkEnd w:id="217"/>
    </w:p>
    <w:p w14:paraId="0D55CE1E">
      <w:pPr>
        <w:pStyle w:val="166"/>
      </w:pPr>
      <w:r>
        <w:rPr>
          <w:rFonts w:hint="eastAsia"/>
        </w:rPr>
        <w:t>高原山区小交通量高速公路路线设计应符合下列规定。</w:t>
      </w:r>
    </w:p>
    <w:p w14:paraId="2FD10E4B">
      <w:pPr>
        <w:pStyle w:val="175"/>
        <w:numPr>
          <w:ilvl w:val="0"/>
          <w:numId w:val="39"/>
        </w:numPr>
      </w:pPr>
      <w:r>
        <w:rPr>
          <w:rFonts w:hint="eastAsia"/>
        </w:rPr>
        <w:t>应兼顾安全</w:t>
      </w:r>
      <w:r>
        <w:rPr>
          <w:color w:val="FF0000"/>
        </w:rPr>
        <w:t>、</w:t>
      </w:r>
      <w:r>
        <w:rPr>
          <w:rFonts w:hint="eastAsia"/>
          <w:color w:val="FF0000"/>
        </w:rPr>
        <w:t>经济</w:t>
      </w:r>
      <w:r>
        <w:rPr>
          <w:color w:val="FF0000"/>
        </w:rPr>
        <w:t>和环保</w:t>
      </w:r>
      <w:r>
        <w:rPr>
          <w:rFonts w:hint="eastAsia"/>
        </w:rPr>
        <w:t>，不刻意追求高指标。</w:t>
      </w:r>
    </w:p>
    <w:p w14:paraId="021E3256">
      <w:pPr>
        <w:pStyle w:val="175"/>
      </w:pPr>
      <w:r>
        <w:rPr>
          <w:rFonts w:hint="eastAsia"/>
        </w:rPr>
        <w:t>可根据项目实际情况采用极限半径、最大纵坡等指标，但应避免平、纵极限指标的组合。</w:t>
      </w:r>
    </w:p>
    <w:p w14:paraId="5B7DAD9C">
      <w:pPr>
        <w:pStyle w:val="175"/>
      </w:pPr>
      <w:r>
        <w:rPr>
          <w:rFonts w:hint="eastAsia"/>
        </w:rPr>
        <w:t>应针对</w:t>
      </w:r>
      <w:r>
        <w:rPr>
          <w:rFonts w:hint="eastAsia" w:ascii="Times New Roman"/>
        </w:rPr>
        <w:t>冰雪</w:t>
      </w:r>
      <w:r>
        <w:rPr>
          <w:rFonts w:hint="eastAsia"/>
        </w:rPr>
        <w:t>气候条件，合理选择最大超高、桥梁纵坡、合成坡度。</w:t>
      </w:r>
    </w:p>
    <w:p w14:paraId="0BFD523B">
      <w:pPr>
        <w:pStyle w:val="166"/>
        <w:rPr>
          <w:rStyle w:val="232"/>
          <w:rFonts w:ascii="宋体" w:hAnsi="Times New Roman" w:eastAsia="宋体"/>
          <w:kern w:val="0"/>
          <w:sz w:val="21"/>
          <w:szCs w:val="20"/>
        </w:rPr>
      </w:pPr>
      <w:r>
        <w:rPr>
          <w:rFonts w:hint="eastAsia"/>
        </w:rPr>
        <w:t>路线设计应注重运行速度与设计速度的协调性检验。当运行速度大于设计速度20km/h时，应论证比较降低线形指标的方案，以减少工程规模、节省造价。</w:t>
      </w:r>
    </w:p>
    <w:p w14:paraId="41C60221">
      <w:pPr>
        <w:pStyle w:val="180"/>
      </w:pPr>
      <w:r>
        <w:rPr>
          <w:rFonts w:hint="eastAsia"/>
        </w:rPr>
        <w:t>运行速度显著大于设计速度，意味着线形指标偏高可能增加工程规模和造价，因此本规定强调应注重运行速度与设计速度一致性的检验。</w:t>
      </w:r>
    </w:p>
    <w:p w14:paraId="63CB894F">
      <w:pPr>
        <w:pStyle w:val="166"/>
      </w:pPr>
      <w:r>
        <w:rPr>
          <w:rFonts w:hint="eastAsia"/>
        </w:rPr>
        <w:t>运行速度预测分析时，年平均日设计交通量大于15000pcu/d，且货车自然数混入率大于20%时，货运主导车型宜根据满载运输主方向的交通组成特</w:t>
      </w:r>
      <w:r>
        <w:t>性</w:t>
      </w:r>
      <w:r>
        <w:rPr>
          <w:rFonts w:hint="eastAsia"/>
        </w:rPr>
        <w:t>合理选择。</w:t>
      </w:r>
    </w:p>
    <w:p w14:paraId="125F98C2">
      <w:pPr>
        <w:pStyle w:val="180"/>
      </w:pPr>
      <w:r>
        <w:rPr>
          <w:rFonts w:hint="eastAsia"/>
        </w:rPr>
        <w:t>结合公路路线设计规范JTG D20-2017条文解释第8.3条制定该规定。主要考虑到目前多轴载重汽车（特别是6轴，49t）功率质量比较低，爬坡能力明显低于常规两轴载重汽车。虽然交通量小，但具体项目不排除有成为运输矿产品等通道的可能，若6轴等多轴载重汽车成为主导车型，其运行速度将明显降低。</w:t>
      </w:r>
    </w:p>
    <w:p w14:paraId="38F0390B">
      <w:pPr>
        <w:pStyle w:val="106"/>
        <w:spacing w:before="156" w:after="156"/>
        <w:rPr>
          <w:rStyle w:val="231"/>
          <w:rFonts w:hint="eastAsia"/>
          <w:color w:val="000000"/>
          <w:sz w:val="21"/>
          <w:szCs w:val="44"/>
        </w:rPr>
      </w:pPr>
      <w:bookmarkStart w:id="218" w:name="_Toc10580"/>
      <w:r>
        <w:rPr>
          <w:rStyle w:val="231"/>
          <w:rFonts w:hint="eastAsia"/>
          <w:color w:val="000000"/>
          <w:sz w:val="21"/>
          <w:szCs w:val="44"/>
        </w:rPr>
        <w:t>直线</w:t>
      </w:r>
      <w:bookmarkEnd w:id="218"/>
    </w:p>
    <w:p w14:paraId="72C926D2">
      <w:pPr>
        <w:pStyle w:val="57"/>
        <w:ind w:firstLine="420"/>
      </w:pPr>
      <w:r>
        <w:rPr>
          <w:rFonts w:hint="eastAsia"/>
        </w:rPr>
        <w:t>曲线间直线长度小于同向6V或反向2V时，应尽量采用卵形或S形曲线。条件受限时同向不宜小于3.5V，反向不宜小于1.0V。</w:t>
      </w:r>
    </w:p>
    <w:p w14:paraId="29E33F9A">
      <w:pPr>
        <w:pStyle w:val="180"/>
      </w:pPr>
      <w:r>
        <w:rPr>
          <w:rFonts w:hint="eastAsia"/>
        </w:rPr>
        <w:t>在地形条件较差时，曲线间直线长度的规定对路线设计影响较大。根据国内较多路线设计人员的实践经验，并结合四川遂资眉和汶马高速等多个项目按上述规定采用曲线间最小直线长度，目前尚未发现明显问题的实际情况，作出上述规定。</w:t>
      </w:r>
    </w:p>
    <w:p w14:paraId="1277D8DB">
      <w:pPr>
        <w:pStyle w:val="106"/>
        <w:spacing w:before="156" w:after="156"/>
        <w:rPr>
          <w:rStyle w:val="231"/>
          <w:rFonts w:hint="eastAsia"/>
          <w:color w:val="000000"/>
          <w:sz w:val="21"/>
          <w:szCs w:val="44"/>
        </w:rPr>
      </w:pPr>
      <w:r>
        <w:rPr>
          <w:rStyle w:val="231"/>
          <w:rFonts w:hint="eastAsia"/>
          <w:color w:val="000000"/>
          <w:sz w:val="21"/>
          <w:szCs w:val="44"/>
        </w:rPr>
        <w:t>平曲线</w:t>
      </w:r>
    </w:p>
    <w:p w14:paraId="1AC710E5">
      <w:pPr>
        <w:pStyle w:val="57"/>
        <w:ind w:firstLine="420"/>
      </w:pPr>
      <w:r>
        <w:rPr>
          <w:rFonts w:hint="eastAsia"/>
        </w:rPr>
        <w:t xml:space="preserve">平曲线设计要素应符合表7的规定。 </w:t>
      </w:r>
    </w:p>
    <w:p w14:paraId="5FAB6D00">
      <w:pPr>
        <w:pStyle w:val="113"/>
        <w:spacing w:before="156" w:after="156"/>
      </w:pPr>
      <w:r>
        <w:rPr>
          <w:rFonts w:hint="eastAsia"/>
        </w:rPr>
        <w:t>平曲线设计要素</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332"/>
        <w:gridCol w:w="1333"/>
        <w:gridCol w:w="1333"/>
        <w:gridCol w:w="1334"/>
        <w:gridCol w:w="1334"/>
        <w:gridCol w:w="1334"/>
        <w:gridCol w:w="1334"/>
      </w:tblGrid>
      <w:tr w14:paraId="32701F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998" w:type="dxa"/>
            <w:gridSpan w:val="3"/>
            <w:tcBorders>
              <w:top w:val="single" w:color="auto" w:sz="8" w:space="0"/>
              <w:bottom w:val="single" w:color="auto" w:sz="8" w:space="0"/>
            </w:tcBorders>
            <w:shd w:val="clear" w:color="auto" w:fill="auto"/>
            <w:vAlign w:val="center"/>
          </w:tcPr>
          <w:p w14:paraId="1ACFE85C">
            <w:pPr>
              <w:pStyle w:val="179"/>
            </w:pPr>
            <w:r>
              <w:rPr>
                <w:rFonts w:hint="eastAsia"/>
              </w:rPr>
              <w:t>设计速度(km/h)</w:t>
            </w:r>
          </w:p>
        </w:tc>
        <w:tc>
          <w:tcPr>
            <w:tcW w:w="1334" w:type="dxa"/>
            <w:tcBorders>
              <w:top w:val="single" w:color="auto" w:sz="8" w:space="0"/>
              <w:bottom w:val="single" w:color="auto" w:sz="8" w:space="0"/>
            </w:tcBorders>
            <w:shd w:val="clear" w:color="auto" w:fill="auto"/>
            <w:vAlign w:val="center"/>
          </w:tcPr>
          <w:p w14:paraId="3511D349">
            <w:pPr>
              <w:pStyle w:val="179"/>
            </w:pPr>
            <w:r>
              <w:rPr>
                <w:rFonts w:hint="eastAsia"/>
              </w:rPr>
              <w:t>120</w:t>
            </w:r>
          </w:p>
        </w:tc>
        <w:tc>
          <w:tcPr>
            <w:tcW w:w="1334" w:type="dxa"/>
            <w:tcBorders>
              <w:top w:val="single" w:color="auto" w:sz="8" w:space="0"/>
              <w:bottom w:val="single" w:color="auto" w:sz="8" w:space="0"/>
            </w:tcBorders>
            <w:shd w:val="clear" w:color="auto" w:fill="auto"/>
            <w:vAlign w:val="center"/>
          </w:tcPr>
          <w:p w14:paraId="07E36466">
            <w:pPr>
              <w:pStyle w:val="179"/>
            </w:pPr>
            <w:r>
              <w:rPr>
                <w:rFonts w:hint="eastAsia"/>
              </w:rPr>
              <w:t>100</w:t>
            </w:r>
          </w:p>
        </w:tc>
        <w:tc>
          <w:tcPr>
            <w:tcW w:w="1334" w:type="dxa"/>
            <w:tcBorders>
              <w:top w:val="single" w:color="auto" w:sz="8" w:space="0"/>
              <w:bottom w:val="single" w:color="auto" w:sz="8" w:space="0"/>
            </w:tcBorders>
            <w:shd w:val="clear" w:color="auto" w:fill="auto"/>
            <w:vAlign w:val="center"/>
          </w:tcPr>
          <w:p w14:paraId="398F5E78">
            <w:pPr>
              <w:pStyle w:val="179"/>
            </w:pPr>
            <w:r>
              <w:rPr>
                <w:rFonts w:hint="eastAsia"/>
              </w:rPr>
              <w:t>8</w:t>
            </w:r>
            <w:r>
              <w:t>0</w:t>
            </w:r>
          </w:p>
        </w:tc>
        <w:tc>
          <w:tcPr>
            <w:tcW w:w="1334" w:type="dxa"/>
            <w:tcBorders>
              <w:top w:val="single" w:color="auto" w:sz="8" w:space="0"/>
              <w:bottom w:val="single" w:color="auto" w:sz="8" w:space="0"/>
            </w:tcBorders>
            <w:shd w:val="clear" w:color="auto" w:fill="auto"/>
            <w:vAlign w:val="center"/>
          </w:tcPr>
          <w:p w14:paraId="4C27EB06">
            <w:pPr>
              <w:pStyle w:val="179"/>
            </w:pPr>
            <w:r>
              <w:rPr>
                <w:rFonts w:hint="eastAsia"/>
              </w:rPr>
              <w:t>60</w:t>
            </w:r>
          </w:p>
        </w:tc>
      </w:tr>
      <w:tr w14:paraId="05EB15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332" w:type="dxa"/>
            <w:vMerge w:val="restart"/>
            <w:tcBorders>
              <w:top w:val="single" w:color="auto" w:sz="8" w:space="0"/>
            </w:tcBorders>
            <w:shd w:val="clear" w:color="auto" w:fill="auto"/>
            <w:vAlign w:val="center"/>
          </w:tcPr>
          <w:p w14:paraId="55E45048">
            <w:pPr>
              <w:pStyle w:val="238"/>
              <w:rPr>
                <w:rFonts w:hint="eastAsia"/>
              </w:rPr>
            </w:pPr>
            <w:r>
              <w:t>圆曲线</w:t>
            </w:r>
            <w:r>
              <w:rPr>
                <w:rFonts w:hint="eastAsia"/>
              </w:rPr>
              <w:t>极限</w:t>
            </w:r>
            <w:r>
              <w:t>半径</w:t>
            </w:r>
          </w:p>
          <w:p w14:paraId="126E53F9">
            <w:pPr>
              <w:pStyle w:val="179"/>
            </w:pPr>
            <w:r>
              <w:rPr>
                <w:rFonts w:hint="eastAsia"/>
              </w:rPr>
              <w:t>(m)</w:t>
            </w:r>
          </w:p>
        </w:tc>
        <w:tc>
          <w:tcPr>
            <w:tcW w:w="1333" w:type="dxa"/>
            <w:vMerge w:val="restart"/>
            <w:tcBorders>
              <w:top w:val="single" w:color="auto" w:sz="8" w:space="0"/>
            </w:tcBorders>
            <w:shd w:val="clear" w:color="auto" w:fill="auto"/>
            <w:vAlign w:val="center"/>
          </w:tcPr>
          <w:p w14:paraId="2D98405D">
            <w:pPr>
              <w:pStyle w:val="179"/>
            </w:pPr>
            <w:r>
              <w:rPr>
                <w:rFonts w:hint="eastAsia"/>
              </w:rPr>
              <w:t>最大超高</w:t>
            </w:r>
            <w:r>
              <w:t>I</w:t>
            </w:r>
            <w:r>
              <w:rPr>
                <w:i/>
                <w:iCs/>
                <w:u w:val="single"/>
              </w:rPr>
              <w:t>max</w:t>
            </w:r>
          </w:p>
        </w:tc>
        <w:tc>
          <w:tcPr>
            <w:tcW w:w="1333" w:type="dxa"/>
            <w:tcBorders>
              <w:top w:val="single" w:color="auto" w:sz="8" w:space="0"/>
            </w:tcBorders>
            <w:shd w:val="clear" w:color="auto" w:fill="auto"/>
            <w:vAlign w:val="center"/>
          </w:tcPr>
          <w:p w14:paraId="44E9FF82">
            <w:pPr>
              <w:pStyle w:val="179"/>
            </w:pPr>
            <w:r>
              <w:rPr>
                <w:rFonts w:hint="eastAsia"/>
              </w:rPr>
              <w:t>冰雪地区6</w:t>
            </w:r>
            <w:r>
              <w:t>%</w:t>
            </w:r>
          </w:p>
        </w:tc>
        <w:tc>
          <w:tcPr>
            <w:tcW w:w="1334" w:type="dxa"/>
            <w:tcBorders>
              <w:top w:val="single" w:color="auto" w:sz="8" w:space="0"/>
            </w:tcBorders>
            <w:shd w:val="clear" w:color="auto" w:fill="auto"/>
            <w:vAlign w:val="center"/>
          </w:tcPr>
          <w:p w14:paraId="5FFC0241">
            <w:pPr>
              <w:pStyle w:val="179"/>
            </w:pPr>
            <w:r>
              <w:rPr>
                <w:rFonts w:hint="eastAsia"/>
              </w:rPr>
              <w:t>7</w:t>
            </w:r>
            <w:r>
              <w:t>10</w:t>
            </w:r>
          </w:p>
        </w:tc>
        <w:tc>
          <w:tcPr>
            <w:tcW w:w="1334" w:type="dxa"/>
            <w:tcBorders>
              <w:top w:val="single" w:color="auto" w:sz="8" w:space="0"/>
            </w:tcBorders>
            <w:shd w:val="clear" w:color="auto" w:fill="auto"/>
            <w:vAlign w:val="center"/>
          </w:tcPr>
          <w:p w14:paraId="61EF6442">
            <w:pPr>
              <w:pStyle w:val="179"/>
            </w:pPr>
            <w:r>
              <w:rPr>
                <w:rFonts w:hint="eastAsia"/>
              </w:rPr>
              <w:t>440</w:t>
            </w:r>
          </w:p>
        </w:tc>
        <w:tc>
          <w:tcPr>
            <w:tcW w:w="1334" w:type="dxa"/>
            <w:tcBorders>
              <w:top w:val="single" w:color="auto" w:sz="8" w:space="0"/>
            </w:tcBorders>
            <w:shd w:val="clear" w:color="auto" w:fill="auto"/>
            <w:vAlign w:val="center"/>
          </w:tcPr>
          <w:p w14:paraId="37E6205A">
            <w:pPr>
              <w:pStyle w:val="179"/>
            </w:pPr>
            <w:r>
              <w:rPr>
                <w:rFonts w:hint="eastAsia"/>
              </w:rPr>
              <w:t>270</w:t>
            </w:r>
          </w:p>
        </w:tc>
        <w:tc>
          <w:tcPr>
            <w:tcW w:w="1334" w:type="dxa"/>
            <w:tcBorders>
              <w:top w:val="single" w:color="auto" w:sz="8" w:space="0"/>
            </w:tcBorders>
            <w:shd w:val="clear" w:color="auto" w:fill="auto"/>
            <w:vAlign w:val="center"/>
          </w:tcPr>
          <w:p w14:paraId="1273F783">
            <w:pPr>
              <w:pStyle w:val="179"/>
            </w:pPr>
            <w:r>
              <w:rPr>
                <w:rFonts w:hint="eastAsia"/>
              </w:rPr>
              <w:t>1</w:t>
            </w:r>
            <w:r>
              <w:t>35</w:t>
            </w:r>
          </w:p>
        </w:tc>
      </w:tr>
      <w:tr w14:paraId="5CEB6F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332" w:type="dxa"/>
            <w:vMerge w:val="continue"/>
            <w:shd w:val="clear" w:color="auto" w:fill="auto"/>
            <w:vAlign w:val="center"/>
          </w:tcPr>
          <w:p w14:paraId="26AEA405">
            <w:pPr>
              <w:pStyle w:val="179"/>
            </w:pPr>
          </w:p>
        </w:tc>
        <w:tc>
          <w:tcPr>
            <w:tcW w:w="1333" w:type="dxa"/>
            <w:vMerge w:val="continue"/>
            <w:shd w:val="clear" w:color="auto" w:fill="auto"/>
            <w:vAlign w:val="center"/>
          </w:tcPr>
          <w:p w14:paraId="14D726EA">
            <w:pPr>
              <w:pStyle w:val="179"/>
            </w:pPr>
          </w:p>
        </w:tc>
        <w:tc>
          <w:tcPr>
            <w:tcW w:w="1333" w:type="dxa"/>
            <w:shd w:val="clear" w:color="auto" w:fill="auto"/>
            <w:vAlign w:val="center"/>
          </w:tcPr>
          <w:p w14:paraId="1CFCA358">
            <w:pPr>
              <w:pStyle w:val="179"/>
            </w:pPr>
            <w:r>
              <w:rPr>
                <w:rFonts w:hint="eastAsia"/>
              </w:rPr>
              <w:t>一般地区8</w:t>
            </w:r>
            <w:r>
              <w:t>%</w:t>
            </w:r>
          </w:p>
        </w:tc>
        <w:tc>
          <w:tcPr>
            <w:tcW w:w="1334" w:type="dxa"/>
            <w:shd w:val="clear" w:color="auto" w:fill="auto"/>
            <w:vAlign w:val="center"/>
          </w:tcPr>
          <w:p w14:paraId="2313339F">
            <w:pPr>
              <w:pStyle w:val="179"/>
            </w:pPr>
            <w:r>
              <w:rPr>
                <w:rFonts w:hint="eastAsia"/>
              </w:rPr>
              <w:t>650</w:t>
            </w:r>
          </w:p>
        </w:tc>
        <w:tc>
          <w:tcPr>
            <w:tcW w:w="1334" w:type="dxa"/>
            <w:shd w:val="clear" w:color="auto" w:fill="auto"/>
            <w:vAlign w:val="center"/>
          </w:tcPr>
          <w:p w14:paraId="32B02DA2">
            <w:pPr>
              <w:pStyle w:val="179"/>
            </w:pPr>
            <w:r>
              <w:rPr>
                <w:rFonts w:hint="eastAsia"/>
              </w:rPr>
              <w:t>400</w:t>
            </w:r>
          </w:p>
        </w:tc>
        <w:tc>
          <w:tcPr>
            <w:tcW w:w="1334" w:type="dxa"/>
            <w:shd w:val="clear" w:color="auto" w:fill="auto"/>
            <w:vAlign w:val="center"/>
          </w:tcPr>
          <w:p w14:paraId="2BD375A5">
            <w:pPr>
              <w:pStyle w:val="179"/>
            </w:pPr>
            <w:r>
              <w:rPr>
                <w:rFonts w:hint="eastAsia"/>
              </w:rPr>
              <w:t>250</w:t>
            </w:r>
          </w:p>
        </w:tc>
        <w:tc>
          <w:tcPr>
            <w:tcW w:w="1334" w:type="dxa"/>
            <w:shd w:val="clear" w:color="auto" w:fill="auto"/>
            <w:vAlign w:val="center"/>
          </w:tcPr>
          <w:p w14:paraId="6A5513F4">
            <w:pPr>
              <w:pStyle w:val="179"/>
            </w:pPr>
            <w:r>
              <w:rPr>
                <w:rFonts w:hint="eastAsia"/>
              </w:rPr>
              <w:t>125</w:t>
            </w:r>
          </w:p>
        </w:tc>
      </w:tr>
      <w:tr w14:paraId="162671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75" w:hRule="atLeast"/>
          <w:jc w:val="center"/>
        </w:trPr>
        <w:tc>
          <w:tcPr>
            <w:tcW w:w="3998" w:type="dxa"/>
            <w:gridSpan w:val="3"/>
            <w:shd w:val="clear" w:color="auto" w:fill="auto"/>
            <w:vAlign w:val="center"/>
          </w:tcPr>
          <w:p w14:paraId="1F3D7CEC">
            <w:pPr>
              <w:pStyle w:val="179"/>
            </w:pPr>
            <w:r>
              <w:rPr>
                <w:rFonts w:hint="eastAsia"/>
              </w:rPr>
              <w:t>不设</w:t>
            </w:r>
            <w:r>
              <w:t>超高的</w:t>
            </w:r>
            <w:r>
              <w:rPr>
                <w:rFonts w:hint="eastAsia"/>
              </w:rPr>
              <w:t>圆曲线最小半径(m)</w:t>
            </w:r>
          </w:p>
        </w:tc>
        <w:tc>
          <w:tcPr>
            <w:tcW w:w="1334" w:type="dxa"/>
            <w:shd w:val="clear" w:color="auto" w:fill="auto"/>
            <w:vAlign w:val="center"/>
          </w:tcPr>
          <w:p w14:paraId="14EE3231">
            <w:pPr>
              <w:pStyle w:val="179"/>
            </w:pPr>
            <w:r>
              <w:rPr>
                <w:rFonts w:hint="eastAsia"/>
              </w:rPr>
              <w:t>5500</w:t>
            </w:r>
          </w:p>
        </w:tc>
        <w:tc>
          <w:tcPr>
            <w:tcW w:w="1334" w:type="dxa"/>
            <w:shd w:val="clear" w:color="auto" w:fill="auto"/>
            <w:vAlign w:val="center"/>
          </w:tcPr>
          <w:p w14:paraId="11084E15">
            <w:pPr>
              <w:pStyle w:val="179"/>
            </w:pPr>
            <w:r>
              <w:rPr>
                <w:rFonts w:hint="eastAsia"/>
              </w:rPr>
              <w:t>4000</w:t>
            </w:r>
          </w:p>
        </w:tc>
        <w:tc>
          <w:tcPr>
            <w:tcW w:w="1334" w:type="dxa"/>
            <w:shd w:val="clear" w:color="auto" w:fill="auto"/>
            <w:vAlign w:val="center"/>
          </w:tcPr>
          <w:p w14:paraId="06A82BA9">
            <w:pPr>
              <w:pStyle w:val="179"/>
            </w:pPr>
            <w:r>
              <w:rPr>
                <w:rFonts w:hint="eastAsia"/>
              </w:rPr>
              <w:t>2500</w:t>
            </w:r>
          </w:p>
        </w:tc>
        <w:tc>
          <w:tcPr>
            <w:tcW w:w="1334" w:type="dxa"/>
            <w:shd w:val="clear" w:color="auto" w:fill="auto"/>
            <w:vAlign w:val="center"/>
          </w:tcPr>
          <w:p w14:paraId="7C9FB66D">
            <w:pPr>
              <w:pStyle w:val="179"/>
            </w:pPr>
            <w:r>
              <w:rPr>
                <w:rFonts w:hint="eastAsia"/>
              </w:rPr>
              <w:t>1500</w:t>
            </w:r>
          </w:p>
        </w:tc>
      </w:tr>
      <w:tr w14:paraId="35B71A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998" w:type="dxa"/>
            <w:gridSpan w:val="3"/>
            <w:shd w:val="clear" w:color="auto" w:fill="auto"/>
            <w:vAlign w:val="center"/>
          </w:tcPr>
          <w:p w14:paraId="54E7C932">
            <w:pPr>
              <w:pStyle w:val="179"/>
            </w:pPr>
            <w:r>
              <w:rPr>
                <w:rFonts w:hint="eastAsia"/>
              </w:rPr>
              <w:t>回旋线</w:t>
            </w:r>
            <w:r>
              <w:t>最小长度</w:t>
            </w:r>
            <w:r>
              <w:rPr>
                <w:rFonts w:hint="eastAsia"/>
              </w:rPr>
              <w:t>(m)</w:t>
            </w:r>
          </w:p>
        </w:tc>
        <w:tc>
          <w:tcPr>
            <w:tcW w:w="1334" w:type="dxa"/>
            <w:shd w:val="clear" w:color="auto" w:fill="auto"/>
            <w:vAlign w:val="center"/>
          </w:tcPr>
          <w:p w14:paraId="5B1E5AFB">
            <w:pPr>
              <w:pStyle w:val="179"/>
            </w:pPr>
            <w:r>
              <w:rPr>
                <w:rFonts w:hint="eastAsia"/>
              </w:rPr>
              <w:t>100</w:t>
            </w:r>
          </w:p>
        </w:tc>
        <w:tc>
          <w:tcPr>
            <w:tcW w:w="1334" w:type="dxa"/>
            <w:shd w:val="clear" w:color="auto" w:fill="auto"/>
            <w:vAlign w:val="center"/>
          </w:tcPr>
          <w:p w14:paraId="36953B88">
            <w:pPr>
              <w:pStyle w:val="179"/>
            </w:pPr>
            <w:r>
              <w:rPr>
                <w:rFonts w:hint="eastAsia"/>
              </w:rPr>
              <w:t>85</w:t>
            </w:r>
          </w:p>
        </w:tc>
        <w:tc>
          <w:tcPr>
            <w:tcW w:w="1334" w:type="dxa"/>
            <w:shd w:val="clear" w:color="auto" w:fill="auto"/>
            <w:vAlign w:val="center"/>
          </w:tcPr>
          <w:p w14:paraId="16199CE9">
            <w:pPr>
              <w:pStyle w:val="179"/>
            </w:pPr>
            <w:r>
              <w:rPr>
                <w:rFonts w:hint="eastAsia"/>
              </w:rPr>
              <w:t>70</w:t>
            </w:r>
          </w:p>
        </w:tc>
        <w:tc>
          <w:tcPr>
            <w:tcW w:w="1334" w:type="dxa"/>
            <w:shd w:val="clear" w:color="auto" w:fill="auto"/>
            <w:vAlign w:val="center"/>
          </w:tcPr>
          <w:p w14:paraId="6FA55B93">
            <w:pPr>
              <w:pStyle w:val="179"/>
            </w:pPr>
            <w:r>
              <w:rPr>
                <w:rFonts w:hint="eastAsia"/>
              </w:rPr>
              <w:t>50</w:t>
            </w:r>
          </w:p>
        </w:tc>
      </w:tr>
    </w:tbl>
    <w:p w14:paraId="4B4F1819">
      <w:pPr>
        <w:pStyle w:val="106"/>
        <w:spacing w:before="156" w:after="156"/>
        <w:rPr>
          <w:rStyle w:val="231"/>
          <w:rFonts w:hint="eastAsia"/>
          <w:color w:val="000000"/>
          <w:sz w:val="21"/>
          <w:szCs w:val="44"/>
        </w:rPr>
      </w:pPr>
      <w:bookmarkStart w:id="219" w:name="_Toc30505"/>
      <w:r>
        <w:rPr>
          <w:rStyle w:val="231"/>
          <w:rFonts w:hint="eastAsia"/>
          <w:color w:val="000000"/>
          <w:sz w:val="21"/>
          <w:szCs w:val="44"/>
        </w:rPr>
        <w:t>视距</w:t>
      </w:r>
      <w:bookmarkEnd w:id="219"/>
    </w:p>
    <w:p w14:paraId="345C660D">
      <w:pPr>
        <w:pStyle w:val="166"/>
      </w:pPr>
      <w:r>
        <w:rPr>
          <w:rFonts w:hint="eastAsia"/>
        </w:rPr>
        <w:t>一般路段的视距应采用停车视距，每条车道的停车视距应不小于表8的规定；互通式立交、服务区（停车区）等各类出口路段，</w:t>
      </w:r>
      <w:r>
        <w:t>宜</w:t>
      </w:r>
      <w:r>
        <w:rPr>
          <w:rFonts w:hint="eastAsia"/>
        </w:rPr>
        <w:t>满足表9识别视距的要求。</w:t>
      </w:r>
    </w:p>
    <w:p w14:paraId="57C3DAEF">
      <w:pPr>
        <w:pStyle w:val="175"/>
        <w:numPr>
          <w:ilvl w:val="0"/>
          <w:numId w:val="40"/>
        </w:numPr>
      </w:pPr>
      <w:r>
        <w:rPr>
          <w:rFonts w:hint="eastAsia" w:ascii="Times New Roman"/>
        </w:rPr>
        <w:t>路基</w:t>
      </w:r>
      <w:r>
        <w:rPr>
          <w:rFonts w:hint="eastAsia"/>
        </w:rPr>
        <w:t>、中小桥等普通路段，停车视距可结合危险因素发生几率论证执行。</w:t>
      </w:r>
    </w:p>
    <w:p w14:paraId="7AEE753B">
      <w:pPr>
        <w:pStyle w:val="175"/>
        <w:rPr>
          <w:rFonts w:hint="eastAsia"/>
        </w:rPr>
      </w:pPr>
      <w:r>
        <w:rPr>
          <w:rFonts w:hint="eastAsia"/>
        </w:rPr>
        <w:t>受</w:t>
      </w:r>
      <w:r>
        <w:rPr>
          <w:rFonts w:hint="eastAsia" w:ascii="Times New Roman"/>
        </w:rPr>
        <w:t>地形</w:t>
      </w:r>
      <w:r>
        <w:rPr>
          <w:rFonts w:hint="eastAsia"/>
        </w:rPr>
        <w:t>、地质等条件限制路段，识别视距可采用1.25倍的停车视距，但应进行必要的限速控制和管理措施。</w:t>
      </w:r>
    </w:p>
    <w:p w14:paraId="61B15BF6">
      <w:pPr>
        <w:pStyle w:val="113"/>
        <w:spacing w:before="156" w:after="156"/>
      </w:pPr>
      <w:r>
        <w:rPr>
          <w:rFonts w:hint="eastAsia"/>
        </w:rPr>
        <w:t>停车视距</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1F439A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1B37EC29">
            <w:pPr>
              <w:pStyle w:val="179"/>
            </w:pPr>
            <w:r>
              <w:rPr>
                <w:rFonts w:hint="eastAsia"/>
              </w:rPr>
              <w:t>设计速度(km/h)</w:t>
            </w:r>
          </w:p>
        </w:tc>
        <w:tc>
          <w:tcPr>
            <w:tcW w:w="1867" w:type="dxa"/>
            <w:tcBorders>
              <w:top w:val="single" w:color="auto" w:sz="8" w:space="0"/>
              <w:bottom w:val="single" w:color="auto" w:sz="8" w:space="0"/>
            </w:tcBorders>
            <w:shd w:val="clear" w:color="auto" w:fill="auto"/>
            <w:vAlign w:val="center"/>
          </w:tcPr>
          <w:p w14:paraId="4B6B94D2">
            <w:pPr>
              <w:pStyle w:val="179"/>
            </w:pPr>
            <w:r>
              <w:rPr>
                <w:rFonts w:hint="eastAsia"/>
              </w:rPr>
              <w:t>120</w:t>
            </w:r>
          </w:p>
        </w:tc>
        <w:tc>
          <w:tcPr>
            <w:tcW w:w="1867" w:type="dxa"/>
            <w:tcBorders>
              <w:top w:val="single" w:color="auto" w:sz="8" w:space="0"/>
              <w:bottom w:val="single" w:color="auto" w:sz="8" w:space="0"/>
            </w:tcBorders>
            <w:shd w:val="clear" w:color="auto" w:fill="auto"/>
            <w:vAlign w:val="center"/>
          </w:tcPr>
          <w:p w14:paraId="79391F0B">
            <w:pPr>
              <w:pStyle w:val="179"/>
            </w:pPr>
            <w:r>
              <w:rPr>
                <w:rFonts w:hint="eastAsia"/>
              </w:rPr>
              <w:t>100</w:t>
            </w:r>
          </w:p>
        </w:tc>
        <w:tc>
          <w:tcPr>
            <w:tcW w:w="1867" w:type="dxa"/>
            <w:tcBorders>
              <w:top w:val="single" w:color="auto" w:sz="8" w:space="0"/>
              <w:bottom w:val="single" w:color="auto" w:sz="8" w:space="0"/>
            </w:tcBorders>
            <w:shd w:val="clear" w:color="auto" w:fill="auto"/>
            <w:vAlign w:val="center"/>
          </w:tcPr>
          <w:p w14:paraId="1F68D246">
            <w:pPr>
              <w:pStyle w:val="179"/>
            </w:pPr>
            <w:r>
              <w:rPr>
                <w:rFonts w:hint="eastAsia"/>
              </w:rPr>
              <w:t>80</w:t>
            </w:r>
          </w:p>
        </w:tc>
        <w:tc>
          <w:tcPr>
            <w:tcW w:w="1867" w:type="dxa"/>
            <w:tcBorders>
              <w:top w:val="single" w:color="auto" w:sz="8" w:space="0"/>
              <w:bottom w:val="single" w:color="auto" w:sz="8" w:space="0"/>
            </w:tcBorders>
            <w:shd w:val="clear" w:color="auto" w:fill="auto"/>
            <w:vAlign w:val="center"/>
          </w:tcPr>
          <w:p w14:paraId="135782DA">
            <w:pPr>
              <w:pStyle w:val="179"/>
            </w:pPr>
            <w:r>
              <w:rPr>
                <w:rFonts w:hint="eastAsia"/>
              </w:rPr>
              <w:t>60</w:t>
            </w:r>
          </w:p>
        </w:tc>
      </w:tr>
      <w:tr w14:paraId="2626D4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7F812D70">
            <w:pPr>
              <w:pStyle w:val="179"/>
            </w:pPr>
            <w:r>
              <w:rPr>
                <w:rFonts w:hint="eastAsia"/>
              </w:rPr>
              <w:t>停车视距(m)</w:t>
            </w:r>
          </w:p>
        </w:tc>
        <w:tc>
          <w:tcPr>
            <w:tcW w:w="1867" w:type="dxa"/>
            <w:tcBorders>
              <w:top w:val="single" w:color="auto" w:sz="8" w:space="0"/>
            </w:tcBorders>
            <w:shd w:val="clear" w:color="auto" w:fill="auto"/>
            <w:vAlign w:val="center"/>
          </w:tcPr>
          <w:p w14:paraId="19B917A1">
            <w:pPr>
              <w:pStyle w:val="179"/>
            </w:pPr>
            <w:r>
              <w:rPr>
                <w:rFonts w:hint="eastAsia"/>
              </w:rPr>
              <w:t>210</w:t>
            </w:r>
          </w:p>
        </w:tc>
        <w:tc>
          <w:tcPr>
            <w:tcW w:w="1867" w:type="dxa"/>
            <w:tcBorders>
              <w:top w:val="single" w:color="auto" w:sz="8" w:space="0"/>
            </w:tcBorders>
            <w:shd w:val="clear" w:color="auto" w:fill="auto"/>
            <w:vAlign w:val="center"/>
          </w:tcPr>
          <w:p w14:paraId="6CCC2B5D">
            <w:pPr>
              <w:pStyle w:val="179"/>
            </w:pPr>
            <w:r>
              <w:rPr>
                <w:rFonts w:hint="eastAsia"/>
              </w:rPr>
              <w:t>1</w:t>
            </w:r>
            <w:r>
              <w:t>60</w:t>
            </w:r>
          </w:p>
        </w:tc>
        <w:tc>
          <w:tcPr>
            <w:tcW w:w="1867" w:type="dxa"/>
            <w:tcBorders>
              <w:top w:val="single" w:color="auto" w:sz="8" w:space="0"/>
            </w:tcBorders>
            <w:shd w:val="clear" w:color="auto" w:fill="auto"/>
            <w:vAlign w:val="center"/>
          </w:tcPr>
          <w:p w14:paraId="6FA8919B">
            <w:pPr>
              <w:pStyle w:val="179"/>
            </w:pPr>
            <w:r>
              <w:rPr>
                <w:rFonts w:hint="eastAsia"/>
              </w:rPr>
              <w:t>110</w:t>
            </w:r>
          </w:p>
        </w:tc>
        <w:tc>
          <w:tcPr>
            <w:tcW w:w="1867" w:type="dxa"/>
            <w:tcBorders>
              <w:top w:val="single" w:color="auto" w:sz="8" w:space="0"/>
            </w:tcBorders>
            <w:shd w:val="clear" w:color="auto" w:fill="auto"/>
            <w:vAlign w:val="center"/>
          </w:tcPr>
          <w:p w14:paraId="30E6ED35">
            <w:pPr>
              <w:pStyle w:val="179"/>
            </w:pPr>
            <w:r>
              <w:rPr>
                <w:rFonts w:hint="eastAsia"/>
              </w:rPr>
              <w:t>75</w:t>
            </w:r>
          </w:p>
        </w:tc>
      </w:tr>
    </w:tbl>
    <w:p w14:paraId="5733D3CA">
      <w:pPr>
        <w:pStyle w:val="113"/>
        <w:spacing w:before="156" w:after="156"/>
      </w:pPr>
      <w:r>
        <w:rPr>
          <w:rFonts w:hint="eastAsia"/>
        </w:rPr>
        <w:t>识别视距</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2CD5CF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1EB73AEE">
            <w:pPr>
              <w:pStyle w:val="179"/>
            </w:pPr>
            <w:r>
              <w:rPr>
                <w:rFonts w:hint="eastAsia"/>
              </w:rPr>
              <w:t>设计速度(km/h)</w:t>
            </w:r>
          </w:p>
        </w:tc>
        <w:tc>
          <w:tcPr>
            <w:tcW w:w="1867" w:type="dxa"/>
            <w:tcBorders>
              <w:top w:val="single" w:color="auto" w:sz="8" w:space="0"/>
              <w:bottom w:val="single" w:color="auto" w:sz="8" w:space="0"/>
            </w:tcBorders>
            <w:shd w:val="clear" w:color="auto" w:fill="auto"/>
            <w:vAlign w:val="center"/>
          </w:tcPr>
          <w:p w14:paraId="765C6C90">
            <w:pPr>
              <w:pStyle w:val="179"/>
            </w:pPr>
            <w:r>
              <w:rPr>
                <w:rFonts w:hint="eastAsia"/>
              </w:rPr>
              <w:t>120</w:t>
            </w:r>
          </w:p>
        </w:tc>
        <w:tc>
          <w:tcPr>
            <w:tcW w:w="1867" w:type="dxa"/>
            <w:tcBorders>
              <w:top w:val="single" w:color="auto" w:sz="8" w:space="0"/>
              <w:bottom w:val="single" w:color="auto" w:sz="8" w:space="0"/>
            </w:tcBorders>
            <w:shd w:val="clear" w:color="auto" w:fill="auto"/>
            <w:vAlign w:val="center"/>
          </w:tcPr>
          <w:p w14:paraId="52BDC1AE">
            <w:pPr>
              <w:pStyle w:val="179"/>
            </w:pPr>
            <w:r>
              <w:rPr>
                <w:rFonts w:hint="eastAsia"/>
              </w:rPr>
              <w:t>100</w:t>
            </w:r>
          </w:p>
        </w:tc>
        <w:tc>
          <w:tcPr>
            <w:tcW w:w="1867" w:type="dxa"/>
            <w:tcBorders>
              <w:top w:val="single" w:color="auto" w:sz="8" w:space="0"/>
              <w:bottom w:val="single" w:color="auto" w:sz="8" w:space="0"/>
            </w:tcBorders>
            <w:shd w:val="clear" w:color="auto" w:fill="auto"/>
            <w:vAlign w:val="center"/>
          </w:tcPr>
          <w:p w14:paraId="54BC034E">
            <w:pPr>
              <w:pStyle w:val="179"/>
            </w:pPr>
            <w:r>
              <w:rPr>
                <w:rFonts w:hint="eastAsia"/>
              </w:rPr>
              <w:t>80</w:t>
            </w:r>
          </w:p>
        </w:tc>
        <w:tc>
          <w:tcPr>
            <w:tcW w:w="1867" w:type="dxa"/>
            <w:tcBorders>
              <w:top w:val="single" w:color="auto" w:sz="8" w:space="0"/>
              <w:bottom w:val="single" w:color="auto" w:sz="8" w:space="0"/>
            </w:tcBorders>
            <w:shd w:val="clear" w:color="auto" w:fill="auto"/>
            <w:vAlign w:val="center"/>
          </w:tcPr>
          <w:p w14:paraId="4BD7B209">
            <w:pPr>
              <w:pStyle w:val="179"/>
            </w:pPr>
            <w:r>
              <w:rPr>
                <w:rFonts w:hint="eastAsia"/>
              </w:rPr>
              <w:t>60</w:t>
            </w:r>
          </w:p>
        </w:tc>
      </w:tr>
      <w:tr w14:paraId="61A444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2196639B">
            <w:pPr>
              <w:pStyle w:val="179"/>
            </w:pPr>
            <w:r>
              <w:rPr>
                <w:color w:val="FF0000"/>
              </w:rPr>
              <w:t>识别</w:t>
            </w:r>
            <w:r>
              <w:rPr>
                <w:rFonts w:hint="eastAsia"/>
              </w:rPr>
              <w:t>视距(m)</w:t>
            </w:r>
          </w:p>
        </w:tc>
        <w:tc>
          <w:tcPr>
            <w:tcW w:w="1867" w:type="dxa"/>
            <w:tcBorders>
              <w:top w:val="single" w:color="auto" w:sz="8" w:space="0"/>
            </w:tcBorders>
            <w:shd w:val="clear" w:color="auto" w:fill="auto"/>
            <w:vAlign w:val="center"/>
          </w:tcPr>
          <w:p w14:paraId="2178071B">
            <w:pPr>
              <w:pStyle w:val="179"/>
            </w:pPr>
            <w:r>
              <w:rPr>
                <w:rFonts w:hint="eastAsia"/>
              </w:rPr>
              <w:t>350（460）</w:t>
            </w:r>
          </w:p>
        </w:tc>
        <w:tc>
          <w:tcPr>
            <w:tcW w:w="1867" w:type="dxa"/>
            <w:tcBorders>
              <w:top w:val="single" w:color="auto" w:sz="8" w:space="0"/>
            </w:tcBorders>
            <w:shd w:val="clear" w:color="auto" w:fill="auto"/>
            <w:vAlign w:val="center"/>
          </w:tcPr>
          <w:p w14:paraId="14B54977">
            <w:pPr>
              <w:pStyle w:val="179"/>
            </w:pPr>
            <w:r>
              <w:rPr>
                <w:rFonts w:hint="eastAsia"/>
              </w:rPr>
              <w:t>290（380）</w:t>
            </w:r>
          </w:p>
        </w:tc>
        <w:tc>
          <w:tcPr>
            <w:tcW w:w="1867" w:type="dxa"/>
            <w:tcBorders>
              <w:top w:val="single" w:color="auto" w:sz="8" w:space="0"/>
            </w:tcBorders>
            <w:shd w:val="clear" w:color="auto" w:fill="auto"/>
            <w:vAlign w:val="center"/>
          </w:tcPr>
          <w:p w14:paraId="09D0059E">
            <w:pPr>
              <w:pStyle w:val="179"/>
            </w:pPr>
            <w:r>
              <w:rPr>
                <w:rFonts w:hint="eastAsia"/>
              </w:rPr>
              <w:t>230（300）</w:t>
            </w:r>
          </w:p>
        </w:tc>
        <w:tc>
          <w:tcPr>
            <w:tcW w:w="1867" w:type="dxa"/>
            <w:tcBorders>
              <w:top w:val="single" w:color="auto" w:sz="8" w:space="0"/>
            </w:tcBorders>
            <w:shd w:val="clear" w:color="auto" w:fill="auto"/>
            <w:vAlign w:val="center"/>
          </w:tcPr>
          <w:p w14:paraId="0C743865">
            <w:pPr>
              <w:pStyle w:val="179"/>
            </w:pPr>
            <w:r>
              <w:rPr>
                <w:rFonts w:hint="eastAsia"/>
              </w:rPr>
              <w:t>170（240）</w:t>
            </w:r>
          </w:p>
        </w:tc>
      </w:tr>
      <w:tr w14:paraId="108239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5"/>
            <w:shd w:val="clear" w:color="auto" w:fill="auto"/>
            <w:vAlign w:val="center"/>
          </w:tcPr>
          <w:p w14:paraId="77659E99">
            <w:pPr>
              <w:pStyle w:val="179"/>
            </w:pPr>
            <w:r>
              <w:t>括</w:t>
            </w:r>
            <w:r>
              <w:rPr>
                <w:szCs w:val="18"/>
              </w:rPr>
              <w:t>号中为行车环境复杂、路侧出口提示信息较多时应采取的视距值。</w:t>
            </w:r>
          </w:p>
        </w:tc>
      </w:tr>
    </w:tbl>
    <w:p w14:paraId="6CF20E01">
      <w:pPr>
        <w:pStyle w:val="181"/>
        <w:numPr>
          <w:ilvl w:val="0"/>
          <w:numId w:val="41"/>
        </w:numPr>
      </w:pPr>
      <w:r>
        <w:rPr>
          <w:rFonts w:hint="eastAsia"/>
        </w:rPr>
        <w:t>上述两表采用公路路线设计规范JTG D20-2017中停车视距和识别视距的相应指标，但停车视距具体执行上允许区别不同情况。</w:t>
      </w:r>
    </w:p>
    <w:p w14:paraId="1D10299C">
      <w:pPr>
        <w:pStyle w:val="181"/>
      </w:pPr>
      <w:r>
        <w:rPr>
          <w:rFonts w:hint="eastAsia"/>
        </w:rPr>
        <w:t>停车视距目前设计上习惯沿用2006版路线设计规范以强制性条款执行，并在线形设计上予以满足。其中重点是小半径左转曲线中央分隔带停车视距，需要的圆曲线半径远大于规范极限值或一般值，对地形困难路段的工程规模影响较大，目前在行业内存在不同看法。</w:t>
      </w:r>
    </w:p>
    <w:p w14:paraId="2DE94120">
      <w:pPr>
        <w:pStyle w:val="181"/>
      </w:pPr>
      <w:r>
        <w:rPr>
          <w:rFonts w:hint="eastAsia"/>
        </w:rPr>
        <w:t>2017版路线设计规范中视距用词改为“应”，要求有所降低。国内既有高速公路事故调查结果显示，事故主要集中在互通立交进出口等特殊路段，其他路段尚无交通事故与线形指标相关的评价结论（省内成渝高速公路龙泉山段线形指标较低，有2处最小半径160m，左转曲线中央分隔带视距不满足要求，其后评价报告显示该路段事故率与其他路段并无明显差异）。</w:t>
      </w:r>
    </w:p>
    <w:p w14:paraId="687442E9">
      <w:pPr>
        <w:pStyle w:val="166"/>
      </w:pPr>
      <w:r>
        <w:rPr>
          <w:rFonts w:hint="eastAsia"/>
        </w:rPr>
        <w:t>普通路段当视距不满足表8规定时，宜按照以下方式进一步分析评价：</w:t>
      </w:r>
    </w:p>
    <w:p w14:paraId="4F37E020">
      <w:pPr>
        <w:pStyle w:val="175"/>
        <w:numPr>
          <w:ilvl w:val="0"/>
          <w:numId w:val="42"/>
        </w:numPr>
      </w:pPr>
      <w:r>
        <w:rPr>
          <w:rFonts w:hint="eastAsia"/>
        </w:rPr>
        <w:t>视距计算综合考虑平纵横的空间关系；</w:t>
      </w:r>
    </w:p>
    <w:p w14:paraId="243E6125">
      <w:pPr>
        <w:pStyle w:val="175"/>
      </w:pPr>
      <w:r>
        <w:rPr>
          <w:rFonts w:hAnsi="宋体" w:cs="宋体"/>
          <w:color w:val="FF0000"/>
        </w:rPr>
        <w:t>年平均日设计</w:t>
      </w:r>
      <w:r>
        <w:rPr>
          <w:rFonts w:hAnsi="宋体" w:cs="宋体"/>
          <w:color w:val="000000"/>
        </w:rPr>
        <w:t>交通量</w:t>
      </w:r>
      <w:r>
        <w:rPr>
          <w:rFonts w:hint="eastAsia"/>
        </w:rPr>
        <w:t>小于15000pcu/d且同向有两条车道时，横净距可按变道视线计算。</w:t>
      </w:r>
    </w:p>
    <w:p w14:paraId="0814729D">
      <w:pPr>
        <w:pStyle w:val="180"/>
      </w:pPr>
      <w:r>
        <w:rPr>
          <w:rFonts w:hint="eastAsia"/>
        </w:rPr>
        <w:t>目前视距一般仅独立考虑平、纵、横的条件，尤其是中央分隔带视距，并未考虑空间关系（如平曲线与凹形竖曲线组合）对视距的有利条件；另外，交通量很小的多车道公路，车辆有机会通过变道来改善同一车道视距不良的问题。为充分利用这些有利条件，对普通路段（路基、中小桥等路段）提出了进一步分析评价的</w:t>
      </w:r>
      <w:r>
        <w:t>规定</w:t>
      </w:r>
      <w:r>
        <w:rPr>
          <w:rFonts w:hint="eastAsia"/>
        </w:rPr>
        <w:t>。</w:t>
      </w:r>
    </w:p>
    <w:p w14:paraId="137DB6CC">
      <w:pPr>
        <w:pStyle w:val="166"/>
      </w:pPr>
      <w:r>
        <w:rPr>
          <w:rFonts w:hint="eastAsia"/>
        </w:rPr>
        <w:t>视距不满足要求时，可经比较论证采用如下措施。</w:t>
      </w:r>
    </w:p>
    <w:p w14:paraId="58DA67B4">
      <w:pPr>
        <w:pStyle w:val="175"/>
        <w:numPr>
          <w:ilvl w:val="0"/>
          <w:numId w:val="43"/>
        </w:numPr>
      </w:pPr>
      <w:r>
        <w:rPr>
          <w:rFonts w:hint="eastAsia"/>
        </w:rPr>
        <w:t>加宽中间带的路缘带，同时配合路面标线减窄硬路肩，必要时局部加宽路面。</w:t>
      </w:r>
    </w:p>
    <w:p w14:paraId="4DC95C0D">
      <w:pPr>
        <w:pStyle w:val="175"/>
      </w:pPr>
      <w:r>
        <w:rPr>
          <w:rFonts w:hint="eastAsia"/>
        </w:rPr>
        <w:t>切除边坡视距台或限制路外树木区域。</w:t>
      </w:r>
    </w:p>
    <w:p w14:paraId="40DD3BA2">
      <w:pPr>
        <w:pStyle w:val="175"/>
      </w:pPr>
      <w:r>
        <w:rPr>
          <w:rFonts w:hint="eastAsia"/>
        </w:rPr>
        <w:t>改善线形或限速运行。</w:t>
      </w:r>
    </w:p>
    <w:p w14:paraId="024598B0">
      <w:pPr>
        <w:pStyle w:val="175"/>
      </w:pPr>
      <w:r>
        <w:rPr>
          <w:rFonts w:hint="eastAsia"/>
        </w:rPr>
        <w:t>对于</w:t>
      </w:r>
      <w:r>
        <w:rPr>
          <w:color w:val="FF0000"/>
        </w:rPr>
        <w:t>特殊困难</w:t>
      </w:r>
      <w:r>
        <w:rPr>
          <w:rFonts w:hint="eastAsia"/>
        </w:rPr>
        <w:t>路段，可采取摄像头配合路侧大屏显示前方路况等交通工程措施。</w:t>
      </w:r>
    </w:p>
    <w:p w14:paraId="31390375">
      <w:pPr>
        <w:pStyle w:val="106"/>
        <w:spacing w:before="156" w:after="156"/>
        <w:rPr>
          <w:rStyle w:val="231"/>
          <w:rFonts w:hint="eastAsia"/>
          <w:color w:val="000000"/>
          <w:sz w:val="21"/>
          <w:szCs w:val="44"/>
        </w:rPr>
      </w:pPr>
      <w:bookmarkStart w:id="220" w:name="_Toc3462"/>
      <w:r>
        <w:rPr>
          <w:rStyle w:val="231"/>
          <w:rFonts w:hint="eastAsia"/>
          <w:color w:val="000000"/>
          <w:sz w:val="21"/>
          <w:szCs w:val="44"/>
        </w:rPr>
        <w:t>纵坡与坡长</w:t>
      </w:r>
      <w:bookmarkEnd w:id="220"/>
    </w:p>
    <w:p w14:paraId="73467598">
      <w:pPr>
        <w:pStyle w:val="166"/>
      </w:pPr>
      <w:r>
        <w:rPr>
          <w:rFonts w:hint="eastAsia"/>
          <w:bCs/>
        </w:rPr>
        <w:t>纵坡与坡长</w:t>
      </w:r>
      <w:r>
        <w:rPr>
          <w:rFonts w:hint="eastAsia"/>
        </w:rPr>
        <w:t>应符合</w:t>
      </w:r>
      <w:r>
        <w:t>表</w:t>
      </w:r>
      <w:r>
        <w:rPr>
          <w:rFonts w:hint="eastAsia"/>
        </w:rPr>
        <w:t>10的规定。具体设计中，坡长可根据运行速度检验结果适当调整。</w:t>
      </w:r>
    </w:p>
    <w:p w14:paraId="04E79C77">
      <w:pPr>
        <w:pStyle w:val="113"/>
        <w:spacing w:before="156" w:after="156"/>
      </w:pPr>
      <w:r>
        <w:rPr>
          <w:rFonts w:hint="eastAsia"/>
        </w:rPr>
        <w:t>纵坡与坡长</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56"/>
        <w:gridCol w:w="1556"/>
        <w:gridCol w:w="1555"/>
        <w:gridCol w:w="1555"/>
        <w:gridCol w:w="1556"/>
        <w:gridCol w:w="1556"/>
      </w:tblGrid>
      <w:tr w14:paraId="144FBF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2" w:type="dxa"/>
            <w:gridSpan w:val="2"/>
            <w:tcBorders>
              <w:top w:val="single" w:color="auto" w:sz="8" w:space="0"/>
              <w:bottom w:val="single" w:color="auto" w:sz="8" w:space="0"/>
            </w:tcBorders>
            <w:shd w:val="clear" w:color="auto" w:fill="auto"/>
            <w:vAlign w:val="center"/>
          </w:tcPr>
          <w:p w14:paraId="0CA00408">
            <w:pPr>
              <w:pStyle w:val="179"/>
            </w:pPr>
            <w:r>
              <w:rPr>
                <w:rFonts w:hint="eastAsia"/>
              </w:rPr>
              <w:t>设计速度(km/h)</w:t>
            </w:r>
          </w:p>
        </w:tc>
        <w:tc>
          <w:tcPr>
            <w:tcW w:w="1555" w:type="dxa"/>
            <w:tcBorders>
              <w:top w:val="single" w:color="auto" w:sz="8" w:space="0"/>
              <w:bottom w:val="single" w:color="auto" w:sz="8" w:space="0"/>
            </w:tcBorders>
            <w:shd w:val="clear" w:color="auto" w:fill="auto"/>
            <w:vAlign w:val="center"/>
          </w:tcPr>
          <w:p w14:paraId="71C753DC">
            <w:pPr>
              <w:pStyle w:val="179"/>
            </w:pPr>
            <w:r>
              <w:rPr>
                <w:rFonts w:hint="eastAsia"/>
              </w:rPr>
              <w:t>120</w:t>
            </w:r>
          </w:p>
        </w:tc>
        <w:tc>
          <w:tcPr>
            <w:tcW w:w="1555" w:type="dxa"/>
            <w:tcBorders>
              <w:top w:val="single" w:color="auto" w:sz="8" w:space="0"/>
              <w:bottom w:val="single" w:color="auto" w:sz="8" w:space="0"/>
            </w:tcBorders>
            <w:shd w:val="clear" w:color="auto" w:fill="auto"/>
            <w:vAlign w:val="center"/>
          </w:tcPr>
          <w:p w14:paraId="06E91E87">
            <w:pPr>
              <w:pStyle w:val="179"/>
            </w:pPr>
            <w:r>
              <w:rPr>
                <w:rFonts w:hint="eastAsia"/>
              </w:rPr>
              <w:t>100</w:t>
            </w:r>
          </w:p>
        </w:tc>
        <w:tc>
          <w:tcPr>
            <w:tcW w:w="1556" w:type="dxa"/>
            <w:tcBorders>
              <w:top w:val="single" w:color="auto" w:sz="8" w:space="0"/>
              <w:bottom w:val="single" w:color="auto" w:sz="8" w:space="0"/>
            </w:tcBorders>
            <w:shd w:val="clear" w:color="auto" w:fill="auto"/>
            <w:vAlign w:val="center"/>
          </w:tcPr>
          <w:p w14:paraId="3844E168">
            <w:pPr>
              <w:pStyle w:val="179"/>
            </w:pPr>
            <w:r>
              <w:rPr>
                <w:rFonts w:hint="eastAsia"/>
              </w:rPr>
              <w:t>80</w:t>
            </w:r>
          </w:p>
        </w:tc>
        <w:tc>
          <w:tcPr>
            <w:tcW w:w="1556" w:type="dxa"/>
            <w:tcBorders>
              <w:top w:val="single" w:color="auto" w:sz="8" w:space="0"/>
              <w:bottom w:val="single" w:color="auto" w:sz="8" w:space="0"/>
            </w:tcBorders>
            <w:shd w:val="clear" w:color="auto" w:fill="auto"/>
            <w:vAlign w:val="center"/>
          </w:tcPr>
          <w:p w14:paraId="45882DBF">
            <w:pPr>
              <w:pStyle w:val="179"/>
            </w:pPr>
            <w:r>
              <w:rPr>
                <w:rFonts w:hint="eastAsia"/>
              </w:rPr>
              <w:t>60</w:t>
            </w:r>
          </w:p>
        </w:tc>
      </w:tr>
      <w:tr w14:paraId="2822BC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2" w:type="dxa"/>
            <w:gridSpan w:val="2"/>
            <w:tcBorders>
              <w:top w:val="single" w:color="auto" w:sz="8" w:space="0"/>
            </w:tcBorders>
            <w:shd w:val="clear" w:color="auto" w:fill="auto"/>
            <w:vAlign w:val="center"/>
          </w:tcPr>
          <w:p w14:paraId="013805C0">
            <w:pPr>
              <w:pStyle w:val="179"/>
            </w:pPr>
            <w:r>
              <w:rPr>
                <w:rFonts w:hint="eastAsia"/>
              </w:rPr>
              <w:t>最大纵坡(</w:t>
            </w:r>
            <w:r>
              <w:t>%</w:t>
            </w:r>
            <w:r>
              <w:rPr>
                <w:rFonts w:hint="eastAsia"/>
              </w:rPr>
              <w:t>)</w:t>
            </w:r>
          </w:p>
        </w:tc>
        <w:tc>
          <w:tcPr>
            <w:tcW w:w="1555" w:type="dxa"/>
            <w:tcBorders>
              <w:top w:val="single" w:color="auto" w:sz="8" w:space="0"/>
            </w:tcBorders>
            <w:shd w:val="clear" w:color="auto" w:fill="auto"/>
            <w:vAlign w:val="center"/>
          </w:tcPr>
          <w:p w14:paraId="5D41540A">
            <w:pPr>
              <w:pStyle w:val="179"/>
            </w:pPr>
            <w:r>
              <w:rPr>
                <w:rFonts w:hint="eastAsia"/>
              </w:rPr>
              <w:t>3</w:t>
            </w:r>
          </w:p>
        </w:tc>
        <w:tc>
          <w:tcPr>
            <w:tcW w:w="1555" w:type="dxa"/>
            <w:tcBorders>
              <w:top w:val="single" w:color="auto" w:sz="8" w:space="0"/>
            </w:tcBorders>
            <w:shd w:val="clear" w:color="auto" w:fill="auto"/>
            <w:vAlign w:val="center"/>
          </w:tcPr>
          <w:p w14:paraId="2E41F3CE">
            <w:pPr>
              <w:pStyle w:val="179"/>
            </w:pPr>
            <w:r>
              <w:rPr>
                <w:rFonts w:hint="eastAsia"/>
              </w:rPr>
              <w:t>4</w:t>
            </w:r>
          </w:p>
        </w:tc>
        <w:tc>
          <w:tcPr>
            <w:tcW w:w="1556" w:type="dxa"/>
            <w:tcBorders>
              <w:top w:val="single" w:color="auto" w:sz="8" w:space="0"/>
            </w:tcBorders>
            <w:shd w:val="clear" w:color="auto" w:fill="auto"/>
            <w:vAlign w:val="center"/>
          </w:tcPr>
          <w:p w14:paraId="3332E18E">
            <w:pPr>
              <w:pStyle w:val="179"/>
            </w:pPr>
            <w:r>
              <w:rPr>
                <w:rFonts w:hint="eastAsia"/>
              </w:rPr>
              <w:t>5</w:t>
            </w:r>
          </w:p>
        </w:tc>
        <w:tc>
          <w:tcPr>
            <w:tcW w:w="1556" w:type="dxa"/>
            <w:tcBorders>
              <w:top w:val="single" w:color="auto" w:sz="8" w:space="0"/>
            </w:tcBorders>
            <w:shd w:val="clear" w:color="auto" w:fill="auto"/>
            <w:vAlign w:val="center"/>
          </w:tcPr>
          <w:p w14:paraId="4203D582">
            <w:pPr>
              <w:pStyle w:val="179"/>
            </w:pPr>
            <w:r>
              <w:rPr>
                <w:rFonts w:hint="eastAsia"/>
              </w:rPr>
              <w:t>6</w:t>
            </w:r>
          </w:p>
        </w:tc>
      </w:tr>
      <w:tr w14:paraId="69DBCD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2" w:type="dxa"/>
            <w:gridSpan w:val="2"/>
            <w:shd w:val="clear" w:color="auto" w:fill="auto"/>
            <w:vAlign w:val="center"/>
          </w:tcPr>
          <w:p w14:paraId="0D63739A">
            <w:pPr>
              <w:pStyle w:val="179"/>
            </w:pPr>
            <w:r>
              <w:rPr>
                <w:rFonts w:hint="eastAsia"/>
              </w:rPr>
              <w:t>最小坡长</w:t>
            </w:r>
          </w:p>
        </w:tc>
        <w:tc>
          <w:tcPr>
            <w:tcW w:w="1555" w:type="dxa"/>
            <w:shd w:val="clear" w:color="auto" w:fill="auto"/>
            <w:vAlign w:val="center"/>
          </w:tcPr>
          <w:p w14:paraId="3B56A3C7">
            <w:pPr>
              <w:pStyle w:val="179"/>
            </w:pPr>
            <w:r>
              <w:rPr>
                <w:rFonts w:hint="eastAsia"/>
              </w:rPr>
              <w:t>300</w:t>
            </w:r>
          </w:p>
        </w:tc>
        <w:tc>
          <w:tcPr>
            <w:tcW w:w="1555" w:type="dxa"/>
            <w:shd w:val="clear" w:color="auto" w:fill="auto"/>
            <w:vAlign w:val="center"/>
          </w:tcPr>
          <w:p w14:paraId="05D5D20D">
            <w:pPr>
              <w:pStyle w:val="179"/>
            </w:pPr>
            <w:r>
              <w:rPr>
                <w:rFonts w:hint="eastAsia"/>
              </w:rPr>
              <w:t>250</w:t>
            </w:r>
          </w:p>
        </w:tc>
        <w:tc>
          <w:tcPr>
            <w:tcW w:w="1556" w:type="dxa"/>
            <w:shd w:val="clear" w:color="auto" w:fill="auto"/>
            <w:vAlign w:val="center"/>
          </w:tcPr>
          <w:p w14:paraId="76E7FE82">
            <w:pPr>
              <w:pStyle w:val="179"/>
            </w:pPr>
            <w:r>
              <w:rPr>
                <w:rFonts w:hint="eastAsia"/>
              </w:rPr>
              <w:t>200</w:t>
            </w:r>
          </w:p>
        </w:tc>
        <w:tc>
          <w:tcPr>
            <w:tcW w:w="1556" w:type="dxa"/>
            <w:shd w:val="clear" w:color="auto" w:fill="auto"/>
            <w:vAlign w:val="center"/>
          </w:tcPr>
          <w:p w14:paraId="3D1BAD80">
            <w:pPr>
              <w:pStyle w:val="179"/>
            </w:pPr>
            <w:r>
              <w:rPr>
                <w:rFonts w:hint="eastAsia"/>
              </w:rPr>
              <w:t>150</w:t>
            </w:r>
          </w:p>
        </w:tc>
      </w:tr>
      <w:tr w14:paraId="537B21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shd w:val="clear" w:color="auto" w:fill="auto"/>
            <w:vAlign w:val="center"/>
          </w:tcPr>
          <w:p w14:paraId="30587B32">
            <w:pPr>
              <w:pStyle w:val="179"/>
            </w:pPr>
            <w:r>
              <w:rPr>
                <w:rFonts w:hint="eastAsia"/>
              </w:rPr>
              <w:t>不同</w:t>
            </w:r>
            <w:r>
              <w:t>纵坡的</w:t>
            </w:r>
            <w:r>
              <w:rPr>
                <w:rFonts w:hint="eastAsia"/>
              </w:rPr>
              <w:t>最大</w:t>
            </w:r>
            <w:r>
              <w:t>坡长</w:t>
            </w:r>
            <w:r>
              <w:rPr>
                <w:rFonts w:hint="eastAsia"/>
              </w:rPr>
              <w:t>(m)</w:t>
            </w:r>
          </w:p>
        </w:tc>
        <w:tc>
          <w:tcPr>
            <w:tcW w:w="1556" w:type="dxa"/>
            <w:shd w:val="clear" w:color="auto" w:fill="auto"/>
            <w:vAlign w:val="center"/>
          </w:tcPr>
          <w:p w14:paraId="4D7B06B4">
            <w:pPr>
              <w:pStyle w:val="179"/>
            </w:pPr>
            <w:r>
              <w:t>3.0%</w:t>
            </w:r>
          </w:p>
        </w:tc>
        <w:tc>
          <w:tcPr>
            <w:tcW w:w="1555" w:type="dxa"/>
            <w:shd w:val="clear" w:color="auto" w:fill="auto"/>
            <w:vAlign w:val="center"/>
          </w:tcPr>
          <w:p w14:paraId="03BD038E">
            <w:pPr>
              <w:pStyle w:val="179"/>
            </w:pPr>
            <w:r>
              <w:rPr>
                <w:rFonts w:hint="eastAsia"/>
              </w:rPr>
              <w:t>900</w:t>
            </w:r>
          </w:p>
        </w:tc>
        <w:tc>
          <w:tcPr>
            <w:tcW w:w="1555" w:type="dxa"/>
            <w:shd w:val="clear" w:color="auto" w:fill="auto"/>
            <w:vAlign w:val="center"/>
          </w:tcPr>
          <w:p w14:paraId="053E221A">
            <w:pPr>
              <w:pStyle w:val="179"/>
            </w:pPr>
            <w:r>
              <w:rPr>
                <w:rFonts w:hint="eastAsia"/>
              </w:rPr>
              <w:t>1000</w:t>
            </w:r>
          </w:p>
        </w:tc>
        <w:tc>
          <w:tcPr>
            <w:tcW w:w="1556" w:type="dxa"/>
            <w:shd w:val="clear" w:color="auto" w:fill="auto"/>
            <w:vAlign w:val="center"/>
          </w:tcPr>
          <w:p w14:paraId="3BAEE5CF">
            <w:pPr>
              <w:pStyle w:val="179"/>
            </w:pPr>
            <w:r>
              <w:rPr>
                <w:rFonts w:hint="eastAsia"/>
              </w:rPr>
              <w:t>1100</w:t>
            </w:r>
          </w:p>
        </w:tc>
        <w:tc>
          <w:tcPr>
            <w:tcW w:w="1556" w:type="dxa"/>
            <w:shd w:val="clear" w:color="auto" w:fill="auto"/>
            <w:vAlign w:val="center"/>
          </w:tcPr>
          <w:p w14:paraId="3FB3100A">
            <w:pPr>
              <w:pStyle w:val="179"/>
            </w:pPr>
            <w:r>
              <w:rPr>
                <w:rFonts w:hint="eastAsia"/>
              </w:rPr>
              <w:t>1200</w:t>
            </w:r>
          </w:p>
        </w:tc>
      </w:tr>
      <w:tr w14:paraId="5CAA4A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35B986BA">
            <w:pPr>
              <w:pStyle w:val="179"/>
            </w:pPr>
          </w:p>
        </w:tc>
        <w:tc>
          <w:tcPr>
            <w:tcW w:w="1556" w:type="dxa"/>
            <w:shd w:val="clear" w:color="auto" w:fill="auto"/>
            <w:vAlign w:val="center"/>
          </w:tcPr>
          <w:p w14:paraId="29725BCC">
            <w:pPr>
              <w:pStyle w:val="179"/>
            </w:pPr>
            <w:r>
              <w:rPr>
                <w:rFonts w:hint="eastAsia"/>
              </w:rPr>
              <w:t>4.0</w:t>
            </w:r>
            <w:r>
              <w:t>%</w:t>
            </w:r>
          </w:p>
        </w:tc>
        <w:tc>
          <w:tcPr>
            <w:tcW w:w="1555" w:type="dxa"/>
            <w:shd w:val="clear" w:color="auto" w:fill="auto"/>
            <w:vAlign w:val="center"/>
          </w:tcPr>
          <w:p w14:paraId="23386CDD">
            <w:pPr>
              <w:pStyle w:val="179"/>
            </w:pPr>
            <w:r>
              <w:rPr>
                <w:rFonts w:hint="eastAsia"/>
              </w:rPr>
              <w:t>700</w:t>
            </w:r>
          </w:p>
        </w:tc>
        <w:tc>
          <w:tcPr>
            <w:tcW w:w="1555" w:type="dxa"/>
            <w:shd w:val="clear" w:color="auto" w:fill="auto"/>
            <w:vAlign w:val="center"/>
          </w:tcPr>
          <w:p w14:paraId="46B52643">
            <w:pPr>
              <w:pStyle w:val="179"/>
            </w:pPr>
            <w:r>
              <w:rPr>
                <w:rFonts w:hint="eastAsia"/>
              </w:rPr>
              <w:t>800</w:t>
            </w:r>
          </w:p>
        </w:tc>
        <w:tc>
          <w:tcPr>
            <w:tcW w:w="1556" w:type="dxa"/>
            <w:shd w:val="clear" w:color="auto" w:fill="auto"/>
            <w:vAlign w:val="center"/>
          </w:tcPr>
          <w:p w14:paraId="2E89B939">
            <w:pPr>
              <w:pStyle w:val="179"/>
            </w:pPr>
            <w:r>
              <w:rPr>
                <w:rFonts w:hint="eastAsia"/>
              </w:rPr>
              <w:t>900</w:t>
            </w:r>
          </w:p>
        </w:tc>
        <w:tc>
          <w:tcPr>
            <w:tcW w:w="1556" w:type="dxa"/>
            <w:shd w:val="clear" w:color="auto" w:fill="auto"/>
            <w:vAlign w:val="center"/>
          </w:tcPr>
          <w:p w14:paraId="74939439">
            <w:pPr>
              <w:pStyle w:val="179"/>
            </w:pPr>
            <w:r>
              <w:rPr>
                <w:rFonts w:hint="eastAsia"/>
              </w:rPr>
              <w:t>1000</w:t>
            </w:r>
          </w:p>
        </w:tc>
      </w:tr>
      <w:tr w14:paraId="576979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0C0119A3">
            <w:pPr>
              <w:pStyle w:val="179"/>
            </w:pPr>
          </w:p>
        </w:tc>
        <w:tc>
          <w:tcPr>
            <w:tcW w:w="1556" w:type="dxa"/>
            <w:shd w:val="clear" w:color="auto" w:fill="auto"/>
            <w:vAlign w:val="center"/>
          </w:tcPr>
          <w:p w14:paraId="21413CD0">
            <w:pPr>
              <w:pStyle w:val="179"/>
            </w:pPr>
            <w:r>
              <w:rPr>
                <w:rFonts w:hint="eastAsia"/>
              </w:rPr>
              <w:t>5.0</w:t>
            </w:r>
            <w:r>
              <w:t>%</w:t>
            </w:r>
          </w:p>
        </w:tc>
        <w:tc>
          <w:tcPr>
            <w:tcW w:w="1555" w:type="dxa"/>
            <w:shd w:val="clear" w:color="auto" w:fill="auto"/>
            <w:vAlign w:val="center"/>
          </w:tcPr>
          <w:p w14:paraId="5EC6ACAF">
            <w:pPr>
              <w:pStyle w:val="179"/>
            </w:pPr>
            <w:r>
              <w:rPr>
                <w:rFonts w:hint="eastAsia"/>
              </w:rPr>
              <w:t>—</w:t>
            </w:r>
          </w:p>
        </w:tc>
        <w:tc>
          <w:tcPr>
            <w:tcW w:w="1555" w:type="dxa"/>
            <w:shd w:val="clear" w:color="auto" w:fill="auto"/>
            <w:vAlign w:val="center"/>
          </w:tcPr>
          <w:p w14:paraId="06DBAD77">
            <w:pPr>
              <w:pStyle w:val="179"/>
            </w:pPr>
            <w:r>
              <w:rPr>
                <w:rFonts w:hint="eastAsia"/>
              </w:rPr>
              <w:t>600</w:t>
            </w:r>
          </w:p>
        </w:tc>
        <w:tc>
          <w:tcPr>
            <w:tcW w:w="1556" w:type="dxa"/>
            <w:shd w:val="clear" w:color="auto" w:fill="auto"/>
            <w:vAlign w:val="center"/>
          </w:tcPr>
          <w:p w14:paraId="349A5352">
            <w:pPr>
              <w:pStyle w:val="179"/>
            </w:pPr>
            <w:r>
              <w:rPr>
                <w:rFonts w:hint="eastAsia"/>
              </w:rPr>
              <w:t>700</w:t>
            </w:r>
          </w:p>
        </w:tc>
        <w:tc>
          <w:tcPr>
            <w:tcW w:w="1556" w:type="dxa"/>
            <w:shd w:val="clear" w:color="auto" w:fill="auto"/>
            <w:vAlign w:val="center"/>
          </w:tcPr>
          <w:p w14:paraId="1F7B4742">
            <w:pPr>
              <w:pStyle w:val="179"/>
            </w:pPr>
            <w:r>
              <w:rPr>
                <w:rFonts w:hint="eastAsia"/>
              </w:rPr>
              <w:t>800</w:t>
            </w:r>
          </w:p>
        </w:tc>
      </w:tr>
      <w:tr w14:paraId="6BEBD2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04796535">
            <w:pPr>
              <w:pStyle w:val="179"/>
            </w:pPr>
          </w:p>
        </w:tc>
        <w:tc>
          <w:tcPr>
            <w:tcW w:w="1556" w:type="dxa"/>
            <w:shd w:val="clear" w:color="auto" w:fill="auto"/>
            <w:vAlign w:val="center"/>
          </w:tcPr>
          <w:p w14:paraId="402C5F9F">
            <w:pPr>
              <w:pStyle w:val="179"/>
            </w:pPr>
            <w:r>
              <w:rPr>
                <w:rFonts w:hint="eastAsia"/>
              </w:rPr>
              <w:t>6.0</w:t>
            </w:r>
            <w:r>
              <w:t>%</w:t>
            </w:r>
          </w:p>
        </w:tc>
        <w:tc>
          <w:tcPr>
            <w:tcW w:w="1555" w:type="dxa"/>
            <w:shd w:val="clear" w:color="auto" w:fill="auto"/>
            <w:vAlign w:val="center"/>
          </w:tcPr>
          <w:p w14:paraId="015D278A">
            <w:pPr>
              <w:pStyle w:val="179"/>
            </w:pPr>
            <w:r>
              <w:rPr>
                <w:rFonts w:hint="eastAsia"/>
              </w:rPr>
              <w:t>—</w:t>
            </w:r>
          </w:p>
        </w:tc>
        <w:tc>
          <w:tcPr>
            <w:tcW w:w="1555" w:type="dxa"/>
            <w:shd w:val="clear" w:color="auto" w:fill="auto"/>
            <w:vAlign w:val="center"/>
          </w:tcPr>
          <w:p w14:paraId="6DC28543">
            <w:pPr>
              <w:pStyle w:val="179"/>
            </w:pPr>
            <w:r>
              <w:rPr>
                <w:rFonts w:hint="eastAsia"/>
              </w:rPr>
              <w:t>—</w:t>
            </w:r>
          </w:p>
        </w:tc>
        <w:tc>
          <w:tcPr>
            <w:tcW w:w="1556" w:type="dxa"/>
            <w:shd w:val="clear" w:color="auto" w:fill="auto"/>
            <w:vAlign w:val="center"/>
          </w:tcPr>
          <w:p w14:paraId="5A7F5B04">
            <w:pPr>
              <w:pStyle w:val="179"/>
            </w:pPr>
            <w:r>
              <w:rPr>
                <w:rFonts w:hint="eastAsia"/>
              </w:rPr>
              <w:t>500</w:t>
            </w:r>
          </w:p>
        </w:tc>
        <w:tc>
          <w:tcPr>
            <w:tcW w:w="1556" w:type="dxa"/>
            <w:shd w:val="clear" w:color="auto" w:fill="auto"/>
            <w:vAlign w:val="center"/>
          </w:tcPr>
          <w:p w14:paraId="62D3A19C">
            <w:pPr>
              <w:pStyle w:val="179"/>
            </w:pPr>
            <w:r>
              <w:rPr>
                <w:rFonts w:hint="eastAsia"/>
              </w:rPr>
              <w:t>600</w:t>
            </w:r>
          </w:p>
        </w:tc>
      </w:tr>
      <w:tr w14:paraId="232AD4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6"/>
            <w:shd w:val="clear" w:color="auto" w:fill="auto"/>
            <w:vAlign w:val="center"/>
          </w:tcPr>
          <w:p w14:paraId="3B126782">
            <w:pPr>
              <w:pStyle w:val="181"/>
              <w:numPr>
                <w:ilvl w:val="0"/>
                <w:numId w:val="44"/>
              </w:numPr>
            </w:pPr>
            <w:r>
              <w:rPr>
                <w:rFonts w:hint="eastAsia"/>
              </w:rPr>
              <w:t>本表采用《公路路线设计规范》（JTG D20-2017）中纵坡与坡长的相应指标。</w:t>
            </w:r>
          </w:p>
          <w:p w14:paraId="614B5C8F">
            <w:pPr>
              <w:pStyle w:val="181"/>
              <w:rPr>
                <w:rFonts w:hint="eastAsia"/>
              </w:rPr>
            </w:pPr>
            <w:r>
              <w:rPr>
                <w:rFonts w:hint="eastAsia"/>
              </w:rPr>
              <w:t>坡长限制是基于保证载重汽车上坡速度，因运行速度受爬坡前起始速度等的影响，因此具体设计时坡段的坡长限制，允许按照载重汽车不低于上坡容许最低速度的原则，结合运行速度分析结果的高低进行适当调整。</w:t>
            </w:r>
          </w:p>
        </w:tc>
      </w:tr>
    </w:tbl>
    <w:p w14:paraId="142C1A0C">
      <w:pPr>
        <w:pStyle w:val="181"/>
        <w:numPr>
          <w:ilvl w:val="0"/>
          <w:numId w:val="0"/>
        </w:numPr>
        <w:ind w:left="811" w:hanging="448"/>
        <w:rPr>
          <w:rFonts w:hint="eastAsia"/>
        </w:rPr>
      </w:pPr>
    </w:p>
    <w:p w14:paraId="4A9A88B0">
      <w:pPr>
        <w:pStyle w:val="166"/>
        <w:rPr>
          <w:bCs/>
        </w:rPr>
      </w:pPr>
      <w:r>
        <w:rPr>
          <w:rFonts w:hint="eastAsia"/>
          <w:bCs/>
        </w:rPr>
        <w:t>设计</w:t>
      </w:r>
      <w:r>
        <w:rPr>
          <w:bCs/>
        </w:rPr>
        <w:t>速度在80km/h以上，且受地形条件或其他特殊情况限制时，经技术经济论证，最大纵坡可增加1%。</w:t>
      </w:r>
    </w:p>
    <w:p w14:paraId="257A9F88">
      <w:pPr>
        <w:pStyle w:val="166"/>
        <w:rPr>
          <w:bCs/>
        </w:rPr>
      </w:pPr>
      <w:r>
        <w:rPr>
          <w:rFonts w:hint="eastAsia"/>
          <w:bCs/>
        </w:rPr>
        <w:t>设计</w:t>
      </w:r>
      <w:r>
        <w:rPr>
          <w:bCs/>
        </w:rPr>
        <w:t>速度小于或等于80km/h、位于海拔3000m以上</w:t>
      </w:r>
      <w:r>
        <w:rPr>
          <w:rFonts w:hint="eastAsia"/>
          <w:bCs/>
        </w:rPr>
        <w:t>的路段，</w:t>
      </w:r>
      <w:r>
        <w:rPr>
          <w:bCs/>
        </w:rPr>
        <w:t>最大纵坡应按表11折减，但折减后不应小于4%。</w:t>
      </w:r>
    </w:p>
    <w:p w14:paraId="48EBEE56">
      <w:pPr>
        <w:pStyle w:val="113"/>
        <w:spacing w:before="156" w:after="156"/>
        <w:rPr>
          <w:rFonts w:hint="eastAsia" w:hAnsi="宋体" w:cs="黑体"/>
          <w:color w:val="000000" w:themeColor="text1"/>
          <w:kern w:val="2"/>
          <w:szCs w:val="21"/>
          <w:lang w:bidi="ar"/>
          <w14:textFill>
            <w14:solidFill>
              <w14:schemeClr w14:val="tx1"/>
            </w14:solidFill>
          </w14:textFill>
        </w:rPr>
      </w:pPr>
      <w:r>
        <w:rPr>
          <w:rFonts w:hint="eastAsia" w:hAnsi="宋体" w:cs="黑体"/>
          <w:color w:val="000000" w:themeColor="text1"/>
          <w:kern w:val="2"/>
          <w:szCs w:val="21"/>
          <w:lang w:bidi="ar"/>
          <w14:textFill>
            <w14:solidFill>
              <w14:schemeClr w14:val="tx1"/>
            </w14:solidFill>
          </w14:textFill>
        </w:rPr>
        <w:t>高原纵坡折减值</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332"/>
        <w:gridCol w:w="1333"/>
        <w:gridCol w:w="1333"/>
        <w:gridCol w:w="1334"/>
        <w:gridCol w:w="1334"/>
        <w:gridCol w:w="1334"/>
        <w:gridCol w:w="1334"/>
      </w:tblGrid>
      <w:tr w14:paraId="492BD5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665" w:type="dxa"/>
            <w:gridSpan w:val="2"/>
            <w:tcBorders>
              <w:top w:val="single" w:color="auto" w:sz="8" w:space="0"/>
              <w:bottom w:val="single" w:color="auto" w:sz="8" w:space="0"/>
            </w:tcBorders>
            <w:shd w:val="clear" w:color="auto" w:fill="auto"/>
            <w:vAlign w:val="center"/>
          </w:tcPr>
          <w:p w14:paraId="4CB3DA71">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海拔高度（m）</w:t>
            </w:r>
          </w:p>
        </w:tc>
        <w:tc>
          <w:tcPr>
            <w:tcW w:w="1333" w:type="dxa"/>
            <w:tcBorders>
              <w:top w:val="single" w:color="auto" w:sz="8" w:space="0"/>
              <w:bottom w:val="single" w:color="auto" w:sz="8" w:space="0"/>
            </w:tcBorders>
            <w:shd w:val="clear" w:color="auto" w:fill="auto"/>
            <w:vAlign w:val="center"/>
          </w:tcPr>
          <w:p w14:paraId="2ACFF3C6">
            <w:pPr>
              <w:pStyle w:val="179"/>
              <w:rPr>
                <w:color w:val="000000" w:themeColor="text1"/>
                <w:lang w:bidi="ar"/>
                <w14:textFill>
                  <w14:solidFill>
                    <w14:schemeClr w14:val="tx1"/>
                  </w14:solidFill>
                </w14:textFill>
              </w:rPr>
            </w:pPr>
            <w:r>
              <w:rPr>
                <w:rFonts w:ascii="Times New Roman" w:hAnsi="宋体"/>
                <w:bCs/>
                <w:color w:val="000000" w:themeColor="text1"/>
                <w:szCs w:val="18"/>
                <w:lang w:bidi="ar"/>
                <w14:textFill>
                  <w14:solidFill>
                    <w14:schemeClr w14:val="tx1"/>
                  </w14:solidFill>
                </w14:textFill>
              </w:rPr>
              <w:t>3000~</w:t>
            </w:r>
            <w:r>
              <w:rPr>
                <w:rFonts w:ascii="Times New Roman"/>
                <w:bCs/>
                <w:color w:val="000000" w:themeColor="text1"/>
                <w:szCs w:val="18"/>
                <w:lang w:bidi="ar"/>
                <w14:textFill>
                  <w14:solidFill>
                    <w14:schemeClr w14:val="tx1"/>
                  </w14:solidFill>
                </w14:textFill>
              </w:rPr>
              <w:t>3500</w:t>
            </w:r>
          </w:p>
        </w:tc>
        <w:tc>
          <w:tcPr>
            <w:tcW w:w="1334" w:type="dxa"/>
            <w:tcBorders>
              <w:top w:val="single" w:color="auto" w:sz="8" w:space="0"/>
              <w:bottom w:val="single" w:color="auto" w:sz="8" w:space="0"/>
            </w:tcBorders>
            <w:shd w:val="clear" w:color="auto" w:fill="auto"/>
            <w:vAlign w:val="center"/>
          </w:tcPr>
          <w:p w14:paraId="06C7BACA">
            <w:pPr>
              <w:pStyle w:val="179"/>
              <w:rPr>
                <w:color w:val="000000" w:themeColor="text1"/>
                <w:lang w:bidi="ar"/>
                <w14:textFill>
                  <w14:solidFill>
                    <w14:schemeClr w14:val="tx1"/>
                  </w14:solidFill>
                </w14:textFill>
              </w:rPr>
            </w:pPr>
            <w:r>
              <w:rPr>
                <w:rFonts w:ascii="Times New Roman"/>
                <w:bCs/>
                <w:color w:val="000000" w:themeColor="text1"/>
                <w:szCs w:val="18"/>
                <w:lang w:bidi="ar"/>
                <w14:textFill>
                  <w14:solidFill>
                    <w14:schemeClr w14:val="tx1"/>
                  </w14:solidFill>
                </w14:textFill>
              </w:rPr>
              <w:t>3500~4000</w:t>
            </w:r>
          </w:p>
        </w:tc>
        <w:tc>
          <w:tcPr>
            <w:tcW w:w="1334" w:type="dxa"/>
            <w:tcBorders>
              <w:top w:val="single" w:color="auto" w:sz="8" w:space="0"/>
              <w:bottom w:val="single" w:color="auto" w:sz="8" w:space="0"/>
            </w:tcBorders>
            <w:shd w:val="clear" w:color="auto" w:fill="auto"/>
            <w:vAlign w:val="center"/>
          </w:tcPr>
          <w:p w14:paraId="37559247">
            <w:pPr>
              <w:pStyle w:val="179"/>
              <w:rPr>
                <w:color w:val="000000" w:themeColor="text1"/>
                <w:lang w:bidi="ar"/>
                <w14:textFill>
                  <w14:solidFill>
                    <w14:schemeClr w14:val="tx1"/>
                  </w14:solidFill>
                </w14:textFill>
              </w:rPr>
            </w:pPr>
            <w:r>
              <w:rPr>
                <w:rFonts w:ascii="Times New Roman" w:hAnsi="宋体"/>
                <w:bCs/>
                <w:color w:val="000000" w:themeColor="text1"/>
                <w:szCs w:val="18"/>
                <w:lang w:bidi="ar"/>
                <w14:textFill>
                  <w14:solidFill>
                    <w14:schemeClr w14:val="tx1"/>
                  </w14:solidFill>
                </w14:textFill>
              </w:rPr>
              <w:t>4000~</w:t>
            </w:r>
            <w:r>
              <w:rPr>
                <w:rFonts w:ascii="Times New Roman"/>
                <w:bCs/>
                <w:color w:val="000000" w:themeColor="text1"/>
                <w:szCs w:val="18"/>
                <w:lang w:bidi="ar"/>
                <w14:textFill>
                  <w14:solidFill>
                    <w14:schemeClr w14:val="tx1"/>
                  </w14:solidFill>
                </w14:textFill>
              </w:rPr>
              <w:t>4</w:t>
            </w:r>
            <w:r>
              <w:rPr>
                <w:rFonts w:ascii="Times New Roman" w:hAnsi="宋体"/>
                <w:bCs/>
                <w:color w:val="000000" w:themeColor="text1"/>
                <w:szCs w:val="18"/>
                <w:lang w:bidi="ar"/>
                <w14:textFill>
                  <w14:solidFill>
                    <w14:schemeClr w14:val="tx1"/>
                  </w14:solidFill>
                </w14:textFill>
              </w:rPr>
              <w:t>500</w:t>
            </w:r>
          </w:p>
        </w:tc>
        <w:tc>
          <w:tcPr>
            <w:tcW w:w="1334" w:type="dxa"/>
            <w:tcBorders>
              <w:top w:val="single" w:color="auto" w:sz="8" w:space="0"/>
              <w:bottom w:val="single" w:color="auto" w:sz="8" w:space="0"/>
            </w:tcBorders>
            <w:shd w:val="clear" w:color="auto" w:fill="auto"/>
            <w:vAlign w:val="center"/>
          </w:tcPr>
          <w:p w14:paraId="68D97ECA">
            <w:pPr>
              <w:pStyle w:val="179"/>
              <w:rPr>
                <w:color w:val="000000" w:themeColor="text1"/>
                <w:lang w:bidi="ar"/>
                <w14:textFill>
                  <w14:solidFill>
                    <w14:schemeClr w14:val="tx1"/>
                  </w14:solidFill>
                </w14:textFill>
              </w:rPr>
            </w:pPr>
            <w:r>
              <w:rPr>
                <w:rFonts w:ascii="Times New Roman"/>
                <w:bCs/>
                <w:color w:val="000000" w:themeColor="text1"/>
                <w:szCs w:val="18"/>
                <w:lang w:bidi="ar"/>
                <w14:textFill>
                  <w14:solidFill>
                    <w14:schemeClr w14:val="tx1"/>
                  </w14:solidFill>
                </w14:textFill>
              </w:rPr>
              <w:t>4500~5000</w:t>
            </w:r>
          </w:p>
        </w:tc>
        <w:tc>
          <w:tcPr>
            <w:tcW w:w="1334" w:type="dxa"/>
            <w:tcBorders>
              <w:top w:val="single" w:color="auto" w:sz="8" w:space="0"/>
              <w:bottom w:val="single" w:color="auto" w:sz="8" w:space="0"/>
            </w:tcBorders>
            <w:shd w:val="clear" w:color="auto" w:fill="auto"/>
            <w:vAlign w:val="center"/>
          </w:tcPr>
          <w:p w14:paraId="7AE1F2C8">
            <w:pPr>
              <w:pStyle w:val="179"/>
              <w:rPr>
                <w:color w:val="000000" w:themeColor="text1"/>
                <w:lang w:bidi="ar"/>
                <w14:textFill>
                  <w14:solidFill>
                    <w14:schemeClr w14:val="tx1"/>
                  </w14:solidFill>
                </w14:textFill>
              </w:rPr>
            </w:pPr>
            <w:r>
              <w:rPr>
                <w:rFonts w:ascii="Times New Roman" w:hAnsi="宋体"/>
                <w:bCs/>
                <w:color w:val="000000" w:themeColor="text1"/>
                <w:szCs w:val="18"/>
                <w:lang w:bidi="ar"/>
                <w14:textFill>
                  <w14:solidFill>
                    <w14:schemeClr w14:val="tx1"/>
                  </w14:solidFill>
                </w14:textFill>
              </w:rPr>
              <w:t>5000</w:t>
            </w:r>
            <w:r>
              <w:rPr>
                <w:rFonts w:hint="eastAsia" w:hAnsi="宋体" w:cs="宋体"/>
                <w:bCs/>
                <w:color w:val="000000" w:themeColor="text1"/>
                <w:szCs w:val="18"/>
                <w:lang w:bidi="ar"/>
                <w14:textFill>
                  <w14:solidFill>
                    <w14:schemeClr w14:val="tx1"/>
                  </w14:solidFill>
                </w14:textFill>
              </w:rPr>
              <w:t>以上</w:t>
            </w:r>
          </w:p>
        </w:tc>
      </w:tr>
      <w:tr w14:paraId="5775C2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332" w:type="dxa"/>
            <w:vMerge w:val="restart"/>
            <w:tcBorders>
              <w:top w:val="single" w:color="auto" w:sz="8" w:space="0"/>
            </w:tcBorders>
            <w:shd w:val="clear" w:color="auto" w:fill="auto"/>
            <w:vAlign w:val="center"/>
          </w:tcPr>
          <w:p w14:paraId="2552C9EE">
            <w:pPr>
              <w:pStyle w:val="25"/>
              <w:widowControl w:val="0"/>
              <w:adjustRightInd w:val="0"/>
              <w:snapToGrid w:val="0"/>
              <w:spacing w:before="156" w:beforeAutospacing="0" w:after="156" w:afterAutospacing="0"/>
              <w:jc w:val="center"/>
              <w:textAlignment w:val="baseline"/>
              <w:rPr>
                <w:rFonts w:hint="eastAsia"/>
                <w:bCs/>
                <w:color w:val="000000" w:themeColor="text1"/>
                <w:sz w:val="18"/>
                <w:szCs w:val="18"/>
                <w:lang w:bidi="ar"/>
                <w14:textFill>
                  <w14:solidFill>
                    <w14:schemeClr w14:val="tx1"/>
                  </w14:solidFill>
                </w14:textFill>
              </w:rPr>
            </w:pPr>
            <w:r>
              <w:rPr>
                <w:rFonts w:hint="eastAsia"/>
                <w:bCs/>
                <w:color w:val="000000" w:themeColor="text1"/>
                <w:sz w:val="18"/>
                <w:szCs w:val="18"/>
                <w:lang w:bidi="ar"/>
                <w14:textFill>
                  <w14:solidFill>
                    <w14:schemeClr w14:val="tx1"/>
                  </w14:solidFill>
                </w14:textFill>
              </w:rPr>
              <w:t>纵坡</w:t>
            </w:r>
          </w:p>
          <w:p w14:paraId="31BC79EA">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折减值（%）</w:t>
            </w:r>
          </w:p>
        </w:tc>
        <w:tc>
          <w:tcPr>
            <w:tcW w:w="1333" w:type="dxa"/>
            <w:tcBorders>
              <w:top w:val="single" w:color="auto" w:sz="8" w:space="0"/>
            </w:tcBorders>
            <w:shd w:val="clear" w:color="auto" w:fill="auto"/>
          </w:tcPr>
          <w:p w14:paraId="269DD249">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海拔高度（m）</w:t>
            </w:r>
          </w:p>
        </w:tc>
        <w:tc>
          <w:tcPr>
            <w:tcW w:w="1333" w:type="dxa"/>
            <w:tcBorders>
              <w:top w:val="single" w:color="auto" w:sz="8" w:space="0"/>
            </w:tcBorders>
            <w:shd w:val="clear" w:color="auto" w:fill="auto"/>
            <w:vAlign w:val="center"/>
          </w:tcPr>
          <w:p w14:paraId="0F9910EA">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0.5</w:t>
            </w:r>
          </w:p>
        </w:tc>
        <w:tc>
          <w:tcPr>
            <w:tcW w:w="1334" w:type="dxa"/>
            <w:tcBorders>
              <w:top w:val="single" w:color="auto" w:sz="8" w:space="0"/>
            </w:tcBorders>
            <w:shd w:val="clear" w:color="auto" w:fill="auto"/>
            <w:vAlign w:val="center"/>
          </w:tcPr>
          <w:p w14:paraId="7E2AA50A">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1.0</w:t>
            </w:r>
          </w:p>
        </w:tc>
        <w:tc>
          <w:tcPr>
            <w:tcW w:w="1334" w:type="dxa"/>
            <w:tcBorders>
              <w:top w:val="single" w:color="auto" w:sz="8" w:space="0"/>
            </w:tcBorders>
            <w:shd w:val="clear" w:color="auto" w:fill="auto"/>
            <w:vAlign w:val="center"/>
          </w:tcPr>
          <w:p w14:paraId="450A6E23">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1.5</w:t>
            </w:r>
          </w:p>
        </w:tc>
        <w:tc>
          <w:tcPr>
            <w:tcW w:w="1334" w:type="dxa"/>
            <w:tcBorders>
              <w:top w:val="single" w:color="auto" w:sz="8" w:space="0"/>
            </w:tcBorders>
            <w:shd w:val="clear" w:color="auto" w:fill="auto"/>
            <w:vAlign w:val="center"/>
          </w:tcPr>
          <w:p w14:paraId="3C301825">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2.0</w:t>
            </w:r>
          </w:p>
        </w:tc>
        <w:tc>
          <w:tcPr>
            <w:tcW w:w="1334" w:type="dxa"/>
            <w:tcBorders>
              <w:top w:val="single" w:color="auto" w:sz="8" w:space="0"/>
            </w:tcBorders>
            <w:shd w:val="clear" w:color="auto" w:fill="auto"/>
            <w:vAlign w:val="center"/>
          </w:tcPr>
          <w:p w14:paraId="1C1B1EB5">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3.0</w:t>
            </w:r>
          </w:p>
        </w:tc>
      </w:tr>
      <w:tr w14:paraId="6A268D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332" w:type="dxa"/>
            <w:vMerge w:val="continue"/>
            <w:shd w:val="clear" w:color="auto" w:fill="auto"/>
            <w:vAlign w:val="center"/>
          </w:tcPr>
          <w:p w14:paraId="5BAE8E54">
            <w:pPr>
              <w:pStyle w:val="179"/>
              <w:rPr>
                <w:color w:val="000000" w:themeColor="text1"/>
                <w:lang w:bidi="ar"/>
                <w14:textFill>
                  <w14:solidFill>
                    <w14:schemeClr w14:val="tx1"/>
                  </w14:solidFill>
                </w14:textFill>
              </w:rPr>
            </w:pPr>
          </w:p>
        </w:tc>
        <w:tc>
          <w:tcPr>
            <w:tcW w:w="1333" w:type="dxa"/>
            <w:shd w:val="clear" w:color="auto" w:fill="auto"/>
          </w:tcPr>
          <w:p w14:paraId="529701DC">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海拔高度（m）</w:t>
            </w:r>
          </w:p>
        </w:tc>
        <w:tc>
          <w:tcPr>
            <w:tcW w:w="1333" w:type="dxa"/>
            <w:shd w:val="clear" w:color="auto" w:fill="auto"/>
            <w:vAlign w:val="center"/>
          </w:tcPr>
          <w:p w14:paraId="062F2A7E">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0.25</w:t>
            </w:r>
          </w:p>
        </w:tc>
        <w:tc>
          <w:tcPr>
            <w:tcW w:w="1334" w:type="dxa"/>
            <w:shd w:val="clear" w:color="auto" w:fill="auto"/>
            <w:vAlign w:val="center"/>
          </w:tcPr>
          <w:p w14:paraId="5A7DE7E2">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0.5</w:t>
            </w:r>
          </w:p>
        </w:tc>
        <w:tc>
          <w:tcPr>
            <w:tcW w:w="1334" w:type="dxa"/>
            <w:shd w:val="clear" w:color="auto" w:fill="auto"/>
            <w:vAlign w:val="center"/>
          </w:tcPr>
          <w:p w14:paraId="2B35A737">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0.75</w:t>
            </w:r>
          </w:p>
        </w:tc>
        <w:tc>
          <w:tcPr>
            <w:tcW w:w="1334" w:type="dxa"/>
            <w:shd w:val="clear" w:color="auto" w:fill="auto"/>
            <w:vAlign w:val="center"/>
          </w:tcPr>
          <w:p w14:paraId="445CA1DA">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1.0</w:t>
            </w:r>
          </w:p>
        </w:tc>
        <w:tc>
          <w:tcPr>
            <w:tcW w:w="1334" w:type="dxa"/>
            <w:shd w:val="clear" w:color="auto" w:fill="auto"/>
            <w:vAlign w:val="center"/>
          </w:tcPr>
          <w:p w14:paraId="30B9FCDE">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1.5</w:t>
            </w:r>
          </w:p>
        </w:tc>
      </w:tr>
      <w:tr w14:paraId="5E0B8E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332" w:type="dxa"/>
            <w:vMerge w:val="continue"/>
            <w:shd w:val="clear" w:color="auto" w:fill="auto"/>
            <w:vAlign w:val="center"/>
          </w:tcPr>
          <w:p w14:paraId="641D407C">
            <w:pPr>
              <w:pStyle w:val="179"/>
              <w:rPr>
                <w:color w:val="000000" w:themeColor="text1"/>
                <w:lang w:bidi="ar"/>
                <w14:textFill>
                  <w14:solidFill>
                    <w14:schemeClr w14:val="tx1"/>
                  </w14:solidFill>
                </w14:textFill>
              </w:rPr>
            </w:pPr>
          </w:p>
        </w:tc>
        <w:tc>
          <w:tcPr>
            <w:tcW w:w="1333" w:type="dxa"/>
            <w:shd w:val="clear" w:color="auto" w:fill="auto"/>
          </w:tcPr>
          <w:p w14:paraId="513FAFC9">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海拔高度（m）</w:t>
            </w:r>
          </w:p>
        </w:tc>
        <w:tc>
          <w:tcPr>
            <w:tcW w:w="6669" w:type="dxa"/>
            <w:gridSpan w:val="5"/>
            <w:shd w:val="clear" w:color="auto" w:fill="auto"/>
            <w:vAlign w:val="center"/>
          </w:tcPr>
          <w:p w14:paraId="3FD4B409">
            <w:pPr>
              <w:pStyle w:val="179"/>
              <w:rPr>
                <w:color w:val="000000" w:themeColor="text1"/>
                <w:lang w:bidi="ar"/>
                <w14:textFill>
                  <w14:solidFill>
                    <w14:schemeClr w14:val="tx1"/>
                  </w14:solidFill>
                </w14:textFill>
              </w:rPr>
            </w:pPr>
            <w:r>
              <w:rPr>
                <w:rFonts w:hint="eastAsia" w:hAnsi="宋体" w:cs="宋体"/>
                <w:bCs/>
                <w:color w:val="000000" w:themeColor="text1"/>
                <w:szCs w:val="18"/>
                <w:lang w:bidi="ar"/>
                <w14:textFill>
                  <w14:solidFill>
                    <w14:schemeClr w14:val="tx1"/>
                  </w14:solidFill>
                </w14:textFill>
              </w:rPr>
              <w:t>不折减</w:t>
            </w:r>
          </w:p>
        </w:tc>
      </w:tr>
    </w:tbl>
    <w:p w14:paraId="657EAC2A">
      <w:pPr>
        <w:pStyle w:val="181"/>
        <w:numPr>
          <w:ilvl w:val="0"/>
          <w:numId w:val="45"/>
        </w:numPr>
      </w:pPr>
      <w:r>
        <w:rPr>
          <w:rFonts w:hint="eastAsia"/>
        </w:rPr>
        <w:t>在公路路线设计规范JTG D20-2017基础上进行细分。</w:t>
      </w:r>
    </w:p>
    <w:p w14:paraId="3B93FCA3">
      <w:pPr>
        <w:pStyle w:val="181"/>
      </w:pPr>
      <w:r>
        <w:rPr>
          <w:rFonts w:hint="eastAsia"/>
        </w:rPr>
        <w:t>考虑高原对燃油汽车动力有所影响，导致运行速度降低，但电动汽车（特别是小客车）的发展趋势，高原影响趋于减弱，故规定货车占比较小时(自然数比例20%以内）按规范50%取值；同时交通量很小时（</w:t>
      </w:r>
      <w:r>
        <w:t>年平均日设计</w:t>
      </w:r>
      <w:r>
        <w:rPr>
          <w:rFonts w:hint="eastAsia"/>
        </w:rPr>
        <w:t>交通量小于15000pcu/d）不折减的规定。</w:t>
      </w:r>
    </w:p>
    <w:p w14:paraId="374FC4D1">
      <w:pPr>
        <w:pStyle w:val="166"/>
      </w:pPr>
      <w:r>
        <w:t>一般</w:t>
      </w:r>
      <w:r>
        <w:rPr>
          <w:rFonts w:hint="eastAsia"/>
        </w:rPr>
        <w:t>桥梁</w:t>
      </w:r>
      <w:r>
        <w:t>纵坡宜</w:t>
      </w:r>
      <w:r>
        <w:rPr>
          <w:rFonts w:hint="eastAsia"/>
        </w:rPr>
        <w:t>随</w:t>
      </w:r>
      <w:r>
        <w:t>路线纵坡确定，</w:t>
      </w:r>
      <w:r>
        <w:rPr>
          <w:rFonts w:hint="eastAsia"/>
        </w:rPr>
        <w:t>易结冰、积雪的桥梁，桥上纵坡不宜大于3%。</w:t>
      </w:r>
      <w:r>
        <w:t>有特殊要求时</w:t>
      </w:r>
      <w:r>
        <w:rPr>
          <w:rFonts w:hint="eastAsia"/>
        </w:rPr>
        <w:t>可根据</w:t>
      </w:r>
      <w:r>
        <w:t>桥梁结构设计需要确定。</w:t>
      </w:r>
    </w:p>
    <w:p w14:paraId="178201A5">
      <w:pPr>
        <w:pStyle w:val="166"/>
      </w:pPr>
      <w:r>
        <w:rPr>
          <w:rStyle w:val="244"/>
          <w:rFonts w:hint="eastAsia"/>
          <w:color w:val="000000"/>
        </w:rPr>
        <w:t>隧道最大纵坡不宜大于3%。经论证后，中、短隧道纵坡可与洞外路线纵坡一致，</w:t>
      </w:r>
      <w:r>
        <w:rPr>
          <w:rStyle w:val="244"/>
          <w:rFonts w:hint="eastAsia"/>
          <w:color w:val="FF0000"/>
        </w:rPr>
        <w:t>长隧道纵坡不应大于</w:t>
      </w:r>
      <w:r>
        <w:rPr>
          <w:rStyle w:val="244"/>
          <w:color w:val="FF0000"/>
        </w:rPr>
        <w:t>4%</w:t>
      </w:r>
      <w:r>
        <w:rPr>
          <w:rStyle w:val="244"/>
          <w:rFonts w:hint="eastAsia"/>
          <w:color w:val="FF0000"/>
        </w:rPr>
        <w:t>。</w:t>
      </w:r>
    </w:p>
    <w:p w14:paraId="0A000782">
      <w:pPr>
        <w:pStyle w:val="180"/>
      </w:pPr>
      <w:r>
        <w:rPr>
          <w:rFonts w:hint="eastAsia"/>
        </w:rPr>
        <w:t xml:space="preserve">现行公路路线设计规范JTG D20-2017中规定隧道纵坡不大于3%，长期以来在实际设计中多数按照2.0-2.5%掌握，导致工程规模较大。燃油车尾气排放量是隧道纵坡的控制因素之一，在交通量较小、汽车排放标准提高、电动汽车占比提高的情况下，洞内汽车排放废气呈减少趋势，故隧道最大纵坡可以适当放宽。 </w:t>
      </w:r>
    </w:p>
    <w:p w14:paraId="29313853">
      <w:pPr>
        <w:pStyle w:val="106"/>
        <w:spacing w:before="156" w:after="156"/>
        <w:rPr>
          <w:rStyle w:val="231"/>
          <w:rFonts w:hint="eastAsia"/>
          <w:color w:val="000000"/>
          <w:sz w:val="21"/>
          <w:szCs w:val="44"/>
        </w:rPr>
      </w:pPr>
      <w:r>
        <w:rPr>
          <w:rStyle w:val="231"/>
          <w:rFonts w:hint="eastAsia"/>
          <w:color w:val="000000"/>
          <w:sz w:val="21"/>
          <w:szCs w:val="44"/>
        </w:rPr>
        <w:t>连续长、陡下坡</w:t>
      </w:r>
    </w:p>
    <w:p w14:paraId="604A8FB5">
      <w:pPr>
        <w:pStyle w:val="166"/>
      </w:pPr>
      <w:r>
        <w:rPr>
          <w:rFonts w:hint="eastAsia"/>
        </w:rPr>
        <w:t>连续长、陡下坡路段的平均坡度与连续坡长不宜超过表</w:t>
      </w:r>
      <w:r>
        <w:rPr>
          <w:color w:val="FF0000"/>
        </w:rPr>
        <w:t>12</w:t>
      </w:r>
      <w:r>
        <w:rPr>
          <w:rFonts w:hint="eastAsia"/>
        </w:rPr>
        <w:t>的规定；有条件设置避险车道时，可接受长陡纵坡方案，但应进行交通安全评价</w:t>
      </w:r>
      <w:r>
        <w:rPr>
          <w:color w:val="FF0000"/>
        </w:rPr>
        <w:t>（包括重车刹车毂温度分析）</w:t>
      </w:r>
      <w:r>
        <w:t>，</w:t>
      </w:r>
      <w:r>
        <w:rPr>
          <w:rFonts w:hint="eastAsia"/>
        </w:rPr>
        <w:t>提出路段速度控制和通行管理方案，完善交通工程和安全设施，并论证</w:t>
      </w:r>
      <w:r>
        <w:rPr>
          <w:rFonts w:hint="eastAsia" w:hAnsi="宋体" w:cs="宋体"/>
          <w:color w:val="FF0000"/>
          <w:kern w:val="2"/>
          <w:sz w:val="22"/>
          <w:szCs w:val="22"/>
          <w:lang w:bidi="ar"/>
        </w:rPr>
        <w:t>设置坡前货车检查站、坡中货车停车区</w:t>
      </w:r>
      <w:r>
        <w:rPr>
          <w:rFonts w:hint="eastAsia"/>
        </w:rPr>
        <w:t>（配置检修、加水等功能）。</w:t>
      </w:r>
    </w:p>
    <w:p w14:paraId="35F32960">
      <w:pPr>
        <w:pStyle w:val="113"/>
        <w:spacing w:before="156" w:after="156"/>
      </w:pPr>
      <w:r>
        <w:t>连续</w:t>
      </w:r>
      <w:r>
        <w:rPr>
          <w:rFonts w:hint="eastAsia"/>
        </w:rPr>
        <w:t>长、陡</w:t>
      </w:r>
      <w:r>
        <w:t>下坡的平均坡度与连续坡长</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9"/>
        <w:gridCol w:w="848"/>
        <w:gridCol w:w="848"/>
        <w:gridCol w:w="848"/>
        <w:gridCol w:w="848"/>
        <w:gridCol w:w="848"/>
        <w:gridCol w:w="849"/>
        <w:gridCol w:w="849"/>
        <w:gridCol w:w="849"/>
        <w:gridCol w:w="849"/>
        <w:gridCol w:w="849"/>
      </w:tblGrid>
      <w:tr w14:paraId="07919F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849" w:type="dxa"/>
            <w:tcBorders>
              <w:top w:val="single" w:color="auto" w:sz="8" w:space="0"/>
              <w:bottom w:val="single" w:color="auto" w:sz="8" w:space="0"/>
            </w:tcBorders>
            <w:shd w:val="clear" w:color="auto" w:fill="auto"/>
            <w:vAlign w:val="center"/>
          </w:tcPr>
          <w:p w14:paraId="3AA07FB6">
            <w:pPr>
              <w:pStyle w:val="179"/>
            </w:pPr>
            <w:r>
              <w:t>平均坡</w:t>
            </w:r>
            <w:r>
              <w:rPr>
                <w:rFonts w:hint="eastAsia"/>
              </w:rPr>
              <w:t>度</w:t>
            </w:r>
            <w:r>
              <w:t>（%）</w:t>
            </w:r>
          </w:p>
        </w:tc>
        <w:tc>
          <w:tcPr>
            <w:tcW w:w="848" w:type="dxa"/>
            <w:tcBorders>
              <w:top w:val="single" w:color="auto" w:sz="8" w:space="0"/>
              <w:bottom w:val="single" w:color="auto" w:sz="8" w:space="0"/>
            </w:tcBorders>
            <w:shd w:val="clear" w:color="auto" w:fill="auto"/>
            <w:vAlign w:val="center"/>
          </w:tcPr>
          <w:p w14:paraId="3A504115">
            <w:pPr>
              <w:pStyle w:val="179"/>
            </w:pPr>
            <w:r>
              <w:rPr>
                <w:rFonts w:eastAsia="等线"/>
              </w:rPr>
              <w:t>＜2.5</w:t>
            </w:r>
          </w:p>
        </w:tc>
        <w:tc>
          <w:tcPr>
            <w:tcW w:w="848" w:type="dxa"/>
            <w:tcBorders>
              <w:top w:val="single" w:color="auto" w:sz="8" w:space="0"/>
              <w:bottom w:val="single" w:color="auto" w:sz="8" w:space="0"/>
            </w:tcBorders>
            <w:shd w:val="clear" w:color="auto" w:fill="auto"/>
            <w:vAlign w:val="center"/>
          </w:tcPr>
          <w:p w14:paraId="33DDA5E9">
            <w:pPr>
              <w:pStyle w:val="179"/>
            </w:pPr>
            <w:r>
              <w:rPr>
                <w:rFonts w:eastAsia="等线"/>
              </w:rPr>
              <w:t>2.5</w:t>
            </w:r>
          </w:p>
        </w:tc>
        <w:tc>
          <w:tcPr>
            <w:tcW w:w="848" w:type="dxa"/>
            <w:tcBorders>
              <w:top w:val="single" w:color="auto" w:sz="8" w:space="0"/>
              <w:bottom w:val="single" w:color="auto" w:sz="8" w:space="0"/>
            </w:tcBorders>
            <w:shd w:val="clear" w:color="auto" w:fill="auto"/>
            <w:vAlign w:val="center"/>
          </w:tcPr>
          <w:p w14:paraId="5932A8F8">
            <w:pPr>
              <w:pStyle w:val="179"/>
            </w:pPr>
            <w:r>
              <w:rPr>
                <w:rFonts w:eastAsia="等线"/>
              </w:rPr>
              <w:t>2.8</w:t>
            </w:r>
          </w:p>
        </w:tc>
        <w:tc>
          <w:tcPr>
            <w:tcW w:w="848" w:type="dxa"/>
            <w:tcBorders>
              <w:top w:val="single" w:color="auto" w:sz="8" w:space="0"/>
              <w:bottom w:val="single" w:color="auto" w:sz="8" w:space="0"/>
            </w:tcBorders>
            <w:shd w:val="clear" w:color="auto" w:fill="auto"/>
            <w:vAlign w:val="center"/>
          </w:tcPr>
          <w:p w14:paraId="07891D52">
            <w:pPr>
              <w:pStyle w:val="179"/>
            </w:pPr>
            <w:r>
              <w:rPr>
                <w:rFonts w:eastAsia="等线"/>
              </w:rPr>
              <w:t>3</w:t>
            </w:r>
          </w:p>
        </w:tc>
        <w:tc>
          <w:tcPr>
            <w:tcW w:w="848" w:type="dxa"/>
            <w:tcBorders>
              <w:top w:val="single" w:color="auto" w:sz="8" w:space="0"/>
              <w:bottom w:val="single" w:color="auto" w:sz="8" w:space="0"/>
            </w:tcBorders>
            <w:shd w:val="clear" w:color="auto" w:fill="auto"/>
            <w:vAlign w:val="center"/>
          </w:tcPr>
          <w:p w14:paraId="3236837E">
            <w:pPr>
              <w:pStyle w:val="179"/>
            </w:pPr>
            <w:r>
              <w:rPr>
                <w:rFonts w:eastAsia="等线"/>
              </w:rPr>
              <w:t>3.5</w:t>
            </w:r>
          </w:p>
        </w:tc>
        <w:tc>
          <w:tcPr>
            <w:tcW w:w="849" w:type="dxa"/>
            <w:tcBorders>
              <w:top w:val="single" w:color="auto" w:sz="8" w:space="0"/>
              <w:bottom w:val="single" w:color="auto" w:sz="8" w:space="0"/>
            </w:tcBorders>
            <w:shd w:val="clear" w:color="auto" w:fill="auto"/>
            <w:vAlign w:val="center"/>
          </w:tcPr>
          <w:p w14:paraId="705F5528">
            <w:pPr>
              <w:pStyle w:val="179"/>
            </w:pPr>
            <w:r>
              <w:rPr>
                <w:rFonts w:eastAsia="等线"/>
              </w:rPr>
              <w:t>4</w:t>
            </w:r>
          </w:p>
        </w:tc>
        <w:tc>
          <w:tcPr>
            <w:tcW w:w="849" w:type="dxa"/>
            <w:tcBorders>
              <w:top w:val="single" w:color="auto" w:sz="8" w:space="0"/>
              <w:bottom w:val="single" w:color="auto" w:sz="8" w:space="0"/>
            </w:tcBorders>
            <w:shd w:val="clear" w:color="auto" w:fill="auto"/>
            <w:vAlign w:val="center"/>
          </w:tcPr>
          <w:p w14:paraId="1452DE50">
            <w:pPr>
              <w:pStyle w:val="179"/>
            </w:pPr>
            <w:r>
              <w:rPr>
                <w:rFonts w:eastAsia="等线"/>
              </w:rPr>
              <w:t>4.5</w:t>
            </w:r>
          </w:p>
        </w:tc>
        <w:tc>
          <w:tcPr>
            <w:tcW w:w="849" w:type="dxa"/>
            <w:tcBorders>
              <w:top w:val="single" w:color="auto" w:sz="8" w:space="0"/>
              <w:bottom w:val="single" w:color="auto" w:sz="8" w:space="0"/>
            </w:tcBorders>
            <w:shd w:val="clear" w:color="auto" w:fill="auto"/>
            <w:vAlign w:val="center"/>
          </w:tcPr>
          <w:p w14:paraId="4A27636D">
            <w:pPr>
              <w:pStyle w:val="179"/>
            </w:pPr>
            <w:r>
              <w:rPr>
                <w:rFonts w:eastAsia="等线"/>
              </w:rPr>
              <w:t>5</w:t>
            </w:r>
          </w:p>
        </w:tc>
        <w:tc>
          <w:tcPr>
            <w:tcW w:w="849" w:type="dxa"/>
            <w:tcBorders>
              <w:top w:val="single" w:color="auto" w:sz="8" w:space="0"/>
              <w:bottom w:val="single" w:color="auto" w:sz="8" w:space="0"/>
            </w:tcBorders>
            <w:shd w:val="clear" w:color="auto" w:fill="auto"/>
            <w:vAlign w:val="center"/>
          </w:tcPr>
          <w:p w14:paraId="641E278F">
            <w:pPr>
              <w:pStyle w:val="179"/>
            </w:pPr>
            <w:r>
              <w:rPr>
                <w:rFonts w:eastAsia="等线"/>
              </w:rPr>
              <w:t>5.5</w:t>
            </w:r>
          </w:p>
        </w:tc>
        <w:tc>
          <w:tcPr>
            <w:tcW w:w="849" w:type="dxa"/>
            <w:tcBorders>
              <w:top w:val="single" w:color="auto" w:sz="8" w:space="0"/>
              <w:bottom w:val="single" w:color="auto" w:sz="8" w:space="0"/>
            </w:tcBorders>
            <w:shd w:val="clear" w:color="auto" w:fill="auto"/>
            <w:vAlign w:val="center"/>
          </w:tcPr>
          <w:p w14:paraId="73E0866B">
            <w:pPr>
              <w:pStyle w:val="179"/>
            </w:pPr>
            <w:r>
              <w:rPr>
                <w:rFonts w:eastAsia="等线"/>
              </w:rPr>
              <w:t>6</w:t>
            </w:r>
          </w:p>
        </w:tc>
      </w:tr>
      <w:tr w14:paraId="4ED478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9" w:type="dxa"/>
            <w:tcBorders>
              <w:top w:val="single" w:color="auto" w:sz="8" w:space="0"/>
            </w:tcBorders>
            <w:shd w:val="clear" w:color="auto" w:fill="auto"/>
            <w:vAlign w:val="center"/>
          </w:tcPr>
          <w:p w14:paraId="78942ED3">
            <w:pPr>
              <w:pStyle w:val="179"/>
            </w:pPr>
            <w:r>
              <w:t>连续坡</w:t>
            </w:r>
            <w:r>
              <w:rPr>
                <w:rFonts w:hint="eastAsia"/>
              </w:rPr>
              <w:t>长</w:t>
            </w:r>
            <w:r>
              <w:t>（km）</w:t>
            </w:r>
          </w:p>
        </w:tc>
        <w:tc>
          <w:tcPr>
            <w:tcW w:w="848" w:type="dxa"/>
            <w:tcBorders>
              <w:top w:val="single" w:color="auto" w:sz="8" w:space="0"/>
            </w:tcBorders>
            <w:shd w:val="clear" w:color="auto" w:fill="auto"/>
            <w:vAlign w:val="center"/>
          </w:tcPr>
          <w:p w14:paraId="67D55EAB">
            <w:pPr>
              <w:pStyle w:val="179"/>
            </w:pPr>
            <w:r>
              <w:t>不限</w:t>
            </w:r>
          </w:p>
        </w:tc>
        <w:tc>
          <w:tcPr>
            <w:tcW w:w="848" w:type="dxa"/>
            <w:tcBorders>
              <w:top w:val="single" w:color="auto" w:sz="8" w:space="0"/>
            </w:tcBorders>
            <w:shd w:val="clear" w:color="auto" w:fill="auto"/>
            <w:vAlign w:val="center"/>
          </w:tcPr>
          <w:p w14:paraId="7F9DB66F">
            <w:pPr>
              <w:pStyle w:val="179"/>
            </w:pPr>
            <w:r>
              <w:rPr>
                <w:rFonts w:eastAsia="等线"/>
              </w:rPr>
              <w:t>36.3</w:t>
            </w:r>
          </w:p>
        </w:tc>
        <w:tc>
          <w:tcPr>
            <w:tcW w:w="848" w:type="dxa"/>
            <w:tcBorders>
              <w:top w:val="single" w:color="auto" w:sz="8" w:space="0"/>
            </w:tcBorders>
            <w:shd w:val="clear" w:color="auto" w:fill="auto"/>
            <w:vAlign w:val="center"/>
          </w:tcPr>
          <w:p w14:paraId="606CCB3D">
            <w:pPr>
              <w:pStyle w:val="179"/>
            </w:pPr>
            <w:r>
              <w:rPr>
                <w:rFonts w:eastAsia="等线"/>
              </w:rPr>
              <w:t>20</w:t>
            </w:r>
          </w:p>
        </w:tc>
        <w:tc>
          <w:tcPr>
            <w:tcW w:w="848" w:type="dxa"/>
            <w:tcBorders>
              <w:top w:val="single" w:color="auto" w:sz="8" w:space="0"/>
            </w:tcBorders>
            <w:shd w:val="clear" w:color="auto" w:fill="auto"/>
            <w:vAlign w:val="center"/>
          </w:tcPr>
          <w:p w14:paraId="48BDDA5F">
            <w:pPr>
              <w:pStyle w:val="179"/>
            </w:pPr>
            <w:r>
              <w:rPr>
                <w:rFonts w:eastAsia="等线"/>
              </w:rPr>
              <w:t>16.0</w:t>
            </w:r>
          </w:p>
        </w:tc>
        <w:tc>
          <w:tcPr>
            <w:tcW w:w="848" w:type="dxa"/>
            <w:tcBorders>
              <w:top w:val="single" w:color="auto" w:sz="8" w:space="0"/>
            </w:tcBorders>
            <w:shd w:val="clear" w:color="auto" w:fill="auto"/>
            <w:vAlign w:val="center"/>
          </w:tcPr>
          <w:p w14:paraId="366F47FA">
            <w:pPr>
              <w:pStyle w:val="179"/>
            </w:pPr>
            <w:r>
              <w:rPr>
                <w:rFonts w:eastAsia="等线"/>
              </w:rPr>
              <w:t>10.2</w:t>
            </w:r>
          </w:p>
        </w:tc>
        <w:tc>
          <w:tcPr>
            <w:tcW w:w="849" w:type="dxa"/>
            <w:tcBorders>
              <w:top w:val="single" w:color="auto" w:sz="8" w:space="0"/>
            </w:tcBorders>
            <w:shd w:val="clear" w:color="auto" w:fill="auto"/>
            <w:vAlign w:val="center"/>
          </w:tcPr>
          <w:p w14:paraId="66291703">
            <w:pPr>
              <w:pStyle w:val="179"/>
            </w:pPr>
            <w:r>
              <w:rPr>
                <w:rFonts w:eastAsia="等线"/>
              </w:rPr>
              <w:t>7.5</w:t>
            </w:r>
          </w:p>
        </w:tc>
        <w:tc>
          <w:tcPr>
            <w:tcW w:w="849" w:type="dxa"/>
            <w:tcBorders>
              <w:top w:val="single" w:color="auto" w:sz="8" w:space="0"/>
            </w:tcBorders>
            <w:shd w:val="clear" w:color="auto" w:fill="auto"/>
            <w:vAlign w:val="center"/>
          </w:tcPr>
          <w:p w14:paraId="5164BC15">
            <w:pPr>
              <w:pStyle w:val="179"/>
            </w:pPr>
            <w:r>
              <w:rPr>
                <w:rFonts w:eastAsia="等线"/>
              </w:rPr>
              <w:t>5.9</w:t>
            </w:r>
          </w:p>
        </w:tc>
        <w:tc>
          <w:tcPr>
            <w:tcW w:w="849" w:type="dxa"/>
            <w:tcBorders>
              <w:top w:val="single" w:color="auto" w:sz="8" w:space="0"/>
            </w:tcBorders>
            <w:shd w:val="clear" w:color="auto" w:fill="auto"/>
            <w:vAlign w:val="center"/>
          </w:tcPr>
          <w:p w14:paraId="20906459">
            <w:pPr>
              <w:pStyle w:val="179"/>
            </w:pPr>
            <w:r>
              <w:rPr>
                <w:rFonts w:eastAsia="等线"/>
              </w:rPr>
              <w:t>4.9</w:t>
            </w:r>
          </w:p>
        </w:tc>
        <w:tc>
          <w:tcPr>
            <w:tcW w:w="849" w:type="dxa"/>
            <w:tcBorders>
              <w:top w:val="single" w:color="auto" w:sz="8" w:space="0"/>
            </w:tcBorders>
            <w:shd w:val="clear" w:color="auto" w:fill="auto"/>
            <w:vAlign w:val="center"/>
          </w:tcPr>
          <w:p w14:paraId="5E666154">
            <w:pPr>
              <w:pStyle w:val="179"/>
            </w:pPr>
            <w:r>
              <w:rPr>
                <w:rFonts w:eastAsia="等线"/>
              </w:rPr>
              <w:t>4.2</w:t>
            </w:r>
          </w:p>
        </w:tc>
        <w:tc>
          <w:tcPr>
            <w:tcW w:w="849" w:type="dxa"/>
            <w:tcBorders>
              <w:top w:val="single" w:color="auto" w:sz="8" w:space="0"/>
            </w:tcBorders>
            <w:shd w:val="clear" w:color="auto" w:fill="auto"/>
            <w:vAlign w:val="center"/>
          </w:tcPr>
          <w:p w14:paraId="18B0B9CC">
            <w:pPr>
              <w:pStyle w:val="179"/>
            </w:pPr>
            <w:r>
              <w:rPr>
                <w:rFonts w:eastAsia="等线"/>
              </w:rPr>
              <w:t>3.6</w:t>
            </w:r>
          </w:p>
        </w:tc>
      </w:tr>
      <w:tr w14:paraId="5F68B9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9" w:type="dxa"/>
            <w:shd w:val="clear" w:color="auto" w:fill="auto"/>
            <w:vAlign w:val="center"/>
          </w:tcPr>
          <w:p w14:paraId="4816822C">
            <w:pPr>
              <w:pStyle w:val="179"/>
            </w:pPr>
            <w:r>
              <w:t>相对高</w:t>
            </w:r>
            <w:r>
              <w:rPr>
                <w:rFonts w:hint="eastAsia"/>
              </w:rPr>
              <w:t>差</w:t>
            </w:r>
            <w:r>
              <w:t>（m）</w:t>
            </w:r>
          </w:p>
        </w:tc>
        <w:tc>
          <w:tcPr>
            <w:tcW w:w="848" w:type="dxa"/>
            <w:shd w:val="clear" w:color="auto" w:fill="auto"/>
            <w:vAlign w:val="center"/>
          </w:tcPr>
          <w:p w14:paraId="228CB80A">
            <w:pPr>
              <w:pStyle w:val="179"/>
            </w:pPr>
            <w:r>
              <w:t>不限</w:t>
            </w:r>
          </w:p>
        </w:tc>
        <w:tc>
          <w:tcPr>
            <w:tcW w:w="848" w:type="dxa"/>
            <w:shd w:val="clear" w:color="auto" w:fill="auto"/>
            <w:vAlign w:val="center"/>
          </w:tcPr>
          <w:p w14:paraId="0B7D1A3F">
            <w:pPr>
              <w:pStyle w:val="179"/>
            </w:pPr>
            <w:r>
              <w:rPr>
                <w:rFonts w:eastAsia="等线"/>
              </w:rPr>
              <w:t>900</w:t>
            </w:r>
          </w:p>
        </w:tc>
        <w:tc>
          <w:tcPr>
            <w:tcW w:w="848" w:type="dxa"/>
            <w:shd w:val="clear" w:color="auto" w:fill="auto"/>
            <w:vAlign w:val="center"/>
          </w:tcPr>
          <w:p w14:paraId="5964A8B8">
            <w:pPr>
              <w:pStyle w:val="179"/>
            </w:pPr>
            <w:r>
              <w:rPr>
                <w:rFonts w:eastAsia="等线"/>
              </w:rPr>
              <w:t>560</w:t>
            </w:r>
          </w:p>
        </w:tc>
        <w:tc>
          <w:tcPr>
            <w:tcW w:w="848" w:type="dxa"/>
            <w:shd w:val="clear" w:color="auto" w:fill="auto"/>
            <w:vAlign w:val="center"/>
          </w:tcPr>
          <w:p w14:paraId="05A97FC7">
            <w:pPr>
              <w:pStyle w:val="179"/>
            </w:pPr>
            <w:r>
              <w:rPr>
                <w:rFonts w:eastAsia="等线"/>
              </w:rPr>
              <w:t>480</w:t>
            </w:r>
          </w:p>
        </w:tc>
        <w:tc>
          <w:tcPr>
            <w:tcW w:w="848" w:type="dxa"/>
            <w:shd w:val="clear" w:color="auto" w:fill="auto"/>
            <w:vAlign w:val="center"/>
          </w:tcPr>
          <w:p w14:paraId="52979C1B">
            <w:pPr>
              <w:pStyle w:val="179"/>
            </w:pPr>
            <w:r>
              <w:rPr>
                <w:rFonts w:eastAsia="等线"/>
              </w:rPr>
              <w:t>360</w:t>
            </w:r>
          </w:p>
        </w:tc>
        <w:tc>
          <w:tcPr>
            <w:tcW w:w="849" w:type="dxa"/>
            <w:shd w:val="clear" w:color="auto" w:fill="auto"/>
            <w:vAlign w:val="center"/>
          </w:tcPr>
          <w:p w14:paraId="1D4C9519">
            <w:pPr>
              <w:pStyle w:val="179"/>
            </w:pPr>
            <w:r>
              <w:rPr>
                <w:rFonts w:eastAsia="等线"/>
              </w:rPr>
              <w:t>300</w:t>
            </w:r>
          </w:p>
        </w:tc>
        <w:tc>
          <w:tcPr>
            <w:tcW w:w="849" w:type="dxa"/>
            <w:shd w:val="clear" w:color="auto" w:fill="auto"/>
            <w:vAlign w:val="center"/>
          </w:tcPr>
          <w:p w14:paraId="1E009908">
            <w:pPr>
              <w:pStyle w:val="179"/>
            </w:pPr>
            <w:r>
              <w:rPr>
                <w:rFonts w:eastAsia="等线"/>
              </w:rPr>
              <w:t>260</w:t>
            </w:r>
          </w:p>
        </w:tc>
        <w:tc>
          <w:tcPr>
            <w:tcW w:w="849" w:type="dxa"/>
            <w:shd w:val="clear" w:color="auto" w:fill="auto"/>
            <w:vAlign w:val="center"/>
          </w:tcPr>
          <w:p w14:paraId="17FB7D2F">
            <w:pPr>
              <w:pStyle w:val="179"/>
            </w:pPr>
            <w:r>
              <w:rPr>
                <w:rFonts w:eastAsia="等线"/>
              </w:rPr>
              <w:t>240</w:t>
            </w:r>
          </w:p>
        </w:tc>
        <w:tc>
          <w:tcPr>
            <w:tcW w:w="849" w:type="dxa"/>
            <w:shd w:val="clear" w:color="auto" w:fill="auto"/>
            <w:vAlign w:val="center"/>
          </w:tcPr>
          <w:p w14:paraId="25FE2D2C">
            <w:pPr>
              <w:pStyle w:val="179"/>
            </w:pPr>
            <w:r>
              <w:rPr>
                <w:rFonts w:eastAsia="等线"/>
              </w:rPr>
              <w:t>230</w:t>
            </w:r>
          </w:p>
        </w:tc>
        <w:tc>
          <w:tcPr>
            <w:tcW w:w="849" w:type="dxa"/>
            <w:shd w:val="clear" w:color="auto" w:fill="auto"/>
            <w:vAlign w:val="center"/>
          </w:tcPr>
          <w:p w14:paraId="2317B432">
            <w:pPr>
              <w:pStyle w:val="179"/>
            </w:pPr>
            <w:r>
              <w:rPr>
                <w:rFonts w:eastAsia="等线"/>
              </w:rPr>
              <w:t>220</w:t>
            </w:r>
          </w:p>
        </w:tc>
      </w:tr>
    </w:tbl>
    <w:p w14:paraId="52001E48">
      <w:pPr>
        <w:pStyle w:val="181"/>
        <w:numPr>
          <w:ilvl w:val="0"/>
          <w:numId w:val="46"/>
        </w:numPr>
      </w:pPr>
      <w:r>
        <w:rPr>
          <w:rFonts w:hint="eastAsia"/>
        </w:rPr>
        <w:t>结合四川省公路规划勘察设计研究院有限公司《基于运营安全的高速公路长大连续纵坡路线设计控制指标体系研究》课题结论作此规定，对于平均纵坡2.5%及以上的坡长适当放宽；平均纵坡2.5%以下的，按照现行路线规范不作坡长限制。</w:t>
      </w:r>
    </w:p>
    <w:p w14:paraId="4EFF4FE5">
      <w:pPr>
        <w:pStyle w:val="181"/>
      </w:pPr>
      <w:r>
        <w:rPr>
          <w:rFonts w:hint="eastAsia"/>
        </w:rPr>
        <w:t>论证货车检查站、停车区的设置系根据交通运输部2019年发布的《提升公路连续长陡下坡路段安全通行能力专项行动指南》的规定。即坡前上游路段，结合货车比例、路车条件等论证设置货车检查站的必要性；坡长超过15km时，在坡中缓坡位置，结合路侧地形条件论证设置货车停车区。</w:t>
      </w:r>
    </w:p>
    <w:p w14:paraId="33A8E347">
      <w:pPr>
        <w:pStyle w:val="166"/>
      </w:pPr>
      <w:r>
        <w:t>连续长</w:t>
      </w:r>
      <w:r>
        <w:rPr>
          <w:rFonts w:hint="eastAsia"/>
        </w:rPr>
        <w:t>陡</w:t>
      </w:r>
      <w:r>
        <w:t>纵坡</w:t>
      </w:r>
      <w:r>
        <w:rPr>
          <w:color w:val="FF0000"/>
        </w:rPr>
        <w:t>坡顶</w:t>
      </w:r>
      <w:r>
        <w:t>、坡中、坡底各设计单</w:t>
      </w:r>
      <w:r>
        <w:rPr>
          <w:rFonts w:hint="eastAsia"/>
        </w:rPr>
        <w:t>元</w:t>
      </w:r>
      <w:r>
        <w:t>内</w:t>
      </w:r>
      <w:r>
        <w:rPr>
          <w:rFonts w:hint="eastAsia"/>
        </w:rPr>
        <w:t>，</w:t>
      </w:r>
      <w:r>
        <w:t>路线纵坡应力求均匀，并</w:t>
      </w:r>
      <w:r>
        <w:rPr>
          <w:rFonts w:hint="eastAsia"/>
        </w:rPr>
        <w:t>应</w:t>
      </w:r>
      <w:r>
        <w:t>符合以下规定。</w:t>
      </w:r>
    </w:p>
    <w:p w14:paraId="7123E186">
      <w:pPr>
        <w:pStyle w:val="175"/>
        <w:numPr>
          <w:ilvl w:val="0"/>
          <w:numId w:val="47"/>
        </w:numPr>
      </w:pPr>
      <w:r>
        <w:rPr>
          <w:rFonts w:hint="eastAsia"/>
        </w:rPr>
        <w:t>坡段纵坡宜采用接近平均纵坡的坡度值。</w:t>
      </w:r>
    </w:p>
    <w:p w14:paraId="088FBD81">
      <w:pPr>
        <w:pStyle w:val="175"/>
      </w:pPr>
      <w:r>
        <w:rPr>
          <w:rFonts w:hint="eastAsia"/>
        </w:rPr>
        <w:t>连续长、陡纵坡路段相邻坡段间的坡度差不宜大于1.5%。条件受限时可采用接近最大纵坡、最大坡长与缓和坡段的纵坡设计，但连续坡段不应超过3段。</w:t>
      </w:r>
    </w:p>
    <w:p w14:paraId="13848EEF">
      <w:pPr>
        <w:pStyle w:val="175"/>
      </w:pPr>
      <w:r>
        <w:rPr>
          <w:rFonts w:hint="eastAsia"/>
        </w:rPr>
        <w:t>除受地形和地质条件限制外，连续长、陡纵坡路段不宜设置反坡。</w:t>
      </w:r>
    </w:p>
    <w:p w14:paraId="5F6C17C0">
      <w:pPr>
        <w:pStyle w:val="180"/>
      </w:pPr>
      <w:r>
        <w:rPr>
          <w:rFonts w:hint="eastAsia"/>
        </w:rPr>
        <w:t>结合四川省公路规划勘察设计研究院有限公司《基于运营安全的高速公路长大连续纵坡路线设计控制指标体系研究》以及中交第一公路勘察设计研究院有限公司《公路路线及互通式立交安全性优化设计研究》课题结论作此规定。</w:t>
      </w:r>
    </w:p>
    <w:p w14:paraId="50D8120A">
      <w:pPr>
        <w:pStyle w:val="106"/>
        <w:spacing w:before="156" w:after="156"/>
      </w:pPr>
      <w:bookmarkStart w:id="221" w:name="_Toc8829"/>
      <w:r>
        <w:rPr>
          <w:rStyle w:val="231"/>
          <w:rFonts w:hint="eastAsia"/>
          <w:color w:val="000000"/>
          <w:sz w:val="21"/>
          <w:szCs w:val="44"/>
        </w:rPr>
        <w:t>爬坡车道</w:t>
      </w:r>
      <w:bookmarkEnd w:id="221"/>
    </w:p>
    <w:p w14:paraId="25AE478F">
      <w:pPr>
        <w:pStyle w:val="166"/>
      </w:pPr>
      <w:r>
        <w:t>载重汽车最低</w:t>
      </w:r>
      <w:r>
        <w:rPr>
          <w:rFonts w:hint="eastAsia"/>
        </w:rPr>
        <w:t>速度</w:t>
      </w:r>
      <w:r>
        <w:t>，宜不小于表</w:t>
      </w:r>
      <w:r>
        <w:rPr>
          <w:rFonts w:hint="eastAsia"/>
          <w:color w:val="FF0000"/>
        </w:rPr>
        <w:t>1</w:t>
      </w:r>
      <w:r>
        <w:rPr>
          <w:color w:val="FF0000"/>
        </w:rPr>
        <w:t>3</w:t>
      </w:r>
      <w:r>
        <w:t>的规定。低于表中容许最低速度或通行能力不足时，宜调整线形设计或经论证比较后设置爬坡车道。</w:t>
      </w:r>
    </w:p>
    <w:p w14:paraId="357E2145">
      <w:pPr>
        <w:pStyle w:val="113"/>
        <w:spacing w:before="156" w:after="156"/>
      </w:pPr>
      <w:r>
        <w:t>载重汽车</w:t>
      </w:r>
      <w:r>
        <w:rPr>
          <w:rFonts w:hint="eastAsia"/>
        </w:rPr>
        <w:t>上坡方向</w:t>
      </w:r>
      <w:r>
        <w:t>容许最低速度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7EE12B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729BF0E8">
            <w:pPr>
              <w:pStyle w:val="179"/>
            </w:pPr>
            <w:r>
              <w:rPr>
                <w:rFonts w:hint="eastAsia"/>
              </w:rPr>
              <w:t>设计速度(km/h)</w:t>
            </w:r>
          </w:p>
        </w:tc>
        <w:tc>
          <w:tcPr>
            <w:tcW w:w="1867" w:type="dxa"/>
            <w:tcBorders>
              <w:top w:val="single" w:color="auto" w:sz="8" w:space="0"/>
              <w:bottom w:val="single" w:color="auto" w:sz="8" w:space="0"/>
            </w:tcBorders>
            <w:shd w:val="clear" w:color="auto" w:fill="auto"/>
            <w:vAlign w:val="center"/>
          </w:tcPr>
          <w:p w14:paraId="6375E559">
            <w:pPr>
              <w:pStyle w:val="179"/>
            </w:pPr>
            <w:r>
              <w:rPr>
                <w:rFonts w:hint="eastAsia"/>
              </w:rPr>
              <w:t>120</w:t>
            </w:r>
          </w:p>
        </w:tc>
        <w:tc>
          <w:tcPr>
            <w:tcW w:w="1867" w:type="dxa"/>
            <w:tcBorders>
              <w:top w:val="single" w:color="auto" w:sz="8" w:space="0"/>
              <w:bottom w:val="single" w:color="auto" w:sz="8" w:space="0"/>
            </w:tcBorders>
            <w:shd w:val="clear" w:color="auto" w:fill="auto"/>
            <w:vAlign w:val="center"/>
          </w:tcPr>
          <w:p w14:paraId="3CEC64EB">
            <w:pPr>
              <w:pStyle w:val="179"/>
            </w:pPr>
            <w:r>
              <w:rPr>
                <w:rFonts w:hint="eastAsia"/>
              </w:rPr>
              <w:t>100</w:t>
            </w:r>
          </w:p>
        </w:tc>
        <w:tc>
          <w:tcPr>
            <w:tcW w:w="1867" w:type="dxa"/>
            <w:tcBorders>
              <w:top w:val="single" w:color="auto" w:sz="8" w:space="0"/>
              <w:bottom w:val="single" w:color="auto" w:sz="8" w:space="0"/>
            </w:tcBorders>
            <w:shd w:val="clear" w:color="auto" w:fill="auto"/>
            <w:vAlign w:val="center"/>
          </w:tcPr>
          <w:p w14:paraId="53E86030">
            <w:pPr>
              <w:pStyle w:val="179"/>
            </w:pPr>
            <w:r>
              <w:rPr>
                <w:rFonts w:hint="eastAsia"/>
              </w:rPr>
              <w:t>8</w:t>
            </w:r>
            <w:r>
              <w:t>0</w:t>
            </w:r>
          </w:p>
        </w:tc>
        <w:tc>
          <w:tcPr>
            <w:tcW w:w="1867" w:type="dxa"/>
            <w:tcBorders>
              <w:top w:val="single" w:color="auto" w:sz="8" w:space="0"/>
              <w:bottom w:val="single" w:color="auto" w:sz="8" w:space="0"/>
            </w:tcBorders>
            <w:shd w:val="clear" w:color="auto" w:fill="auto"/>
            <w:vAlign w:val="center"/>
          </w:tcPr>
          <w:p w14:paraId="14BF02F5">
            <w:pPr>
              <w:pStyle w:val="179"/>
            </w:pPr>
            <w:r>
              <w:rPr>
                <w:rFonts w:hint="eastAsia"/>
              </w:rPr>
              <w:t>60</w:t>
            </w:r>
          </w:p>
        </w:tc>
      </w:tr>
      <w:tr w14:paraId="28AEAE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1F526812">
            <w:pPr>
              <w:pStyle w:val="179"/>
            </w:pPr>
            <w:r>
              <w:t>容许最低速度</w:t>
            </w:r>
            <w:r>
              <w:rPr>
                <w:rFonts w:hint="eastAsia"/>
              </w:rPr>
              <w:t>(</w:t>
            </w:r>
            <w:r>
              <w:t>km</w:t>
            </w:r>
            <w:r>
              <w:rPr>
                <w:rFonts w:hint="eastAsia"/>
              </w:rPr>
              <w:t>/</w:t>
            </w:r>
            <w:r>
              <w:t>h)</w:t>
            </w:r>
          </w:p>
        </w:tc>
        <w:tc>
          <w:tcPr>
            <w:tcW w:w="1867" w:type="dxa"/>
            <w:tcBorders>
              <w:top w:val="single" w:color="auto" w:sz="8" w:space="0"/>
            </w:tcBorders>
            <w:shd w:val="clear" w:color="auto" w:fill="auto"/>
            <w:vAlign w:val="center"/>
          </w:tcPr>
          <w:p w14:paraId="376F4C23">
            <w:pPr>
              <w:pStyle w:val="179"/>
            </w:pPr>
            <w:r>
              <w:rPr>
                <w:rFonts w:hint="eastAsia"/>
              </w:rPr>
              <w:t>50</w:t>
            </w:r>
          </w:p>
        </w:tc>
        <w:tc>
          <w:tcPr>
            <w:tcW w:w="1867" w:type="dxa"/>
            <w:tcBorders>
              <w:top w:val="single" w:color="auto" w:sz="8" w:space="0"/>
            </w:tcBorders>
            <w:shd w:val="clear" w:color="auto" w:fill="auto"/>
            <w:vAlign w:val="center"/>
          </w:tcPr>
          <w:p w14:paraId="43C8AD23">
            <w:pPr>
              <w:pStyle w:val="179"/>
            </w:pPr>
            <w:r>
              <w:rPr>
                <w:rFonts w:hint="eastAsia"/>
              </w:rPr>
              <w:t>45</w:t>
            </w:r>
          </w:p>
        </w:tc>
        <w:tc>
          <w:tcPr>
            <w:tcW w:w="1867" w:type="dxa"/>
            <w:tcBorders>
              <w:top w:val="single" w:color="auto" w:sz="8" w:space="0"/>
            </w:tcBorders>
            <w:shd w:val="clear" w:color="auto" w:fill="auto"/>
            <w:vAlign w:val="center"/>
          </w:tcPr>
          <w:p w14:paraId="04A6EA11">
            <w:pPr>
              <w:pStyle w:val="179"/>
            </w:pPr>
            <w:r>
              <w:rPr>
                <w:rFonts w:hint="eastAsia"/>
              </w:rPr>
              <w:t>40</w:t>
            </w:r>
          </w:p>
        </w:tc>
        <w:tc>
          <w:tcPr>
            <w:tcW w:w="1867" w:type="dxa"/>
            <w:tcBorders>
              <w:top w:val="single" w:color="auto" w:sz="8" w:space="0"/>
            </w:tcBorders>
            <w:shd w:val="clear" w:color="auto" w:fill="auto"/>
            <w:vAlign w:val="center"/>
          </w:tcPr>
          <w:p w14:paraId="126E3332">
            <w:pPr>
              <w:pStyle w:val="179"/>
            </w:pPr>
            <w:r>
              <w:rPr>
                <w:rFonts w:hint="eastAsia"/>
              </w:rPr>
              <w:t>30</w:t>
            </w:r>
          </w:p>
        </w:tc>
      </w:tr>
    </w:tbl>
    <w:p w14:paraId="64B37296">
      <w:pPr>
        <w:pStyle w:val="181"/>
        <w:numPr>
          <w:ilvl w:val="0"/>
          <w:numId w:val="48"/>
        </w:numPr>
      </w:pPr>
      <w:bookmarkStart w:id="222" w:name="_Toc12998"/>
      <w:r>
        <w:rPr>
          <w:rFonts w:hint="eastAsia"/>
        </w:rPr>
        <w:t>载重汽车上坡方向容许最低速度系在公路路线设计规范JTG D20-2017基础上降低10km/h进行规定。</w:t>
      </w:r>
    </w:p>
    <w:p w14:paraId="533FDFF9">
      <w:pPr>
        <w:pStyle w:val="181"/>
      </w:pPr>
      <w:r>
        <w:rPr>
          <w:rFonts w:hint="eastAsia"/>
        </w:rPr>
        <w:t>前述各种指标在现有规范基础上的放松叠加，可能导致载重汽车上坡速度过低。即便通行能力满足，但载重汽车上坡运行效率太低，考虑社会接受度，故作出低于容许最低速度时需调整线形的规定。</w:t>
      </w:r>
    </w:p>
    <w:p w14:paraId="54803A7C">
      <w:pPr>
        <w:pStyle w:val="166"/>
      </w:pPr>
      <w:r>
        <w:rPr>
          <w:rFonts w:hint="eastAsia"/>
        </w:rPr>
        <w:t>将来有增设</w:t>
      </w:r>
      <w:r>
        <w:t>爬坡车道的</w:t>
      </w:r>
      <w:r>
        <w:rPr>
          <w:rFonts w:hint="eastAsia"/>
        </w:rPr>
        <w:t>需求可能时，应预留设置条件。</w:t>
      </w:r>
    </w:p>
    <w:p w14:paraId="56507785">
      <w:pPr>
        <w:pStyle w:val="106"/>
        <w:spacing w:before="156" w:after="156"/>
        <w:rPr>
          <w:rStyle w:val="231"/>
          <w:rFonts w:hint="eastAsia"/>
          <w:color w:val="000000"/>
          <w:sz w:val="21"/>
          <w:szCs w:val="44"/>
        </w:rPr>
      </w:pPr>
      <w:r>
        <w:rPr>
          <w:rStyle w:val="231"/>
          <w:rFonts w:hint="eastAsia"/>
          <w:color w:val="000000"/>
          <w:sz w:val="21"/>
          <w:szCs w:val="44"/>
        </w:rPr>
        <w:t>合成坡度</w:t>
      </w:r>
      <w:bookmarkEnd w:id="222"/>
    </w:p>
    <w:p w14:paraId="6806064D">
      <w:pPr>
        <w:pStyle w:val="166"/>
      </w:pPr>
      <w:r>
        <w:t>最大</w:t>
      </w:r>
      <w:r>
        <w:rPr>
          <w:rFonts w:hint="eastAsia"/>
          <w:bCs/>
        </w:rPr>
        <w:t>合成坡度</w:t>
      </w:r>
      <w:r>
        <w:rPr>
          <w:rFonts w:hint="eastAsia"/>
        </w:rPr>
        <w:t>应不大于</w:t>
      </w:r>
      <w:r>
        <w:t>表</w:t>
      </w:r>
      <w:r>
        <w:rPr>
          <w:rFonts w:hint="eastAsia"/>
          <w:color w:val="FF0000"/>
        </w:rPr>
        <w:t>1</w:t>
      </w:r>
      <w:r>
        <w:rPr>
          <w:color w:val="FF0000"/>
        </w:rPr>
        <w:t>4</w:t>
      </w:r>
      <w:r>
        <w:rPr>
          <w:rFonts w:hint="eastAsia"/>
        </w:rPr>
        <w:t>的规定。</w:t>
      </w:r>
    </w:p>
    <w:p w14:paraId="264FD232">
      <w:pPr>
        <w:pStyle w:val="113"/>
        <w:spacing w:before="156" w:after="156"/>
      </w:pPr>
      <w:r>
        <w:rPr>
          <w:rFonts w:hint="eastAsia"/>
        </w:rPr>
        <w:t>最大合成坡度</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21066D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7BE61D28">
            <w:pPr>
              <w:pStyle w:val="179"/>
            </w:pPr>
            <w:r>
              <w:rPr>
                <w:rFonts w:hint="eastAsia"/>
              </w:rPr>
              <w:t>设计速度(km/h)</w:t>
            </w:r>
          </w:p>
        </w:tc>
        <w:tc>
          <w:tcPr>
            <w:tcW w:w="1867" w:type="dxa"/>
            <w:tcBorders>
              <w:top w:val="single" w:color="auto" w:sz="8" w:space="0"/>
              <w:bottom w:val="single" w:color="auto" w:sz="8" w:space="0"/>
            </w:tcBorders>
            <w:shd w:val="clear" w:color="auto" w:fill="auto"/>
            <w:vAlign w:val="center"/>
          </w:tcPr>
          <w:p w14:paraId="45F9766D">
            <w:pPr>
              <w:pStyle w:val="179"/>
            </w:pPr>
            <w:r>
              <w:rPr>
                <w:rFonts w:hint="eastAsia"/>
              </w:rPr>
              <w:t>120</w:t>
            </w:r>
          </w:p>
        </w:tc>
        <w:tc>
          <w:tcPr>
            <w:tcW w:w="1867" w:type="dxa"/>
            <w:tcBorders>
              <w:top w:val="single" w:color="auto" w:sz="8" w:space="0"/>
              <w:bottom w:val="single" w:color="auto" w:sz="8" w:space="0"/>
            </w:tcBorders>
            <w:shd w:val="clear" w:color="auto" w:fill="auto"/>
            <w:vAlign w:val="center"/>
          </w:tcPr>
          <w:p w14:paraId="0E4106D9">
            <w:pPr>
              <w:pStyle w:val="179"/>
            </w:pPr>
            <w:r>
              <w:rPr>
                <w:rFonts w:hint="eastAsia"/>
              </w:rPr>
              <w:t>100</w:t>
            </w:r>
          </w:p>
        </w:tc>
        <w:tc>
          <w:tcPr>
            <w:tcW w:w="1867" w:type="dxa"/>
            <w:tcBorders>
              <w:top w:val="single" w:color="auto" w:sz="8" w:space="0"/>
              <w:bottom w:val="single" w:color="auto" w:sz="8" w:space="0"/>
            </w:tcBorders>
            <w:shd w:val="clear" w:color="auto" w:fill="auto"/>
            <w:vAlign w:val="center"/>
          </w:tcPr>
          <w:p w14:paraId="6FB05EBD">
            <w:pPr>
              <w:pStyle w:val="179"/>
            </w:pPr>
            <w:r>
              <w:rPr>
                <w:rFonts w:hint="eastAsia"/>
              </w:rPr>
              <w:t>8</w:t>
            </w:r>
            <w:r>
              <w:t>0</w:t>
            </w:r>
          </w:p>
        </w:tc>
        <w:tc>
          <w:tcPr>
            <w:tcW w:w="1867" w:type="dxa"/>
            <w:tcBorders>
              <w:top w:val="single" w:color="auto" w:sz="8" w:space="0"/>
              <w:bottom w:val="single" w:color="auto" w:sz="8" w:space="0"/>
            </w:tcBorders>
            <w:shd w:val="clear" w:color="auto" w:fill="auto"/>
            <w:vAlign w:val="center"/>
          </w:tcPr>
          <w:p w14:paraId="5C2F636E">
            <w:pPr>
              <w:pStyle w:val="179"/>
            </w:pPr>
            <w:r>
              <w:rPr>
                <w:rFonts w:hint="eastAsia"/>
              </w:rPr>
              <w:t>6</w:t>
            </w:r>
            <w:r>
              <w:t>0</w:t>
            </w:r>
          </w:p>
        </w:tc>
      </w:tr>
      <w:tr w14:paraId="5FBFAE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0E912E8A">
            <w:pPr>
              <w:pStyle w:val="179"/>
            </w:pPr>
            <w:r>
              <w:rPr>
                <w:rFonts w:hint="eastAsia"/>
              </w:rPr>
              <w:t>最大合成坡度(</w:t>
            </w:r>
            <w:r>
              <w:t>%)</w:t>
            </w:r>
          </w:p>
        </w:tc>
        <w:tc>
          <w:tcPr>
            <w:tcW w:w="1867" w:type="dxa"/>
            <w:tcBorders>
              <w:top w:val="single" w:color="auto" w:sz="8" w:space="0"/>
            </w:tcBorders>
            <w:shd w:val="clear" w:color="auto" w:fill="auto"/>
            <w:vAlign w:val="center"/>
          </w:tcPr>
          <w:p w14:paraId="72B30FD0">
            <w:pPr>
              <w:pStyle w:val="179"/>
            </w:pPr>
            <w:r>
              <w:rPr>
                <w:rFonts w:hint="eastAsia"/>
              </w:rPr>
              <w:t>10</w:t>
            </w:r>
          </w:p>
        </w:tc>
        <w:tc>
          <w:tcPr>
            <w:tcW w:w="1867" w:type="dxa"/>
            <w:tcBorders>
              <w:top w:val="single" w:color="auto" w:sz="8" w:space="0"/>
            </w:tcBorders>
            <w:shd w:val="clear" w:color="auto" w:fill="auto"/>
            <w:vAlign w:val="center"/>
          </w:tcPr>
          <w:p w14:paraId="5A729ACB">
            <w:pPr>
              <w:pStyle w:val="179"/>
            </w:pPr>
            <w:r>
              <w:rPr>
                <w:rFonts w:hint="eastAsia"/>
              </w:rPr>
              <w:t>10</w:t>
            </w:r>
          </w:p>
        </w:tc>
        <w:tc>
          <w:tcPr>
            <w:tcW w:w="1867" w:type="dxa"/>
            <w:tcBorders>
              <w:top w:val="single" w:color="auto" w:sz="8" w:space="0"/>
            </w:tcBorders>
            <w:shd w:val="clear" w:color="auto" w:fill="auto"/>
            <w:vAlign w:val="center"/>
          </w:tcPr>
          <w:p w14:paraId="79A93DE0">
            <w:pPr>
              <w:pStyle w:val="179"/>
            </w:pPr>
            <w:r>
              <w:rPr>
                <w:rFonts w:hint="eastAsia"/>
              </w:rPr>
              <w:t>10.5</w:t>
            </w:r>
          </w:p>
        </w:tc>
        <w:tc>
          <w:tcPr>
            <w:tcW w:w="1867" w:type="dxa"/>
            <w:tcBorders>
              <w:top w:val="single" w:color="auto" w:sz="8" w:space="0"/>
            </w:tcBorders>
            <w:shd w:val="clear" w:color="auto" w:fill="auto"/>
            <w:vAlign w:val="center"/>
          </w:tcPr>
          <w:p w14:paraId="6CB7BC4C">
            <w:pPr>
              <w:pStyle w:val="179"/>
            </w:pPr>
            <w:r>
              <w:rPr>
                <w:rFonts w:hint="eastAsia"/>
              </w:rPr>
              <w:t>1</w:t>
            </w:r>
            <w:r>
              <w:t>0.5</w:t>
            </w:r>
          </w:p>
        </w:tc>
      </w:tr>
    </w:tbl>
    <w:p w14:paraId="60509E43">
      <w:pPr>
        <w:pStyle w:val="166"/>
      </w:pPr>
      <w:r>
        <w:rPr>
          <w:rFonts w:hint="eastAsia"/>
        </w:rPr>
        <w:t>冬季路面有结冰、积雪，或者自然横坡</w:t>
      </w:r>
      <w:r>
        <w:t>陡峻的傍山</w:t>
      </w:r>
      <w:r>
        <w:rPr>
          <w:rFonts w:hint="eastAsia"/>
        </w:rPr>
        <w:t>路</w:t>
      </w:r>
      <w:r>
        <w:t>段</w:t>
      </w:r>
      <w:r>
        <w:rPr>
          <w:rFonts w:hint="eastAsia"/>
        </w:rPr>
        <w:t>，合成坡度必须小于8%。</w:t>
      </w:r>
    </w:p>
    <w:p w14:paraId="73C2CBA8">
      <w:pPr>
        <w:pStyle w:val="106"/>
        <w:spacing w:before="156" w:after="156"/>
        <w:rPr>
          <w:rStyle w:val="231"/>
          <w:rFonts w:hint="eastAsia"/>
          <w:color w:val="000000"/>
          <w:sz w:val="21"/>
          <w:szCs w:val="44"/>
        </w:rPr>
      </w:pPr>
      <w:r>
        <w:rPr>
          <w:rStyle w:val="231"/>
          <w:rFonts w:hint="eastAsia"/>
          <w:color w:val="000000"/>
          <w:sz w:val="21"/>
          <w:szCs w:val="44"/>
        </w:rPr>
        <w:t>竖曲线</w:t>
      </w:r>
    </w:p>
    <w:p w14:paraId="130BE2F2">
      <w:pPr>
        <w:pStyle w:val="57"/>
        <w:ind w:firstLine="420"/>
      </w:pPr>
      <w:r>
        <w:rPr>
          <w:rFonts w:hint="eastAsia"/>
        </w:rPr>
        <w:t>竖曲线要素应符合</w:t>
      </w:r>
      <w:r>
        <w:t>表</w:t>
      </w:r>
      <w:r>
        <w:rPr>
          <w:rFonts w:hint="eastAsia"/>
          <w:color w:val="FF0000"/>
        </w:rPr>
        <w:t>1</w:t>
      </w:r>
      <w:r>
        <w:rPr>
          <w:color w:val="FF0000"/>
        </w:rPr>
        <w:t>5</w:t>
      </w:r>
      <w:r>
        <w:rPr>
          <w:rFonts w:hint="eastAsia"/>
        </w:rPr>
        <w:t>的规定。</w:t>
      </w:r>
    </w:p>
    <w:p w14:paraId="2F6F0430">
      <w:pPr>
        <w:pStyle w:val="113"/>
        <w:spacing w:before="156" w:after="156"/>
      </w:pPr>
      <w:r>
        <w:rPr>
          <w:rFonts w:hint="eastAsia"/>
        </w:rPr>
        <w:t>竖曲线</w:t>
      </w:r>
      <w:r>
        <w:rPr>
          <w:color w:val="FF0000"/>
        </w:rPr>
        <w:t>设计</w:t>
      </w:r>
      <w:r>
        <w:rPr>
          <w:rFonts w:hint="eastAsia"/>
        </w:rPr>
        <w:t>要素</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09FDB8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57A2B7BF">
            <w:pPr>
              <w:pStyle w:val="179"/>
            </w:pPr>
            <w:r>
              <w:rPr>
                <w:rFonts w:hint="eastAsia"/>
              </w:rPr>
              <w:t>设计速度(km/h)</w:t>
            </w:r>
          </w:p>
        </w:tc>
        <w:tc>
          <w:tcPr>
            <w:tcW w:w="1867" w:type="dxa"/>
            <w:tcBorders>
              <w:top w:val="single" w:color="auto" w:sz="8" w:space="0"/>
              <w:bottom w:val="single" w:color="auto" w:sz="8" w:space="0"/>
            </w:tcBorders>
            <w:shd w:val="clear" w:color="auto" w:fill="auto"/>
            <w:vAlign w:val="center"/>
          </w:tcPr>
          <w:p w14:paraId="187010B4">
            <w:pPr>
              <w:pStyle w:val="179"/>
            </w:pPr>
            <w:r>
              <w:rPr>
                <w:rFonts w:hint="eastAsia"/>
              </w:rPr>
              <w:t>120</w:t>
            </w:r>
          </w:p>
        </w:tc>
        <w:tc>
          <w:tcPr>
            <w:tcW w:w="1867" w:type="dxa"/>
            <w:tcBorders>
              <w:top w:val="single" w:color="auto" w:sz="8" w:space="0"/>
              <w:bottom w:val="single" w:color="auto" w:sz="8" w:space="0"/>
            </w:tcBorders>
            <w:shd w:val="clear" w:color="auto" w:fill="auto"/>
            <w:vAlign w:val="center"/>
          </w:tcPr>
          <w:p w14:paraId="1E3D759A">
            <w:pPr>
              <w:pStyle w:val="179"/>
            </w:pPr>
            <w:r>
              <w:rPr>
                <w:rFonts w:hint="eastAsia"/>
              </w:rPr>
              <w:t>1</w:t>
            </w:r>
            <w:r>
              <w:t>00</w:t>
            </w:r>
          </w:p>
        </w:tc>
        <w:tc>
          <w:tcPr>
            <w:tcW w:w="1867" w:type="dxa"/>
            <w:tcBorders>
              <w:top w:val="single" w:color="auto" w:sz="8" w:space="0"/>
              <w:bottom w:val="single" w:color="auto" w:sz="8" w:space="0"/>
            </w:tcBorders>
            <w:shd w:val="clear" w:color="auto" w:fill="auto"/>
            <w:vAlign w:val="center"/>
          </w:tcPr>
          <w:p w14:paraId="36D54EDE">
            <w:pPr>
              <w:pStyle w:val="179"/>
            </w:pPr>
            <w:r>
              <w:rPr>
                <w:rFonts w:hint="eastAsia"/>
              </w:rPr>
              <w:t>80</w:t>
            </w:r>
          </w:p>
        </w:tc>
        <w:tc>
          <w:tcPr>
            <w:tcW w:w="1867" w:type="dxa"/>
            <w:tcBorders>
              <w:top w:val="single" w:color="auto" w:sz="8" w:space="0"/>
              <w:bottom w:val="single" w:color="auto" w:sz="8" w:space="0"/>
            </w:tcBorders>
            <w:shd w:val="clear" w:color="auto" w:fill="auto"/>
            <w:vAlign w:val="center"/>
          </w:tcPr>
          <w:p w14:paraId="303F5DC9">
            <w:pPr>
              <w:pStyle w:val="179"/>
            </w:pPr>
            <w:r>
              <w:rPr>
                <w:rFonts w:hint="eastAsia"/>
              </w:rPr>
              <w:t>60</w:t>
            </w:r>
          </w:p>
        </w:tc>
      </w:tr>
      <w:tr w14:paraId="5009A2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6592F725">
            <w:pPr>
              <w:pStyle w:val="179"/>
            </w:pPr>
            <w:r>
              <w:rPr>
                <w:rFonts w:hint="eastAsia"/>
              </w:rPr>
              <w:t>凸型竖曲线</w:t>
            </w:r>
            <w:r>
              <w:t>半径一般值</w:t>
            </w:r>
            <w:r>
              <w:rPr>
                <w:rFonts w:hint="eastAsia"/>
              </w:rPr>
              <w:t>（m）</w:t>
            </w:r>
          </w:p>
        </w:tc>
        <w:tc>
          <w:tcPr>
            <w:tcW w:w="1867" w:type="dxa"/>
            <w:tcBorders>
              <w:top w:val="single" w:color="auto" w:sz="8" w:space="0"/>
            </w:tcBorders>
            <w:shd w:val="clear" w:color="auto" w:fill="auto"/>
            <w:vAlign w:val="center"/>
          </w:tcPr>
          <w:p w14:paraId="52203C9A">
            <w:pPr>
              <w:pStyle w:val="179"/>
            </w:pPr>
            <w:r>
              <w:rPr>
                <w:rFonts w:hint="eastAsia"/>
              </w:rPr>
              <w:t>17000</w:t>
            </w:r>
          </w:p>
        </w:tc>
        <w:tc>
          <w:tcPr>
            <w:tcW w:w="1867" w:type="dxa"/>
            <w:tcBorders>
              <w:top w:val="single" w:color="auto" w:sz="8" w:space="0"/>
            </w:tcBorders>
            <w:shd w:val="clear" w:color="auto" w:fill="auto"/>
            <w:vAlign w:val="center"/>
          </w:tcPr>
          <w:p w14:paraId="39C1CAF2">
            <w:pPr>
              <w:pStyle w:val="179"/>
            </w:pPr>
            <w:r>
              <w:rPr>
                <w:rFonts w:hint="eastAsia"/>
              </w:rPr>
              <w:t>10000</w:t>
            </w:r>
          </w:p>
        </w:tc>
        <w:tc>
          <w:tcPr>
            <w:tcW w:w="1867" w:type="dxa"/>
            <w:tcBorders>
              <w:top w:val="single" w:color="auto" w:sz="8" w:space="0"/>
            </w:tcBorders>
            <w:shd w:val="clear" w:color="auto" w:fill="auto"/>
            <w:vAlign w:val="center"/>
          </w:tcPr>
          <w:p w14:paraId="5A936813">
            <w:pPr>
              <w:pStyle w:val="179"/>
            </w:pPr>
            <w:r>
              <w:rPr>
                <w:rFonts w:hint="eastAsia"/>
              </w:rPr>
              <w:t>4500</w:t>
            </w:r>
          </w:p>
        </w:tc>
        <w:tc>
          <w:tcPr>
            <w:tcW w:w="1867" w:type="dxa"/>
            <w:tcBorders>
              <w:top w:val="single" w:color="auto" w:sz="8" w:space="0"/>
            </w:tcBorders>
            <w:shd w:val="clear" w:color="auto" w:fill="auto"/>
            <w:vAlign w:val="center"/>
          </w:tcPr>
          <w:p w14:paraId="640C89A6">
            <w:pPr>
              <w:pStyle w:val="179"/>
            </w:pPr>
            <w:r>
              <w:rPr>
                <w:rFonts w:hint="eastAsia"/>
              </w:rPr>
              <w:t>2000</w:t>
            </w:r>
          </w:p>
        </w:tc>
      </w:tr>
      <w:tr w14:paraId="0F0663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1CBD824C">
            <w:pPr>
              <w:pStyle w:val="179"/>
            </w:pPr>
            <w:r>
              <w:rPr>
                <w:rFonts w:hint="eastAsia"/>
              </w:rPr>
              <w:t>凹型竖曲线半径一般值（m）</w:t>
            </w:r>
          </w:p>
        </w:tc>
        <w:tc>
          <w:tcPr>
            <w:tcW w:w="1867" w:type="dxa"/>
            <w:shd w:val="clear" w:color="auto" w:fill="auto"/>
            <w:vAlign w:val="center"/>
          </w:tcPr>
          <w:p w14:paraId="2D3C69AA">
            <w:pPr>
              <w:pStyle w:val="179"/>
            </w:pPr>
            <w:r>
              <w:rPr>
                <w:rFonts w:hint="eastAsia"/>
              </w:rPr>
              <w:t>6000</w:t>
            </w:r>
          </w:p>
        </w:tc>
        <w:tc>
          <w:tcPr>
            <w:tcW w:w="1867" w:type="dxa"/>
            <w:shd w:val="clear" w:color="auto" w:fill="auto"/>
            <w:vAlign w:val="center"/>
          </w:tcPr>
          <w:p w14:paraId="01AE6040">
            <w:pPr>
              <w:pStyle w:val="179"/>
            </w:pPr>
            <w:r>
              <w:rPr>
                <w:rFonts w:hint="eastAsia"/>
              </w:rPr>
              <w:t>4500</w:t>
            </w:r>
          </w:p>
        </w:tc>
        <w:tc>
          <w:tcPr>
            <w:tcW w:w="1867" w:type="dxa"/>
            <w:shd w:val="clear" w:color="auto" w:fill="auto"/>
            <w:vAlign w:val="center"/>
          </w:tcPr>
          <w:p w14:paraId="19AF214A">
            <w:pPr>
              <w:pStyle w:val="179"/>
            </w:pPr>
            <w:r>
              <w:rPr>
                <w:rFonts w:hint="eastAsia"/>
              </w:rPr>
              <w:t>3000</w:t>
            </w:r>
          </w:p>
        </w:tc>
        <w:tc>
          <w:tcPr>
            <w:tcW w:w="1867" w:type="dxa"/>
            <w:shd w:val="clear" w:color="auto" w:fill="auto"/>
            <w:vAlign w:val="center"/>
          </w:tcPr>
          <w:p w14:paraId="6E9CC389">
            <w:pPr>
              <w:pStyle w:val="179"/>
            </w:pPr>
            <w:r>
              <w:rPr>
                <w:rFonts w:hint="eastAsia"/>
              </w:rPr>
              <w:t>1500</w:t>
            </w:r>
          </w:p>
        </w:tc>
      </w:tr>
      <w:tr w14:paraId="2D526A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032B6023">
            <w:pPr>
              <w:pStyle w:val="179"/>
            </w:pPr>
            <w:r>
              <w:rPr>
                <w:rFonts w:hint="eastAsia"/>
              </w:rPr>
              <w:t>竖曲线长度一般值（m）</w:t>
            </w:r>
          </w:p>
        </w:tc>
        <w:tc>
          <w:tcPr>
            <w:tcW w:w="1867" w:type="dxa"/>
            <w:shd w:val="clear" w:color="auto" w:fill="auto"/>
            <w:vAlign w:val="center"/>
          </w:tcPr>
          <w:p w14:paraId="3213C23B">
            <w:pPr>
              <w:pStyle w:val="179"/>
            </w:pPr>
            <w:r>
              <w:rPr>
                <w:rFonts w:hint="eastAsia"/>
              </w:rPr>
              <w:t>250</w:t>
            </w:r>
          </w:p>
        </w:tc>
        <w:tc>
          <w:tcPr>
            <w:tcW w:w="1867" w:type="dxa"/>
            <w:shd w:val="clear" w:color="auto" w:fill="auto"/>
            <w:vAlign w:val="center"/>
          </w:tcPr>
          <w:p w14:paraId="3B0F2F06">
            <w:pPr>
              <w:pStyle w:val="179"/>
            </w:pPr>
            <w:r>
              <w:rPr>
                <w:rFonts w:hint="eastAsia"/>
              </w:rPr>
              <w:t>210</w:t>
            </w:r>
          </w:p>
        </w:tc>
        <w:tc>
          <w:tcPr>
            <w:tcW w:w="1867" w:type="dxa"/>
            <w:shd w:val="clear" w:color="auto" w:fill="auto"/>
            <w:vAlign w:val="center"/>
          </w:tcPr>
          <w:p w14:paraId="508BBEA3">
            <w:pPr>
              <w:pStyle w:val="179"/>
            </w:pPr>
            <w:r>
              <w:rPr>
                <w:rFonts w:hint="eastAsia"/>
              </w:rPr>
              <w:t>170</w:t>
            </w:r>
          </w:p>
        </w:tc>
        <w:tc>
          <w:tcPr>
            <w:tcW w:w="1867" w:type="dxa"/>
            <w:shd w:val="clear" w:color="auto" w:fill="auto"/>
            <w:vAlign w:val="center"/>
          </w:tcPr>
          <w:p w14:paraId="1C1D5BAB">
            <w:pPr>
              <w:pStyle w:val="179"/>
            </w:pPr>
            <w:r>
              <w:rPr>
                <w:rFonts w:hint="eastAsia"/>
              </w:rPr>
              <w:t>120</w:t>
            </w:r>
          </w:p>
        </w:tc>
      </w:tr>
    </w:tbl>
    <w:p w14:paraId="2D7ADAD1">
      <w:pPr>
        <w:pStyle w:val="180"/>
      </w:pPr>
      <w:bookmarkStart w:id="223" w:name="_Toc11387"/>
      <w:r>
        <w:rPr>
          <w:rFonts w:hint="eastAsia"/>
        </w:rPr>
        <w:t>本表采用公路路线设计规范JTG D20-2017中竖曲线要素的相应指标。根据设计实践，竖曲线极限指标容易满足，表中仅规定一般值指标。</w:t>
      </w:r>
    </w:p>
    <w:p w14:paraId="5D2941D1">
      <w:pPr>
        <w:pStyle w:val="105"/>
        <w:spacing w:before="312" w:after="312"/>
        <w:rPr>
          <w:rStyle w:val="231"/>
          <w:rFonts w:hint="eastAsia" w:ascii="宋体" w:hAnsi="宋体" w:eastAsia="宋体"/>
          <w:bCs w:val="0"/>
          <w:sz w:val="36"/>
          <w:szCs w:val="96"/>
        </w:rPr>
      </w:pPr>
      <w:r>
        <w:rPr>
          <w:rFonts w:hint="eastAsia"/>
        </w:rPr>
        <w:t>路基路面</w:t>
      </w:r>
      <w:bookmarkEnd w:id="223"/>
    </w:p>
    <w:p w14:paraId="12CECA1E">
      <w:pPr>
        <w:pStyle w:val="106"/>
        <w:numPr>
          <w:ilvl w:val="0"/>
          <w:numId w:val="0"/>
        </w:numPr>
        <w:spacing w:before="312" w:beforeLines="100" w:after="156"/>
        <w:rPr>
          <w:rStyle w:val="231"/>
          <w:rFonts w:hint="eastAsia"/>
          <w:color w:val="000000"/>
          <w:sz w:val="21"/>
          <w:szCs w:val="44"/>
        </w:rPr>
      </w:pPr>
      <w:bookmarkStart w:id="224" w:name="_Toc1949"/>
      <w:r>
        <w:rPr>
          <w:rStyle w:val="231"/>
          <w:rFonts w:hint="eastAsia"/>
          <w:color w:val="000000"/>
          <w:sz w:val="21"/>
          <w:szCs w:val="44"/>
        </w:rPr>
        <w:t>7</w:t>
      </w:r>
      <w:r>
        <w:rPr>
          <w:rStyle w:val="231"/>
          <w:rFonts w:hAnsi="Times New Roman"/>
          <w:bCs w:val="0"/>
          <w:kern w:val="0"/>
          <w:sz w:val="21"/>
          <w:szCs w:val="20"/>
        </w:rPr>
        <w:t>.1 路</w:t>
      </w:r>
      <w:r>
        <w:rPr>
          <w:rStyle w:val="231"/>
          <w:rFonts w:hint="eastAsia" w:hAnsi="Times New Roman"/>
          <w:bCs w:val="0"/>
          <w:kern w:val="0"/>
          <w:sz w:val="21"/>
          <w:szCs w:val="20"/>
        </w:rPr>
        <w:t>基</w:t>
      </w:r>
      <w:bookmarkEnd w:id="224"/>
    </w:p>
    <w:p w14:paraId="222C968D">
      <w:pPr>
        <w:pStyle w:val="166"/>
      </w:pPr>
      <w:bookmarkStart w:id="225" w:name="_Toc118273748"/>
      <w:bookmarkStart w:id="226" w:name="_Toc120208156"/>
      <w:r>
        <w:rPr>
          <w:rFonts w:hint="eastAsia"/>
        </w:rPr>
        <w:t>路基边坡形式应结合地形和工程地质条件、边坡高度、填料性质、经济与环保等因素确定，优先采用折线式边坡。</w:t>
      </w:r>
    </w:p>
    <w:p w14:paraId="239854CC">
      <w:pPr>
        <w:pStyle w:val="166"/>
      </w:pPr>
      <w:r>
        <w:rPr>
          <w:rFonts w:hint="eastAsia"/>
        </w:rPr>
        <w:t>边坡坡率宜在调查附近自然山坡及已建工程边坡坡率的基础上，经稳定计算分析后综合确定。</w:t>
      </w:r>
    </w:p>
    <w:p w14:paraId="25F9EB14">
      <w:pPr>
        <w:pStyle w:val="166"/>
      </w:pPr>
      <w:r>
        <w:rPr>
          <w:rFonts w:hint="eastAsia"/>
        </w:rPr>
        <w:t>深挖路堑施工应自上而下、分层开挖、防挖结合。软质岩宜优先考虑机械开挖；硬质岩宜采用光面爆破或预裂爆破</w:t>
      </w:r>
      <w:r>
        <w:t>。</w:t>
      </w:r>
    </w:p>
    <w:p w14:paraId="7FBC375A">
      <w:pPr>
        <w:pStyle w:val="166"/>
      </w:pPr>
      <w:r>
        <w:t>滑坡、崩塌</w:t>
      </w:r>
      <w:r>
        <w:rPr>
          <w:rFonts w:hint="eastAsia"/>
        </w:rPr>
        <w:t>、泥石流</w:t>
      </w:r>
      <w:r>
        <w:t>等</w:t>
      </w:r>
      <w:r>
        <w:rPr>
          <w:rFonts w:hint="eastAsia"/>
        </w:rPr>
        <w:t>不良地质路段的</w:t>
      </w:r>
      <w:r>
        <w:t>特殊路基</w:t>
      </w:r>
      <w:r>
        <w:rPr>
          <w:rFonts w:hint="eastAsia"/>
        </w:rPr>
        <w:t>设计，</w:t>
      </w:r>
      <w:r>
        <w:t>应符合以下规定。</w:t>
      </w:r>
    </w:p>
    <w:p w14:paraId="72A476C5">
      <w:pPr>
        <w:pStyle w:val="175"/>
        <w:numPr>
          <w:ilvl w:val="0"/>
          <w:numId w:val="49"/>
        </w:numPr>
      </w:pPr>
      <w:r>
        <w:t>对于规模巨大的不良地质体应优先考虑绕避方案。</w:t>
      </w:r>
    </w:p>
    <w:p w14:paraId="2A6D662B">
      <w:pPr>
        <w:pStyle w:val="175"/>
      </w:pPr>
      <w:r>
        <w:rPr>
          <w:rFonts w:hint="eastAsia"/>
        </w:rPr>
        <w:t>对于规模较大的不良地质体应进行特殊路基处治与桥隧绕避方案比选，经安全性、经济性比较后，综合确定总体方案。</w:t>
      </w:r>
    </w:p>
    <w:p w14:paraId="41F54A2D">
      <w:pPr>
        <w:pStyle w:val="175"/>
      </w:pPr>
      <w:r>
        <w:rPr>
          <w:rFonts w:hint="eastAsia" w:ascii="Times New Roman"/>
        </w:rPr>
        <w:t>对于</w:t>
      </w:r>
      <w:r>
        <w:rPr>
          <w:rFonts w:hint="eastAsia"/>
        </w:rPr>
        <w:t>无法绕避的大规模不良地质体，宜</w:t>
      </w:r>
      <w:r>
        <w:t>采用动态设计</w:t>
      </w:r>
      <w:r>
        <w:rPr>
          <w:rFonts w:hint="eastAsia"/>
        </w:rPr>
        <w:t>。采取有利路基稳定、易于实施的处治加固</w:t>
      </w:r>
      <w:r>
        <w:rPr>
          <w:rFonts w:hint="eastAsia" w:ascii="Times New Roman"/>
        </w:rPr>
        <w:t>措施</w:t>
      </w:r>
      <w:r>
        <w:rPr>
          <w:rFonts w:hint="eastAsia"/>
        </w:rPr>
        <w:t>，并应进行变形监测、施工安全和防治效果监测，施工中根据监测情况动态调整设计</w:t>
      </w:r>
      <w:r>
        <w:t>，必要时增加运营期监测措施</w:t>
      </w:r>
      <w:r>
        <w:rPr>
          <w:rFonts w:hint="eastAsia"/>
        </w:rPr>
        <w:t>。</w:t>
      </w:r>
    </w:p>
    <w:p w14:paraId="7A2B6FEB">
      <w:pPr>
        <w:pStyle w:val="175"/>
      </w:pPr>
      <w:r>
        <w:rPr>
          <w:rFonts w:hint="eastAsia"/>
        </w:rPr>
        <w:t>对于中</w:t>
      </w:r>
      <w:r>
        <w:rPr>
          <w:rFonts w:hint="eastAsia" w:ascii="Times New Roman"/>
        </w:rPr>
        <w:t>小规模</w:t>
      </w:r>
      <w:r>
        <w:rPr>
          <w:rFonts w:hint="eastAsia"/>
        </w:rPr>
        <w:t>不良地质体，应按一阶段处治到位进行设计。</w:t>
      </w:r>
    </w:p>
    <w:p w14:paraId="6F7186D3">
      <w:pPr>
        <w:pStyle w:val="166"/>
        <w:rPr>
          <w:b/>
          <w:bCs/>
        </w:rPr>
      </w:pPr>
      <w:r>
        <w:rPr>
          <w:rFonts w:hint="eastAsia"/>
        </w:rPr>
        <w:t>软土、季节性冻土等特殊性岩土处治方案应优先采用对环境影响较小的方案，如换填片碎石、堆载预压等</w:t>
      </w:r>
      <w:r>
        <w:t>。</w:t>
      </w:r>
    </w:p>
    <w:p w14:paraId="714E419D">
      <w:pPr>
        <w:pStyle w:val="166"/>
      </w:pPr>
      <w:r>
        <w:t>路基</w:t>
      </w:r>
      <w:r>
        <w:rPr>
          <w:rFonts w:hint="eastAsia"/>
        </w:rPr>
        <w:t>设计</w:t>
      </w:r>
      <w:r>
        <w:t>应充分考虑</w:t>
      </w:r>
      <w:r>
        <w:rPr>
          <w:rFonts w:hint="eastAsia"/>
        </w:rPr>
        <w:t>冻土、</w:t>
      </w:r>
      <w:r>
        <w:t>雪害、涎流冰等病害，合理选择路基高度、路基形式等，并完善</w:t>
      </w:r>
      <w:r>
        <w:rPr>
          <w:rFonts w:hint="eastAsia"/>
        </w:rPr>
        <w:t>综合</w:t>
      </w:r>
      <w:r>
        <w:t>防治措施</w:t>
      </w:r>
      <w:r>
        <w:rPr>
          <w:rFonts w:hint="eastAsia"/>
        </w:rPr>
        <w:t>，加强排水设计</w:t>
      </w:r>
      <w:r>
        <w:t>。</w:t>
      </w:r>
    </w:p>
    <w:p w14:paraId="623812B4">
      <w:pPr>
        <w:pStyle w:val="166"/>
      </w:pPr>
      <w:r>
        <w:rPr>
          <w:rFonts w:hint="eastAsia"/>
        </w:rPr>
        <w:t>边</w:t>
      </w:r>
      <w:r>
        <w:t>坡防</w:t>
      </w:r>
      <w:r>
        <w:rPr>
          <w:rFonts w:hint="eastAsia"/>
        </w:rPr>
        <w:t>护</w:t>
      </w:r>
      <w:r>
        <w:t>应符合以下规定。</w:t>
      </w:r>
    </w:p>
    <w:p w14:paraId="1C32682C">
      <w:pPr>
        <w:pStyle w:val="175"/>
        <w:numPr>
          <w:ilvl w:val="0"/>
          <w:numId w:val="50"/>
        </w:numPr>
      </w:pPr>
      <w:r>
        <w:t>边坡</w:t>
      </w:r>
      <w:r>
        <w:rPr>
          <w:rFonts w:hint="eastAsia" w:ascii="Times New Roman"/>
        </w:rPr>
        <w:t>稳定性</w:t>
      </w:r>
      <w:r>
        <w:t>评价应遵循</w:t>
      </w:r>
      <w:r>
        <w:rPr>
          <w:rFonts w:hint="eastAsia"/>
        </w:rPr>
        <w:t>“</w:t>
      </w:r>
      <w:r>
        <w:t>以定性分析为基础、定量计算为手段</w:t>
      </w:r>
      <w:r>
        <w:rPr>
          <w:rFonts w:hint="eastAsia"/>
        </w:rPr>
        <w:t>”</w:t>
      </w:r>
      <w:r>
        <w:t>的原则，定性判断边坡的稳定状态和可能破坏模式，稳定的边坡应</w:t>
      </w:r>
      <w:r>
        <w:rPr>
          <w:rFonts w:hint="eastAsia"/>
        </w:rPr>
        <w:t>采用</w:t>
      </w:r>
      <w:r>
        <w:t>低强度防护措施</w:t>
      </w:r>
      <w:r>
        <w:rPr>
          <w:rFonts w:hint="eastAsia"/>
        </w:rPr>
        <w:t>，避免过度防护</w:t>
      </w:r>
      <w:r>
        <w:t>。</w:t>
      </w:r>
    </w:p>
    <w:p w14:paraId="54D31F39">
      <w:pPr>
        <w:pStyle w:val="175"/>
      </w:pPr>
      <w:r>
        <w:rPr>
          <w:rFonts w:hint="eastAsia"/>
        </w:rPr>
        <w:t>边</w:t>
      </w:r>
      <w:r>
        <w:t>坡防</w:t>
      </w:r>
      <w:r>
        <w:rPr>
          <w:rFonts w:hint="eastAsia"/>
        </w:rPr>
        <w:t>护应</w:t>
      </w:r>
      <w:r>
        <w:t>与</w:t>
      </w:r>
      <w:r>
        <w:rPr>
          <w:rFonts w:hint="eastAsia"/>
        </w:rPr>
        <w:t>项目沿线</w:t>
      </w:r>
      <w:r>
        <w:t>地</w:t>
      </w:r>
      <w:r>
        <w:rPr>
          <w:rFonts w:hint="eastAsia"/>
        </w:rPr>
        <w:t>质、水文、气象、生态环境等</w:t>
      </w:r>
      <w:r>
        <w:t>条件相适</w:t>
      </w:r>
      <w:r>
        <w:rPr>
          <w:rFonts w:hint="eastAsia"/>
        </w:rPr>
        <w:t>应</w:t>
      </w:r>
      <w:r>
        <w:t>，优先考虑生态防护为主，工程防护为辅，同时兼顾排水功能。</w:t>
      </w:r>
    </w:p>
    <w:p w14:paraId="4261B33C">
      <w:pPr>
        <w:pStyle w:val="166"/>
      </w:pPr>
      <w:r>
        <w:rPr>
          <w:rFonts w:hint="eastAsia"/>
        </w:rPr>
        <w:t>支挡工程应</w:t>
      </w:r>
      <w:r>
        <w:t>充分利用</w:t>
      </w:r>
      <w:r>
        <w:rPr>
          <w:rFonts w:hint="eastAsia"/>
        </w:rPr>
        <w:t>路基</w:t>
      </w:r>
      <w:r>
        <w:t>挖</w:t>
      </w:r>
      <w:r>
        <w:rPr>
          <w:rFonts w:hint="eastAsia"/>
        </w:rPr>
        <w:t>方、隧道弃渣等强度较高的石料，并宜</w:t>
      </w:r>
      <w:r>
        <w:t>符合以下规定。</w:t>
      </w:r>
    </w:p>
    <w:p w14:paraId="3925E35B">
      <w:pPr>
        <w:pStyle w:val="175"/>
        <w:numPr>
          <w:ilvl w:val="0"/>
          <w:numId w:val="51"/>
        </w:numPr>
      </w:pPr>
      <w:r>
        <w:rPr>
          <w:rFonts w:hint="eastAsia"/>
        </w:rPr>
        <w:t>挡土墙、护肩、护脚等大型圬工，宜优先采用片石混凝土。</w:t>
      </w:r>
    </w:p>
    <w:p w14:paraId="7D8FFCBC">
      <w:pPr>
        <w:pStyle w:val="175"/>
      </w:pPr>
      <w:r>
        <w:rPr>
          <w:rFonts w:hint="eastAsia"/>
        </w:rPr>
        <w:t>临时工程应积极稳妥使用石笼式挡土墙。</w:t>
      </w:r>
    </w:p>
    <w:p w14:paraId="17DFC0F8">
      <w:pPr>
        <w:pStyle w:val="180"/>
      </w:pPr>
      <w:r>
        <w:t>鉴于高原山区弃土量大，同时支挡防护工程的圬工规模较大，从减少弃方、加强挖出材料利用等因素考虑，在确保工程结构安全和建设质量的前提下，作出上述规定。</w:t>
      </w:r>
    </w:p>
    <w:p w14:paraId="7DFAA98E">
      <w:pPr>
        <w:pStyle w:val="106"/>
        <w:spacing w:before="156" w:after="156"/>
      </w:pPr>
      <w:bookmarkStart w:id="227" w:name="_Toc15683"/>
      <w:r>
        <w:rPr>
          <w:rStyle w:val="231"/>
          <w:color w:val="000000"/>
          <w:sz w:val="21"/>
          <w:szCs w:val="44"/>
        </w:rPr>
        <w:t>路面</w:t>
      </w:r>
      <w:bookmarkEnd w:id="227"/>
    </w:p>
    <w:p w14:paraId="1447A706">
      <w:pPr>
        <w:pStyle w:val="166"/>
      </w:pPr>
      <w:r>
        <w:t>应</w:t>
      </w:r>
      <w:r>
        <w:rPr>
          <w:rFonts w:hint="eastAsia"/>
        </w:rPr>
        <w:t>根据交通</w:t>
      </w:r>
      <w:r>
        <w:t>荷载等级和路基状况，结合材料和结构特性，进行路面结构组合设计</w:t>
      </w:r>
      <w:r>
        <w:rPr>
          <w:rFonts w:hint="eastAsia"/>
        </w:rPr>
        <w:t>。</w:t>
      </w:r>
    </w:p>
    <w:p w14:paraId="1BDF3D2A">
      <w:pPr>
        <w:pStyle w:val="166"/>
      </w:pPr>
      <w:r>
        <w:t>路面</w:t>
      </w:r>
      <w:r>
        <w:rPr>
          <w:rFonts w:hint="eastAsia"/>
        </w:rPr>
        <w:t>结构设计应符合下列规定。</w:t>
      </w:r>
    </w:p>
    <w:p w14:paraId="5E3A3FA2">
      <w:pPr>
        <w:pStyle w:val="175"/>
        <w:numPr>
          <w:ilvl w:val="0"/>
          <w:numId w:val="52"/>
        </w:numPr>
        <w:rPr>
          <w:b/>
          <w:bCs/>
        </w:rPr>
      </w:pPr>
      <w:r>
        <w:rPr>
          <w:rFonts w:hint="eastAsia"/>
        </w:rPr>
        <w:t>应在</w:t>
      </w:r>
      <w:r>
        <w:t>路面结构验算</w:t>
      </w:r>
      <w:r>
        <w:rPr>
          <w:rFonts w:hint="eastAsia"/>
        </w:rPr>
        <w:t>的基础上，</w:t>
      </w:r>
      <w:r>
        <w:t>结合工程经验和经济分析选定</w:t>
      </w:r>
      <w:r>
        <w:rPr>
          <w:rFonts w:hint="eastAsia"/>
        </w:rPr>
        <w:t>方案。</w:t>
      </w:r>
    </w:p>
    <w:p w14:paraId="7BA81FB6">
      <w:pPr>
        <w:pStyle w:val="175"/>
      </w:pPr>
      <w:r>
        <w:rPr>
          <w:rFonts w:hint="eastAsia"/>
        </w:rPr>
        <w:t>可采用一次设计分期实施，或</w:t>
      </w:r>
      <w:r>
        <w:rPr>
          <w:rFonts w:hint="eastAsia" w:ascii="Times New Roman"/>
        </w:rPr>
        <w:t>结合</w:t>
      </w:r>
      <w:r>
        <w:rPr>
          <w:rFonts w:hint="eastAsia"/>
        </w:rPr>
        <w:t>未来养护分期修建方案。桥梁集中路段，路面不应分期修建。</w:t>
      </w:r>
    </w:p>
    <w:p w14:paraId="7BD57E9A">
      <w:pPr>
        <w:pStyle w:val="180"/>
      </w:pPr>
      <w:r>
        <w:t>鉴于四川高原山区小交通量高速公路项目年平均日设计交通量较小、重车占比不大，因此强调通过计算确定路面厚度和结构强度。</w:t>
      </w:r>
    </w:p>
    <w:p w14:paraId="4866D2F4">
      <w:pPr>
        <w:pStyle w:val="166"/>
      </w:pPr>
      <w:r>
        <w:t>基层材料及厚度组合</w:t>
      </w:r>
      <w:r>
        <w:rPr>
          <w:rFonts w:hint="eastAsia"/>
        </w:rPr>
        <w:t>应</w:t>
      </w:r>
      <w:r>
        <w:t>根据实际建设</w:t>
      </w:r>
      <w:r>
        <w:rPr>
          <w:rFonts w:hint="eastAsia"/>
        </w:rPr>
        <w:t>条件</w:t>
      </w:r>
      <w:r>
        <w:t>，</w:t>
      </w:r>
      <w:r>
        <w:rPr>
          <w:rFonts w:hint="eastAsia"/>
        </w:rPr>
        <w:t>因地制宜，</w:t>
      </w:r>
      <w:r>
        <w:t>合理选用。</w:t>
      </w:r>
    </w:p>
    <w:p w14:paraId="2BB7C1F8">
      <w:pPr>
        <w:pStyle w:val="166"/>
      </w:pPr>
      <w:r>
        <w:rPr>
          <w:rFonts w:hint="eastAsia"/>
        </w:rPr>
        <w:t>沥青面层应具有优异的抗裂、抗滑性能，表面层应具有抗紫外老化能力。</w:t>
      </w:r>
    </w:p>
    <w:bookmarkEnd w:id="225"/>
    <w:bookmarkEnd w:id="226"/>
    <w:p w14:paraId="43990D14">
      <w:pPr>
        <w:pStyle w:val="105"/>
        <w:spacing w:before="312" w:after="312"/>
        <w:rPr>
          <w:rStyle w:val="247"/>
          <w:rFonts w:hint="eastAsia" w:ascii="宋体" w:hAnsi="宋体" w:eastAsia="宋体"/>
          <w:bCs w:val="0"/>
          <w:sz w:val="36"/>
          <w:szCs w:val="96"/>
        </w:rPr>
      </w:pPr>
      <w:bookmarkStart w:id="228" w:name="_Toc16477"/>
      <w:r>
        <w:rPr>
          <w:rFonts w:hint="eastAsia"/>
        </w:rPr>
        <w:t>桥涵</w:t>
      </w:r>
      <w:bookmarkEnd w:id="228"/>
    </w:p>
    <w:p w14:paraId="619784C4">
      <w:pPr>
        <w:pStyle w:val="106"/>
        <w:spacing w:before="156" w:after="156"/>
        <w:rPr>
          <w:rStyle w:val="231"/>
          <w:rFonts w:hint="eastAsia"/>
          <w:color w:val="000000"/>
          <w:sz w:val="21"/>
          <w:szCs w:val="44"/>
        </w:rPr>
      </w:pPr>
      <w:bookmarkStart w:id="229" w:name="_Toc8031"/>
      <w:bookmarkStart w:id="230" w:name="_Toc137384212"/>
      <w:bookmarkStart w:id="231" w:name="_Toc120208159"/>
      <w:r>
        <w:rPr>
          <w:rStyle w:val="231"/>
          <w:rFonts w:hint="eastAsia"/>
          <w:color w:val="000000"/>
          <w:sz w:val="21"/>
          <w:szCs w:val="44"/>
        </w:rPr>
        <w:t>桥梁</w:t>
      </w:r>
      <w:bookmarkEnd w:id="229"/>
    </w:p>
    <w:p w14:paraId="0CCD3E81">
      <w:pPr>
        <w:pStyle w:val="166"/>
      </w:pPr>
      <w:r>
        <w:rPr>
          <w:rFonts w:hint="eastAsia"/>
        </w:rPr>
        <w:t>四川高原山区小交通量高速公路桥梁，无滑坡、泥石流、崩塌体等地质灾害威胁时，可选择整幅桥梁建设；存在潜在地质灾害威胁时，应采用分幅桥梁建设。</w:t>
      </w:r>
    </w:p>
    <w:p w14:paraId="38E39289">
      <w:pPr>
        <w:pStyle w:val="166"/>
      </w:pPr>
      <w:r>
        <w:t>宜根据桥墩高度，采用辅以变刚度支座的少（无）伸缩缝长联布置体系桥梁</w:t>
      </w:r>
      <w:r>
        <w:rPr>
          <w:rFonts w:hint="eastAsia"/>
        </w:rPr>
        <w:t>。</w:t>
      </w:r>
    </w:p>
    <w:p w14:paraId="0D796A0A">
      <w:pPr>
        <w:pStyle w:val="180"/>
      </w:pPr>
      <w:r>
        <w:t>高原山区桥墩高且墩高差异大，为提高结构动力性能，根据桥墩高度，辅以变刚度支座，通过计算优选出支座刚度与桥梁联长，以提高行车舒适性，减小地震响应，减少维护工作量。</w:t>
      </w:r>
    </w:p>
    <w:p w14:paraId="05E5B410">
      <w:pPr>
        <w:pStyle w:val="166"/>
      </w:pPr>
      <w:r>
        <w:rPr>
          <w:rFonts w:hint="eastAsia"/>
        </w:rPr>
        <w:t>高原山区小交通量高速公路桥梁设计应符合以下规定。</w:t>
      </w:r>
    </w:p>
    <w:p w14:paraId="583986A7">
      <w:pPr>
        <w:pStyle w:val="175"/>
        <w:numPr>
          <w:ilvl w:val="0"/>
          <w:numId w:val="53"/>
        </w:numPr>
        <w:rPr>
          <w:rFonts w:hint="eastAsia" w:hAnsi="宋体"/>
        </w:rPr>
      </w:pPr>
      <w:r>
        <w:rPr>
          <w:rFonts w:hint="eastAsia"/>
        </w:rPr>
        <w:t>针对高原山区运输与施工条件差，冻融地区全年可施工周期短的情况，</w:t>
      </w:r>
      <w:r>
        <w:rPr>
          <w:rFonts w:hint="eastAsia" w:hAnsi="宋体"/>
        </w:rPr>
        <w:t>宜采用可快速运输、快速施工的新结构、</w:t>
      </w:r>
      <w:r>
        <w:rPr>
          <w:rFonts w:hint="eastAsia"/>
        </w:rPr>
        <w:t>新材料</w:t>
      </w:r>
      <w:r>
        <w:rPr>
          <w:rFonts w:hint="eastAsia" w:hAnsi="宋体"/>
        </w:rPr>
        <w:t>。</w:t>
      </w:r>
    </w:p>
    <w:p w14:paraId="31EFA164">
      <w:pPr>
        <w:pStyle w:val="175"/>
        <w:rPr>
          <w:rFonts w:hint="eastAsia" w:hAnsi="宋体"/>
        </w:rPr>
      </w:pPr>
      <w:r>
        <w:rPr>
          <w:rFonts w:hint="eastAsia" w:hAnsi="宋体"/>
        </w:rPr>
        <w:t>应优先</w:t>
      </w:r>
      <w:r>
        <w:rPr>
          <w:rFonts w:hint="eastAsia" w:ascii="Times New Roman"/>
        </w:rPr>
        <w:t>考虑</w:t>
      </w:r>
      <w:r>
        <w:rPr>
          <w:rFonts w:hint="eastAsia"/>
        </w:rPr>
        <w:t>结构</w:t>
      </w:r>
      <w:r>
        <w:rPr>
          <w:rFonts w:hint="eastAsia" w:hAnsi="宋体"/>
        </w:rPr>
        <w:t>安全韧性、抗震性能、施工便捷。</w:t>
      </w:r>
    </w:p>
    <w:p w14:paraId="510F424F">
      <w:pPr>
        <w:pStyle w:val="175"/>
        <w:rPr>
          <w:rFonts w:hint="eastAsia" w:hAnsi="宋体"/>
        </w:rPr>
      </w:pPr>
      <w:r>
        <w:rPr>
          <w:rFonts w:hint="eastAsia" w:hAnsi="宋体"/>
        </w:rPr>
        <w:t>宜推广</w:t>
      </w:r>
      <w:r>
        <w:rPr>
          <w:rFonts w:hint="eastAsia" w:ascii="Times New Roman"/>
        </w:rPr>
        <w:t>采用</w:t>
      </w:r>
      <w:r>
        <w:rPr>
          <w:rFonts w:hint="eastAsia" w:hAnsi="宋体"/>
        </w:rPr>
        <w:t>钢-混组合结构桥梁、组合结构桥墩及组合结构盖梁。如：</w:t>
      </w:r>
      <w:r>
        <w:rPr>
          <w:rFonts w:hint="eastAsia" w:ascii="仿宋_GB2312" w:hAnsi="仿宋_GB2312"/>
          <w:szCs w:val="32"/>
        </w:rPr>
        <w:t>钢管混凝土墩柱、预应力钢箱混凝土盖梁、密梁式型钢组合梁等结构形式。</w:t>
      </w:r>
    </w:p>
    <w:p w14:paraId="516FA764">
      <w:pPr>
        <w:pStyle w:val="180"/>
      </w:pPr>
      <w:r>
        <w:t>钢-混组合结构跨越能力大，抗灾韧性强，施工便捷、易于养护，混凝土用量低、环境友好，符合国家“双碳”、交通运输部“推进公路钢结构桥梁建设”战略要求，且相比钢结构经济性强，适宜在高原山区推广使用。</w:t>
      </w:r>
    </w:p>
    <w:bookmarkEnd w:id="230"/>
    <w:bookmarkEnd w:id="231"/>
    <w:p w14:paraId="4375873D">
      <w:pPr>
        <w:pStyle w:val="175"/>
        <w:rPr>
          <w:rFonts w:hint="eastAsia" w:hAnsi="宋体"/>
        </w:rPr>
      </w:pPr>
      <w:r>
        <w:t>桥涵方案应考虑养护需要，按照可到达、可检查、可维修和可更换的要求</w:t>
      </w:r>
      <w:r>
        <w:rPr>
          <w:rFonts w:hint="eastAsia"/>
        </w:rPr>
        <w:t>，</w:t>
      </w:r>
      <w:r>
        <w:t>设置维修养护通道和设施。</w:t>
      </w:r>
    </w:p>
    <w:p w14:paraId="0ED1F5D2">
      <w:pPr>
        <w:pStyle w:val="175"/>
        <w:rPr>
          <w:rFonts w:hint="eastAsia" w:hAnsi="宋体"/>
        </w:rPr>
      </w:pPr>
      <w:r>
        <w:rPr>
          <w:rFonts w:hint="eastAsia" w:hAnsi="宋体"/>
        </w:rPr>
        <w:t>当采用T梁、小箱梁等结构形式时，宜通过精细化设计，适当减少梁片数，减小现场施工作业量，提高施工工效。</w:t>
      </w:r>
    </w:p>
    <w:p w14:paraId="27D037C8">
      <w:pPr>
        <w:pStyle w:val="175"/>
        <w:rPr>
          <w:rFonts w:hint="eastAsia" w:hAnsi="宋体"/>
        </w:rPr>
      </w:pPr>
      <w:r>
        <w:rPr>
          <w:rFonts w:hint="eastAsia" w:hAnsi="宋体"/>
        </w:rPr>
        <w:t>宜通过精细化设计，适当减少桥墩数量。对于整幅桥梁，断面墩柱数量不宜超过三柱。对于分幅桥梁，断面</w:t>
      </w:r>
      <w:r>
        <w:rPr>
          <w:rFonts w:hint="eastAsia"/>
        </w:rPr>
        <w:t>墩柱</w:t>
      </w:r>
      <w:r>
        <w:rPr>
          <w:rFonts w:hint="eastAsia" w:hAnsi="宋体"/>
        </w:rPr>
        <w:t>数量不宜超过两柱。</w:t>
      </w:r>
    </w:p>
    <w:p w14:paraId="79F8B9DC">
      <w:pPr>
        <w:pStyle w:val="175"/>
        <w:rPr>
          <w:rFonts w:hint="eastAsia" w:hAnsi="宋体"/>
        </w:rPr>
      </w:pPr>
      <w:r>
        <w:rPr>
          <w:rFonts w:hint="eastAsia" w:hAnsi="宋体"/>
        </w:rPr>
        <w:t>在墩、台有较大</w:t>
      </w:r>
      <w:r>
        <w:rPr>
          <w:rFonts w:hint="eastAsia"/>
        </w:rPr>
        <w:t>开挖</w:t>
      </w:r>
      <w:r>
        <w:rPr>
          <w:rFonts w:hint="eastAsia" w:hAnsi="宋体"/>
        </w:rPr>
        <w:t>的情况下，不宜采用群桩加承台大开挖方案。</w:t>
      </w:r>
    </w:p>
    <w:p w14:paraId="55FF34B1">
      <w:pPr>
        <w:pStyle w:val="166"/>
      </w:pPr>
      <w:r>
        <w:rPr>
          <w:rFonts w:hint="eastAsia"/>
        </w:rPr>
        <w:t>高原山区运输条件困难、施工场地受限，桥梁布设应重点考虑方案的可实施性和安全性，并符合下列规定。</w:t>
      </w:r>
    </w:p>
    <w:p w14:paraId="3A95493C">
      <w:pPr>
        <w:pStyle w:val="175"/>
        <w:numPr>
          <w:ilvl w:val="0"/>
          <w:numId w:val="54"/>
        </w:numPr>
      </w:pPr>
      <w:r>
        <w:rPr>
          <w:rFonts w:hint="eastAsia"/>
        </w:rPr>
        <w:t>设计中应包含指导性施工组织设计，重点考虑关键施工工序和大型临时设施。</w:t>
      </w:r>
    </w:p>
    <w:p w14:paraId="0C2761F6">
      <w:pPr>
        <w:pStyle w:val="175"/>
      </w:pPr>
      <w:r>
        <w:rPr>
          <w:rFonts w:hint="eastAsia"/>
        </w:rPr>
        <w:t>高原山区峡谷路段，宜利用已建成构造物制梁、运梁，并采用顶推、整跨架设等提高工效、环境友好的施工方式。</w:t>
      </w:r>
    </w:p>
    <w:p w14:paraId="5DE5C1B4">
      <w:pPr>
        <w:pStyle w:val="175"/>
      </w:pPr>
      <w:r>
        <w:rPr>
          <w:rFonts w:hint="eastAsia"/>
        </w:rPr>
        <w:t>桥梁结构与构造应与施工方案相匹配。</w:t>
      </w:r>
    </w:p>
    <w:p w14:paraId="5244FE17">
      <w:pPr>
        <w:pStyle w:val="166"/>
      </w:pPr>
      <w:r>
        <w:rPr>
          <w:rFonts w:hint="eastAsia"/>
        </w:rPr>
        <w:t>强震区、高原山区桥梁应加强韧性设计，并应符合以下规定。</w:t>
      </w:r>
    </w:p>
    <w:p w14:paraId="3BD4A12E">
      <w:pPr>
        <w:pStyle w:val="175"/>
        <w:numPr>
          <w:ilvl w:val="0"/>
          <w:numId w:val="55"/>
        </w:numPr>
      </w:pPr>
      <w:r>
        <w:rPr>
          <w:rFonts w:hint="eastAsia"/>
        </w:rPr>
        <w:t>应确保结构具有可维护性和快速修复能力。</w:t>
      </w:r>
    </w:p>
    <w:p w14:paraId="67383FF8">
      <w:pPr>
        <w:pStyle w:val="175"/>
      </w:pPr>
      <w:r>
        <w:rPr>
          <w:rFonts w:hint="eastAsia"/>
        </w:rPr>
        <w:t>应从桥</w:t>
      </w:r>
      <w:r>
        <w:t>型结构、</w:t>
      </w:r>
      <w:r>
        <w:rPr>
          <w:rFonts w:hint="eastAsia"/>
        </w:rPr>
        <w:t>结构体系、</w:t>
      </w:r>
      <w:r>
        <w:t>抗震措施和构造</w:t>
      </w:r>
      <w:r>
        <w:rPr>
          <w:rFonts w:hint="eastAsia"/>
        </w:rPr>
        <w:t>细节与</w:t>
      </w:r>
      <w:r>
        <w:t>要求等方面加强抗震设计。</w:t>
      </w:r>
    </w:p>
    <w:p w14:paraId="73FAFA43">
      <w:pPr>
        <w:pStyle w:val="166"/>
      </w:pPr>
      <w:r>
        <w:rPr>
          <w:rFonts w:hint="eastAsia"/>
        </w:rPr>
        <w:t>纵坡大于3</w:t>
      </w:r>
      <w:r>
        <w:t>%</w:t>
      </w:r>
      <w:r>
        <w:rPr>
          <w:rFonts w:hint="eastAsia"/>
        </w:rPr>
        <w:t>的桥梁、特大桥、特殊结构桥梁，</w:t>
      </w:r>
      <w:r>
        <w:t>应</w:t>
      </w:r>
      <w:r>
        <w:rPr>
          <w:rFonts w:hint="eastAsia"/>
        </w:rPr>
        <w:t>根据大纵坡影响，针对性的进行结构体系的设计，同时</w:t>
      </w:r>
      <w:r>
        <w:t>采取墩梁固结或限位</w:t>
      </w:r>
      <w:r>
        <w:rPr>
          <w:rFonts w:hint="eastAsia"/>
        </w:rPr>
        <w:t>构造等工程</w:t>
      </w:r>
      <w:r>
        <w:t>措施</w:t>
      </w:r>
      <w:r>
        <w:rPr>
          <w:rFonts w:hint="eastAsia"/>
        </w:rPr>
        <w:t>，防止</w:t>
      </w:r>
      <w:r>
        <w:t>上部梁体产生不可恢复的移位。</w:t>
      </w:r>
    </w:p>
    <w:p w14:paraId="7E5FCF20">
      <w:pPr>
        <w:pStyle w:val="166"/>
      </w:pPr>
      <w:r>
        <w:rPr>
          <w:rFonts w:hint="eastAsia"/>
        </w:rPr>
        <w:t>高原山区桥梁耐久性设计应符合下列规定。</w:t>
      </w:r>
    </w:p>
    <w:p w14:paraId="3C9A0951">
      <w:pPr>
        <w:pStyle w:val="175"/>
        <w:numPr>
          <w:ilvl w:val="0"/>
          <w:numId w:val="56"/>
        </w:numPr>
      </w:pPr>
      <w:r>
        <w:rPr>
          <w:rFonts w:hint="eastAsia"/>
        </w:rPr>
        <w:t>混凝土净保护层最小厚度应满足结构耐久性要求。</w:t>
      </w:r>
    </w:p>
    <w:p w14:paraId="7C644AA7">
      <w:pPr>
        <w:pStyle w:val="175"/>
      </w:pPr>
      <w:r>
        <w:rPr>
          <w:rFonts w:hint="eastAsia"/>
        </w:rPr>
        <w:t>应根据海拔、气候等建设条件有针对性地开展混凝土配合比试验，提高混凝土工作性能与耐久性能。</w:t>
      </w:r>
    </w:p>
    <w:p w14:paraId="2E90EDE4">
      <w:pPr>
        <w:pStyle w:val="175"/>
      </w:pPr>
      <w:r>
        <w:rPr>
          <w:rFonts w:hint="eastAsia"/>
        </w:rPr>
        <w:t>冻融地区宜采用</w:t>
      </w:r>
      <w:r>
        <w:t>混凝土初期养护温控技术</w:t>
      </w:r>
      <w:r>
        <w:rPr>
          <w:rFonts w:hint="eastAsia"/>
        </w:rPr>
        <w:t>提高</w:t>
      </w:r>
      <w:r>
        <w:t>混凝土耐久性能</w:t>
      </w:r>
      <w:r>
        <w:rPr>
          <w:rFonts w:hint="eastAsia"/>
        </w:rPr>
        <w:t>。</w:t>
      </w:r>
    </w:p>
    <w:p w14:paraId="09031C2C">
      <w:pPr>
        <w:pStyle w:val="106"/>
        <w:spacing w:before="156" w:after="156"/>
        <w:rPr>
          <w:rStyle w:val="231"/>
          <w:rFonts w:hint="eastAsia"/>
          <w:color w:val="000000"/>
          <w:sz w:val="21"/>
          <w:szCs w:val="44"/>
        </w:rPr>
      </w:pPr>
      <w:bookmarkStart w:id="232" w:name="_Toc3093"/>
      <w:r>
        <w:rPr>
          <w:rStyle w:val="231"/>
          <w:rFonts w:hint="eastAsia"/>
          <w:color w:val="000000"/>
          <w:sz w:val="21"/>
          <w:szCs w:val="44"/>
        </w:rPr>
        <w:t>涵洞</w:t>
      </w:r>
      <w:bookmarkEnd w:id="232"/>
    </w:p>
    <w:p w14:paraId="575C7D61">
      <w:pPr>
        <w:pStyle w:val="166"/>
      </w:pPr>
      <w:r>
        <w:rPr>
          <w:rFonts w:hint="eastAsia"/>
        </w:rPr>
        <w:t>应充分考虑高原山区瞬时</w:t>
      </w:r>
      <w:r>
        <w:t>降雨强度大</w:t>
      </w:r>
      <w:r>
        <w:rPr>
          <w:rFonts w:hint="eastAsia"/>
        </w:rPr>
        <w:t>、冲刷严重、清淤养护难度大的特点，并结合建设条件合理选定涵洞类型及孔径。</w:t>
      </w:r>
      <w:r>
        <w:t xml:space="preserve"> </w:t>
      </w:r>
    </w:p>
    <w:p w14:paraId="1242D153">
      <w:pPr>
        <w:pStyle w:val="166"/>
      </w:pPr>
      <w:r>
        <w:t>为贯彻环保理念，山区路段涵洞应适当加大涵底纵坡，减小淤积及冲刷</w:t>
      </w:r>
      <w:r>
        <w:rPr>
          <w:rFonts w:hint="eastAsia"/>
        </w:rPr>
        <w:t>。</w:t>
      </w:r>
    </w:p>
    <w:p w14:paraId="286523E3">
      <w:pPr>
        <w:pStyle w:val="105"/>
        <w:spacing w:before="312" w:after="312"/>
        <w:rPr>
          <w:rStyle w:val="231"/>
          <w:rFonts w:hint="eastAsia" w:ascii="宋体" w:hAnsi="宋体" w:eastAsia="宋体"/>
          <w:bCs w:val="0"/>
          <w:sz w:val="36"/>
          <w:szCs w:val="96"/>
        </w:rPr>
      </w:pPr>
      <w:bookmarkStart w:id="233" w:name="_Toc8364"/>
      <w:r>
        <w:rPr>
          <w:rFonts w:hint="eastAsia"/>
        </w:rPr>
        <w:t>隧道</w:t>
      </w:r>
      <w:bookmarkEnd w:id="233"/>
    </w:p>
    <w:p w14:paraId="4B1E80EC">
      <w:pPr>
        <w:pStyle w:val="106"/>
        <w:spacing w:before="156" w:after="156"/>
        <w:rPr>
          <w:rStyle w:val="231"/>
          <w:rFonts w:hint="eastAsia"/>
          <w:color w:val="000000"/>
          <w:sz w:val="21"/>
          <w:szCs w:val="44"/>
        </w:rPr>
      </w:pPr>
      <w:bookmarkStart w:id="234" w:name="_Toc10991"/>
      <w:bookmarkStart w:id="235" w:name="_Toc139291833"/>
      <w:r>
        <w:rPr>
          <w:rStyle w:val="231"/>
          <w:rFonts w:hint="eastAsia"/>
          <w:color w:val="000000"/>
          <w:sz w:val="21"/>
          <w:szCs w:val="44"/>
        </w:rPr>
        <w:t>线形</w:t>
      </w:r>
      <w:bookmarkEnd w:id="234"/>
      <w:bookmarkEnd w:id="235"/>
    </w:p>
    <w:p w14:paraId="6C44C62F">
      <w:pPr>
        <w:pStyle w:val="166"/>
      </w:pPr>
      <w:r>
        <w:rPr>
          <w:rFonts w:hint="eastAsia"/>
        </w:rPr>
        <w:t>隧道线位</w:t>
      </w:r>
      <w:r>
        <w:t>应综合地形、地貌、地质与气象条件确定</w:t>
      </w:r>
      <w:r>
        <w:rPr>
          <w:rFonts w:hint="eastAsia"/>
        </w:rPr>
        <w:t>，</w:t>
      </w:r>
      <w:r>
        <w:t>寒区隧道</w:t>
      </w:r>
      <w:r>
        <w:rPr>
          <w:rFonts w:hint="eastAsia"/>
        </w:rPr>
        <w:t>洞口平面线位宜与冬季风主导</w:t>
      </w:r>
      <w:r>
        <w:t>风</w:t>
      </w:r>
      <w:r>
        <w:rPr>
          <w:rFonts w:hint="eastAsia"/>
        </w:rPr>
        <w:t>向垂直</w:t>
      </w:r>
      <w:r>
        <w:t>或</w:t>
      </w:r>
      <w:r>
        <w:rPr>
          <w:rFonts w:hint="eastAsia"/>
        </w:rPr>
        <w:t>大角度相交</w:t>
      </w:r>
      <w:r>
        <w:t>。</w:t>
      </w:r>
    </w:p>
    <w:p w14:paraId="2573DADC">
      <w:pPr>
        <w:pStyle w:val="180"/>
      </w:pPr>
      <w:r>
        <w:t>实践表明，洞口气温、风向、风速等因素对高原山区隧道温度场的影响程度较大，故隧道轴线选择要综合考虑地形、地貌、地质与气象等条件。</w:t>
      </w:r>
    </w:p>
    <w:p w14:paraId="689FDF0B">
      <w:pPr>
        <w:pStyle w:val="166"/>
      </w:pPr>
      <w:r>
        <w:rPr>
          <w:rFonts w:hint="eastAsia"/>
        </w:rPr>
        <w:t>隧道洞口内外</w:t>
      </w:r>
      <w:r>
        <w:t>侧</w:t>
      </w:r>
      <w:r>
        <w:rPr>
          <w:rFonts w:hint="eastAsia"/>
        </w:rPr>
        <w:t>各3s行程长度范围的平、纵线形宜一致</w:t>
      </w:r>
      <w:r>
        <w:t>。特殊困难地段，经技术经济比较论证后，洞口内外平曲线可采用缓和曲线</w:t>
      </w:r>
      <w:r>
        <w:rPr>
          <w:rFonts w:hint="eastAsia"/>
        </w:rPr>
        <w:t>，但应加强线形诱导设施设计</w:t>
      </w:r>
      <w:r>
        <w:t>。</w:t>
      </w:r>
    </w:p>
    <w:p w14:paraId="583CA0E1">
      <w:pPr>
        <w:pStyle w:val="166"/>
      </w:pPr>
      <w:r>
        <w:rPr>
          <w:rFonts w:hint="eastAsia"/>
        </w:rPr>
        <w:t>隧道洞口段平面线形宜采用直线；设曲线时，不宜采用设加宽的圆曲线；隧道</w:t>
      </w:r>
      <w:r>
        <w:t>洞口段</w:t>
      </w:r>
      <w:r>
        <w:rPr>
          <w:rFonts w:hint="eastAsia"/>
        </w:rPr>
        <w:t>平面线形需采用设超高的圆曲线时，其超高值不宜大于4%，并采取防滑或防结冰措施。</w:t>
      </w:r>
    </w:p>
    <w:p w14:paraId="28F4C98E">
      <w:pPr>
        <w:pStyle w:val="180"/>
      </w:pPr>
      <w:r>
        <w:t>高原山区隧道渗水、风力或汽车轮胎带入隧道的冰雪及其他滞水将使路面结冰，降低轮胎与路面的附着力，恶化隧道的安全营运条件。控制或减小隧道进出口路面横坡有利于提高车辆横向稳定性及减小侧滑的风险，此外有必要在隧道进出口路面增设防滑或防结冰措施。</w:t>
      </w:r>
    </w:p>
    <w:p w14:paraId="51E5230D">
      <w:pPr>
        <w:pStyle w:val="166"/>
      </w:pPr>
      <w:r>
        <w:rPr>
          <w:rFonts w:hint="eastAsia"/>
        </w:rPr>
        <w:t>隧道洞口段最小纵坡不宜小于0.5%，最大纵坡不宜大于3%。受地形等条件限制时，经技术经济论证、交通安全评价后，中、短隧道纵坡可与洞外路线纵坡一致，长隧道纵坡不应大于4%。</w:t>
      </w:r>
    </w:p>
    <w:p w14:paraId="5E7E9B16">
      <w:pPr>
        <w:pStyle w:val="180"/>
      </w:pPr>
      <w:r>
        <w:t>适当加大隧道纵坡以提高洞口段水流速度，可减少结冰的可能性，所以提出适当加大洞口段纵坡的要求。高原洞外受风雪、结冰等气象因素影响大，而隧道内受气象影响较小，结合四川高原山区映卧路南华、紫荆特长隧道（二级公路隧道）纵坡大于3%的经验，目前已安全运营多年，故提出高速公路隧道纵坡可适当加大。</w:t>
      </w:r>
    </w:p>
    <w:p w14:paraId="34DCC699">
      <w:pPr>
        <w:pStyle w:val="106"/>
        <w:spacing w:before="156" w:after="156"/>
        <w:rPr>
          <w:rStyle w:val="231"/>
          <w:rFonts w:hint="eastAsia"/>
          <w:color w:val="000000"/>
          <w:sz w:val="21"/>
          <w:szCs w:val="44"/>
        </w:rPr>
      </w:pPr>
      <w:bookmarkStart w:id="236" w:name="_Toc27521"/>
      <w:bookmarkStart w:id="237" w:name="_Toc139291834"/>
      <w:r>
        <w:rPr>
          <w:rStyle w:val="231"/>
          <w:rFonts w:hint="eastAsia"/>
          <w:color w:val="000000"/>
          <w:sz w:val="21"/>
          <w:szCs w:val="44"/>
        </w:rPr>
        <w:t>横断面</w:t>
      </w:r>
      <w:bookmarkEnd w:id="236"/>
      <w:bookmarkEnd w:id="237"/>
    </w:p>
    <w:p w14:paraId="14BBAF21">
      <w:pPr>
        <w:pStyle w:val="166"/>
      </w:pPr>
      <w:r>
        <w:rPr>
          <w:rFonts w:hint="eastAsia"/>
        </w:rPr>
        <w:t>隧道保温设防段</w:t>
      </w:r>
      <w:r>
        <w:t>内轮廓断面净空应</w:t>
      </w:r>
      <w:r>
        <w:rPr>
          <w:rFonts w:hint="eastAsia"/>
        </w:rPr>
        <w:t>考虑</w:t>
      </w:r>
      <w:r>
        <w:t>保温层的设置</w:t>
      </w:r>
      <w:r>
        <w:rPr>
          <w:rFonts w:hint="eastAsia"/>
        </w:rPr>
        <w:t>，并预留</w:t>
      </w:r>
      <w:r>
        <w:t>后期维修加固空间。</w:t>
      </w:r>
    </w:p>
    <w:p w14:paraId="7F3A4CC4">
      <w:pPr>
        <w:pStyle w:val="180"/>
      </w:pPr>
      <w:r>
        <w:t>高原隧道保温通常采用内贴保温层方式，所以需要考虑保温层的厚度，同时考虑高原高寒区隧道结构受力和冻害的复杂性和不确定性，以及材料耐久性等，因此需要为运营期维修加固预留适当空间。</w:t>
      </w:r>
    </w:p>
    <w:p w14:paraId="7A9FFBDA">
      <w:pPr>
        <w:pStyle w:val="166"/>
      </w:pPr>
      <w:r>
        <w:rPr>
          <w:rFonts w:hint="eastAsia"/>
        </w:rPr>
        <w:t>隧道建筑限界净高应为5.0m。</w:t>
      </w:r>
    </w:p>
    <w:p w14:paraId="668DD5C0">
      <w:pPr>
        <w:pStyle w:val="166"/>
      </w:pPr>
      <w:r>
        <w:rPr>
          <w:rFonts w:hint="eastAsia"/>
        </w:rPr>
        <w:t>隧道断面应采用双洞四车道布设，单洞隧道建筑限界净宽不应小于表1</w:t>
      </w:r>
      <w:r>
        <w:t>6</w:t>
      </w:r>
      <w:r>
        <w:rPr>
          <w:rFonts w:hint="eastAsia"/>
        </w:rPr>
        <w:t>的规定。</w:t>
      </w:r>
    </w:p>
    <w:p w14:paraId="69D437F5">
      <w:pPr>
        <w:pStyle w:val="113"/>
        <w:spacing w:before="156" w:after="156"/>
      </w:pPr>
      <w:r>
        <w:rPr>
          <w:rFonts w:hint="eastAsia"/>
        </w:rPr>
        <w:t>隧道建筑限界净宽</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45286F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5672C19B">
            <w:pPr>
              <w:pStyle w:val="179"/>
            </w:pPr>
            <w:r>
              <w:t>交通量</w:t>
            </w:r>
            <w:r>
              <w:rPr>
                <w:rFonts w:hint="eastAsia"/>
              </w:rPr>
              <w:t>(pc</w:t>
            </w:r>
            <w:r>
              <w:t>u</w:t>
            </w:r>
            <w:r>
              <w:rPr>
                <w:rFonts w:hint="eastAsia"/>
              </w:rPr>
              <w:t>/d</w:t>
            </w:r>
            <w:r>
              <w:t>)</w:t>
            </w:r>
          </w:p>
        </w:tc>
        <w:tc>
          <w:tcPr>
            <w:tcW w:w="3734" w:type="dxa"/>
            <w:gridSpan w:val="2"/>
            <w:tcBorders>
              <w:top w:val="single" w:color="auto" w:sz="8" w:space="0"/>
              <w:bottom w:val="single" w:color="auto" w:sz="8" w:space="0"/>
            </w:tcBorders>
            <w:shd w:val="clear" w:color="auto" w:fill="auto"/>
            <w:vAlign w:val="center"/>
          </w:tcPr>
          <w:p w14:paraId="723286BA">
            <w:pPr>
              <w:pStyle w:val="238"/>
              <w:rPr>
                <w:rFonts w:hint="eastAsia"/>
              </w:rPr>
            </w:pPr>
            <w:r>
              <w:t>干线高速</w:t>
            </w:r>
          </w:p>
          <w:p w14:paraId="6ABF04D6">
            <w:pPr>
              <w:pStyle w:val="179"/>
            </w:pPr>
            <w:r>
              <w:rPr>
                <w:rFonts w:hint="eastAsia"/>
              </w:rPr>
              <w:t>支线</w:t>
            </w:r>
            <w:r>
              <w:t>高速：25000</w:t>
            </w:r>
            <w:r>
              <w:rPr>
                <w:rFonts w:hint="eastAsia"/>
              </w:rPr>
              <w:t>～</w:t>
            </w:r>
            <w:r>
              <w:t>30000</w:t>
            </w:r>
          </w:p>
        </w:tc>
        <w:tc>
          <w:tcPr>
            <w:tcW w:w="3734" w:type="dxa"/>
            <w:gridSpan w:val="2"/>
            <w:tcBorders>
              <w:top w:val="single" w:color="auto" w:sz="8" w:space="0"/>
              <w:bottom w:val="single" w:color="auto" w:sz="8" w:space="0"/>
            </w:tcBorders>
            <w:shd w:val="clear" w:color="auto" w:fill="auto"/>
            <w:vAlign w:val="center"/>
          </w:tcPr>
          <w:p w14:paraId="791C1397">
            <w:pPr>
              <w:pStyle w:val="179"/>
            </w:pPr>
            <w:r>
              <w:rPr>
                <w:rFonts w:hint="eastAsia"/>
              </w:rPr>
              <w:t>支线</w:t>
            </w:r>
            <w:r>
              <w:t>高速：</w:t>
            </w:r>
            <w:r>
              <w:rPr>
                <w:rFonts w:hint="eastAsia"/>
              </w:rPr>
              <w:t>≤</w:t>
            </w:r>
            <w:r>
              <w:t>25000</w:t>
            </w:r>
          </w:p>
        </w:tc>
      </w:tr>
      <w:tr w14:paraId="7771D2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tcBorders>
              <w:top w:val="single" w:color="auto" w:sz="8" w:space="0"/>
            </w:tcBorders>
            <w:shd w:val="clear" w:color="auto" w:fill="auto"/>
            <w:vAlign w:val="center"/>
          </w:tcPr>
          <w:p w14:paraId="3B5AE2D7">
            <w:pPr>
              <w:pStyle w:val="179"/>
            </w:pPr>
            <w:r>
              <w:rPr>
                <w:rFonts w:hint="eastAsia"/>
              </w:rPr>
              <w:t>设计速度</w:t>
            </w:r>
            <w:r>
              <w:t>（km/h）</w:t>
            </w:r>
          </w:p>
        </w:tc>
        <w:tc>
          <w:tcPr>
            <w:tcW w:w="1867" w:type="dxa"/>
            <w:tcBorders>
              <w:top w:val="single" w:color="auto" w:sz="8" w:space="0"/>
            </w:tcBorders>
            <w:shd w:val="clear" w:color="auto" w:fill="auto"/>
            <w:vAlign w:val="center"/>
          </w:tcPr>
          <w:p w14:paraId="28BD22BB">
            <w:pPr>
              <w:pStyle w:val="179"/>
            </w:pPr>
            <w:r>
              <w:t>≥100</w:t>
            </w:r>
          </w:p>
        </w:tc>
        <w:tc>
          <w:tcPr>
            <w:tcW w:w="1867" w:type="dxa"/>
            <w:tcBorders>
              <w:top w:val="single" w:color="auto" w:sz="8" w:space="0"/>
            </w:tcBorders>
            <w:shd w:val="clear" w:color="auto" w:fill="auto"/>
            <w:vAlign w:val="center"/>
          </w:tcPr>
          <w:p w14:paraId="7AEA247D">
            <w:pPr>
              <w:pStyle w:val="179"/>
            </w:pPr>
            <w:r>
              <w:t>80</w:t>
            </w:r>
          </w:p>
        </w:tc>
        <w:tc>
          <w:tcPr>
            <w:tcW w:w="1867" w:type="dxa"/>
            <w:tcBorders>
              <w:top w:val="single" w:color="auto" w:sz="8" w:space="0"/>
            </w:tcBorders>
            <w:shd w:val="clear" w:color="auto" w:fill="auto"/>
            <w:vAlign w:val="center"/>
          </w:tcPr>
          <w:p w14:paraId="0386D756">
            <w:pPr>
              <w:pStyle w:val="179"/>
            </w:pPr>
            <w:r>
              <w:t>≥100</w:t>
            </w:r>
          </w:p>
        </w:tc>
        <w:tc>
          <w:tcPr>
            <w:tcW w:w="1867" w:type="dxa"/>
            <w:tcBorders>
              <w:top w:val="single" w:color="auto" w:sz="8" w:space="0"/>
            </w:tcBorders>
            <w:shd w:val="clear" w:color="auto" w:fill="auto"/>
            <w:vAlign w:val="center"/>
          </w:tcPr>
          <w:p w14:paraId="66FF9E89">
            <w:pPr>
              <w:pStyle w:val="179"/>
            </w:pPr>
            <w:r>
              <w:t>80</w:t>
            </w:r>
          </w:p>
        </w:tc>
      </w:tr>
      <w:tr w14:paraId="7FB574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64AA0A55">
            <w:pPr>
              <w:pStyle w:val="179"/>
            </w:pPr>
            <w:r>
              <w:rPr>
                <w:rFonts w:hint="eastAsia"/>
              </w:rPr>
              <w:t>隧道净宽(m)</w:t>
            </w:r>
          </w:p>
        </w:tc>
        <w:tc>
          <w:tcPr>
            <w:tcW w:w="1867" w:type="dxa"/>
            <w:shd w:val="clear" w:color="auto" w:fill="auto"/>
            <w:vAlign w:val="center"/>
          </w:tcPr>
          <w:p w14:paraId="6A5B405C">
            <w:pPr>
              <w:pStyle w:val="179"/>
            </w:pPr>
            <w:r>
              <w:t>10.75</w:t>
            </w:r>
          </w:p>
        </w:tc>
        <w:tc>
          <w:tcPr>
            <w:tcW w:w="1867" w:type="dxa"/>
            <w:shd w:val="clear" w:color="auto" w:fill="auto"/>
            <w:vAlign w:val="center"/>
          </w:tcPr>
          <w:p w14:paraId="49C0EF53">
            <w:pPr>
              <w:pStyle w:val="179"/>
            </w:pPr>
            <w:r>
              <w:rPr>
                <w:rFonts w:hint="eastAsia"/>
              </w:rPr>
              <w:t>9.75</w:t>
            </w:r>
          </w:p>
        </w:tc>
        <w:tc>
          <w:tcPr>
            <w:tcW w:w="1867" w:type="dxa"/>
            <w:shd w:val="clear" w:color="auto" w:fill="auto"/>
            <w:vAlign w:val="center"/>
          </w:tcPr>
          <w:p w14:paraId="09AA1E32">
            <w:pPr>
              <w:pStyle w:val="179"/>
            </w:pPr>
            <w:r>
              <w:t>10.5</w:t>
            </w:r>
          </w:p>
        </w:tc>
        <w:tc>
          <w:tcPr>
            <w:tcW w:w="1867" w:type="dxa"/>
            <w:shd w:val="clear" w:color="auto" w:fill="auto"/>
            <w:vAlign w:val="center"/>
          </w:tcPr>
          <w:p w14:paraId="5E550BE0">
            <w:pPr>
              <w:pStyle w:val="179"/>
            </w:pPr>
            <w:r>
              <w:t>9.75</w:t>
            </w:r>
          </w:p>
        </w:tc>
      </w:tr>
    </w:tbl>
    <w:p w14:paraId="22522CFF">
      <w:pPr>
        <w:pStyle w:val="180"/>
      </w:pPr>
      <w:r>
        <w:t>表中</w:t>
      </w:r>
      <w:r>
        <w:rPr>
          <w:rFonts w:hint="eastAsia"/>
        </w:rPr>
        <w:t>隧道建筑限界断面图可参见本文件附录C。</w:t>
      </w:r>
    </w:p>
    <w:p w14:paraId="195CD913">
      <w:pPr>
        <w:pStyle w:val="166"/>
      </w:pPr>
      <w:r>
        <w:rPr>
          <w:rFonts w:hint="eastAsia"/>
        </w:rPr>
        <w:t>隧道洞口外应设置距洞口不小于3s行程长度，且不小于50m的横断面宽度过渡段，确保横断面过渡顺适。</w:t>
      </w:r>
    </w:p>
    <w:p w14:paraId="1A0066DA">
      <w:pPr>
        <w:pStyle w:val="166"/>
      </w:pPr>
      <w:r>
        <w:rPr>
          <w:rFonts w:hint="eastAsia"/>
        </w:rPr>
        <w:t>当相邻两座隧道洞口间距离小于表1</w:t>
      </w:r>
      <w:r>
        <w:t>7</w:t>
      </w:r>
      <w:r>
        <w:rPr>
          <w:rFonts w:hint="eastAsia"/>
        </w:rPr>
        <w:t>规定时，两洞口间路基或桥梁宽度宜与隧道宽度一致。</w:t>
      </w:r>
    </w:p>
    <w:p w14:paraId="1F69BE47">
      <w:pPr>
        <w:pStyle w:val="106"/>
        <w:numPr>
          <w:ilvl w:val="0"/>
          <w:numId w:val="0"/>
        </w:numPr>
        <w:spacing w:before="156" w:after="156"/>
      </w:pPr>
    </w:p>
    <w:p w14:paraId="6F218F9D">
      <w:pPr>
        <w:pStyle w:val="113"/>
        <w:spacing w:before="156" w:after="156"/>
      </w:pPr>
      <w:r>
        <w:rPr>
          <w:rFonts w:hint="eastAsia"/>
        </w:rPr>
        <w:t>相邻隧道洞口间纵向最大距离</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2333"/>
        <w:gridCol w:w="2333"/>
        <w:gridCol w:w="2334"/>
      </w:tblGrid>
      <w:tr w14:paraId="44B1E3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334" w:type="dxa"/>
            <w:tcBorders>
              <w:top w:val="single" w:color="auto" w:sz="8" w:space="0"/>
              <w:bottom w:val="single" w:color="auto" w:sz="8" w:space="0"/>
            </w:tcBorders>
            <w:shd w:val="clear" w:color="auto" w:fill="auto"/>
            <w:vAlign w:val="center"/>
          </w:tcPr>
          <w:p w14:paraId="10CACBF6">
            <w:pPr>
              <w:pStyle w:val="179"/>
            </w:pPr>
            <w:r>
              <w:rPr>
                <w:rFonts w:hint="eastAsia"/>
              </w:rPr>
              <w:t>设计速度（km/h）</w:t>
            </w:r>
          </w:p>
        </w:tc>
        <w:tc>
          <w:tcPr>
            <w:tcW w:w="2333" w:type="dxa"/>
            <w:tcBorders>
              <w:top w:val="single" w:color="auto" w:sz="8" w:space="0"/>
              <w:bottom w:val="single" w:color="auto" w:sz="8" w:space="0"/>
            </w:tcBorders>
            <w:shd w:val="clear" w:color="auto" w:fill="auto"/>
            <w:vAlign w:val="center"/>
          </w:tcPr>
          <w:p w14:paraId="4EFF4713">
            <w:pPr>
              <w:pStyle w:val="179"/>
            </w:pPr>
            <w:r>
              <w:rPr>
                <w:rFonts w:hint="eastAsia"/>
              </w:rPr>
              <w:t>120</w:t>
            </w:r>
          </w:p>
        </w:tc>
        <w:tc>
          <w:tcPr>
            <w:tcW w:w="2333" w:type="dxa"/>
            <w:tcBorders>
              <w:top w:val="single" w:color="auto" w:sz="8" w:space="0"/>
              <w:bottom w:val="single" w:color="auto" w:sz="8" w:space="0"/>
            </w:tcBorders>
            <w:shd w:val="clear" w:color="auto" w:fill="auto"/>
            <w:vAlign w:val="center"/>
          </w:tcPr>
          <w:p w14:paraId="32569246">
            <w:pPr>
              <w:pStyle w:val="179"/>
            </w:pPr>
            <w:r>
              <w:rPr>
                <w:rFonts w:hint="eastAsia"/>
              </w:rPr>
              <w:t>100</w:t>
            </w:r>
          </w:p>
        </w:tc>
        <w:tc>
          <w:tcPr>
            <w:tcW w:w="2334" w:type="dxa"/>
            <w:tcBorders>
              <w:top w:val="single" w:color="auto" w:sz="8" w:space="0"/>
              <w:bottom w:val="single" w:color="auto" w:sz="8" w:space="0"/>
            </w:tcBorders>
            <w:shd w:val="clear" w:color="auto" w:fill="auto"/>
            <w:vAlign w:val="center"/>
          </w:tcPr>
          <w:p w14:paraId="3E365043">
            <w:pPr>
              <w:pStyle w:val="179"/>
            </w:pPr>
            <w:r>
              <w:rPr>
                <w:rFonts w:hint="eastAsia"/>
              </w:rPr>
              <w:t>80</w:t>
            </w:r>
          </w:p>
        </w:tc>
      </w:tr>
      <w:tr w14:paraId="3DE39E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tcBorders>
              <w:top w:val="single" w:color="auto" w:sz="8" w:space="0"/>
            </w:tcBorders>
            <w:shd w:val="clear" w:color="auto" w:fill="auto"/>
            <w:vAlign w:val="center"/>
          </w:tcPr>
          <w:p w14:paraId="7761F7DE">
            <w:pPr>
              <w:pStyle w:val="179"/>
            </w:pPr>
            <w:r>
              <w:rPr>
                <w:rFonts w:hint="eastAsia"/>
              </w:rPr>
              <w:t>相邻隧道洞口间纵向距离（m）</w:t>
            </w:r>
          </w:p>
        </w:tc>
        <w:tc>
          <w:tcPr>
            <w:tcW w:w="2333" w:type="dxa"/>
            <w:tcBorders>
              <w:top w:val="single" w:color="auto" w:sz="8" w:space="0"/>
            </w:tcBorders>
            <w:shd w:val="clear" w:color="auto" w:fill="auto"/>
            <w:vAlign w:val="center"/>
          </w:tcPr>
          <w:p w14:paraId="046EEBEC">
            <w:pPr>
              <w:pStyle w:val="179"/>
              <w:rPr>
                <w:rFonts w:hint="eastAsia"/>
              </w:rPr>
            </w:pPr>
            <w:r>
              <w:rPr>
                <w:rFonts w:hint="eastAsia"/>
              </w:rPr>
              <w:t>250</w:t>
            </w:r>
          </w:p>
        </w:tc>
        <w:tc>
          <w:tcPr>
            <w:tcW w:w="2333" w:type="dxa"/>
            <w:tcBorders>
              <w:top w:val="single" w:color="auto" w:sz="8" w:space="0"/>
            </w:tcBorders>
            <w:shd w:val="clear" w:color="auto" w:fill="auto"/>
            <w:vAlign w:val="center"/>
          </w:tcPr>
          <w:p w14:paraId="2E5D8258">
            <w:pPr>
              <w:pStyle w:val="179"/>
            </w:pPr>
            <w:r>
              <w:rPr>
                <w:rFonts w:hint="eastAsia"/>
              </w:rPr>
              <w:t>200</w:t>
            </w:r>
          </w:p>
        </w:tc>
        <w:tc>
          <w:tcPr>
            <w:tcW w:w="2334" w:type="dxa"/>
            <w:tcBorders>
              <w:top w:val="single" w:color="auto" w:sz="8" w:space="0"/>
            </w:tcBorders>
            <w:shd w:val="clear" w:color="auto" w:fill="auto"/>
            <w:vAlign w:val="center"/>
          </w:tcPr>
          <w:p w14:paraId="545E39FE">
            <w:pPr>
              <w:pStyle w:val="179"/>
              <w:rPr>
                <w:rFonts w:hint="eastAsia"/>
              </w:rPr>
            </w:pPr>
            <w:r>
              <w:rPr>
                <w:rFonts w:hint="eastAsia"/>
              </w:rPr>
              <w:t>150</w:t>
            </w:r>
          </w:p>
        </w:tc>
      </w:tr>
    </w:tbl>
    <w:p w14:paraId="46E4BDF1">
      <w:pPr>
        <w:pStyle w:val="180"/>
      </w:pPr>
      <w:bookmarkStart w:id="238" w:name="_Toc9579"/>
      <w:r>
        <w:rPr>
          <w:rFonts w:hint="eastAsia"/>
        </w:rPr>
        <w:t>本表参照公路隧道设计细则JTG/T D70-2010表4.3.7隧道群洞口的最大纵向距离，在赛区隧道适当加大。</w:t>
      </w:r>
    </w:p>
    <w:p w14:paraId="5057917A">
      <w:pPr>
        <w:pStyle w:val="106"/>
        <w:spacing w:before="156" w:after="156"/>
        <w:rPr>
          <w:rStyle w:val="231"/>
          <w:rFonts w:hint="eastAsia"/>
          <w:bCs w:val="0"/>
          <w:color w:val="000000"/>
          <w:sz w:val="21"/>
          <w:szCs w:val="44"/>
        </w:rPr>
      </w:pPr>
      <w:r>
        <w:rPr>
          <w:rStyle w:val="231"/>
          <w:bCs w:val="0"/>
          <w:color w:val="000000"/>
          <w:sz w:val="21"/>
          <w:szCs w:val="44"/>
        </w:rPr>
        <w:t>结构及防排水</w:t>
      </w:r>
      <w:bookmarkEnd w:id="238"/>
    </w:p>
    <w:p w14:paraId="4A74E7BC">
      <w:pPr>
        <w:pStyle w:val="166"/>
      </w:pPr>
      <w:r>
        <w:rPr>
          <w:rFonts w:hint="eastAsia"/>
        </w:rPr>
        <w:t>隧道洞口应避开严重积雪或雪崩地段，当存在较大积雪或雪崩的可能时，宜接长明洞或设置</w:t>
      </w:r>
      <w:r>
        <w:t>防雪棚洞</w:t>
      </w:r>
      <w:r>
        <w:rPr>
          <w:rFonts w:hint="eastAsia"/>
        </w:rPr>
        <w:t>。</w:t>
      </w:r>
    </w:p>
    <w:p w14:paraId="01EAFF27">
      <w:pPr>
        <w:pStyle w:val="166"/>
      </w:pPr>
      <w:r>
        <w:rPr>
          <w:rFonts w:hint="eastAsia"/>
        </w:rPr>
        <w:t>隧道结构设计除满足常规技术要求外，在隧道洞口抗冻设防段还应考虑冻胀和融沉的影响，隧道主洞宜采用复合式衬砌或整体式衬砌，在地质条件较好的横通道可采用单层衬砌或锚喷支护型式。</w:t>
      </w:r>
    </w:p>
    <w:p w14:paraId="2F4B2534">
      <w:pPr>
        <w:pStyle w:val="166"/>
      </w:pPr>
      <w:r>
        <w:rPr>
          <w:rFonts w:hint="eastAsia"/>
        </w:rPr>
        <w:t>隧道应设置完善的防排水系统，在隧道洞口抗冻设防段应采取防冻</w:t>
      </w:r>
      <w:r>
        <w:t>保温措施</w:t>
      </w:r>
      <w:r>
        <w:rPr>
          <w:rFonts w:hint="eastAsia"/>
        </w:rPr>
        <w:t>。</w:t>
      </w:r>
      <w:r>
        <w:t>排水形式</w:t>
      </w:r>
      <w:r>
        <w:rPr>
          <w:rFonts w:hint="eastAsia"/>
        </w:rPr>
        <w:t>应根据抗冻设防等级选取防寒泄水洞、深埋中心水沟或保温水沟，且在洞口外设置保温出水口。</w:t>
      </w:r>
    </w:p>
    <w:p w14:paraId="70DF11E8">
      <w:pPr>
        <w:pStyle w:val="180"/>
      </w:pPr>
      <w:r>
        <w:t>隧道防排水和保温措施是为防止冬季水流冻结、地层冻胀引起隧道衬砌冻害及洞口挂冰。</w:t>
      </w:r>
    </w:p>
    <w:p w14:paraId="38BEF634">
      <w:pPr>
        <w:pStyle w:val="166"/>
        <w:rPr>
          <w:b/>
          <w:bCs/>
        </w:rPr>
      </w:pPr>
      <w:r>
        <w:rPr>
          <w:rFonts w:hint="eastAsia"/>
        </w:rPr>
        <w:t>隧道保温层设计应计算确定</w:t>
      </w:r>
      <w:r>
        <w:t>或</w:t>
      </w:r>
      <w:r>
        <w:rPr>
          <w:rFonts w:hint="eastAsia"/>
        </w:rPr>
        <w:t>根据抗冻设防段等级</w:t>
      </w:r>
      <w:r>
        <w:t>选取</w:t>
      </w:r>
      <w:r>
        <w:rPr>
          <w:rFonts w:hint="eastAsia"/>
        </w:rPr>
        <w:t>，其设置方式宜采用衬砌表面铺设法。</w:t>
      </w:r>
    </w:p>
    <w:p w14:paraId="10F80BB9">
      <w:pPr>
        <w:pStyle w:val="180"/>
      </w:pPr>
      <w:r>
        <w:t>隧道防冻保温层的设置方式主要有衬砌表面喷涂、衬砌表面铺设、中间铺设等3种。现有高原山区公路隧道绝大多数采用衬砌表面铺设方式。</w:t>
      </w:r>
    </w:p>
    <w:p w14:paraId="16E68217">
      <w:pPr>
        <w:pStyle w:val="106"/>
        <w:spacing w:before="156" w:after="156"/>
        <w:rPr>
          <w:rStyle w:val="231"/>
          <w:rFonts w:hint="eastAsia"/>
          <w:color w:val="000000"/>
          <w:sz w:val="21"/>
          <w:szCs w:val="44"/>
        </w:rPr>
      </w:pPr>
      <w:bookmarkStart w:id="239" w:name="_Toc30653"/>
      <w:r>
        <w:rPr>
          <w:rStyle w:val="231"/>
          <w:rFonts w:hint="eastAsia" w:hAnsi="Times New Roman"/>
          <w:bCs w:val="0"/>
          <w:kern w:val="0"/>
          <w:sz w:val="21"/>
          <w:szCs w:val="20"/>
        </w:rPr>
        <w:t>机电设施</w:t>
      </w:r>
      <w:bookmarkEnd w:id="239"/>
    </w:p>
    <w:p w14:paraId="24196394">
      <w:pPr>
        <w:pStyle w:val="166"/>
      </w:pPr>
      <w:r>
        <w:rPr>
          <w:rFonts w:hint="eastAsia"/>
        </w:rPr>
        <w:t>隧道机电设施主要包括通风、照明、消防、监控及供配电设施。</w:t>
      </w:r>
    </w:p>
    <w:p w14:paraId="7D0DF995">
      <w:pPr>
        <w:pStyle w:val="166"/>
      </w:pPr>
      <w:r>
        <w:rPr>
          <w:rFonts w:hint="eastAsia"/>
        </w:rPr>
        <w:t>隧道通风设计应充分考虑区域气象、交通量及其组成、发展趋势等因素，并应符合以下规定。</w:t>
      </w:r>
    </w:p>
    <w:p w14:paraId="1C2CBAA6">
      <w:pPr>
        <w:pStyle w:val="175"/>
        <w:numPr>
          <w:ilvl w:val="0"/>
          <w:numId w:val="57"/>
        </w:numPr>
      </w:pPr>
      <w:r>
        <w:rPr>
          <w:rFonts w:hint="eastAsia"/>
        </w:rPr>
        <w:t>通风设计计算中，C</w:t>
      </w:r>
      <w:r>
        <w:t>O/VI</w:t>
      </w:r>
      <w:r>
        <w:rPr>
          <w:rFonts w:hint="eastAsia"/>
        </w:rPr>
        <w:t>基准排放量应在2</w:t>
      </w:r>
      <w:r>
        <w:t>000</w:t>
      </w:r>
      <w:r>
        <w:rPr>
          <w:rFonts w:hint="eastAsia"/>
        </w:rPr>
        <w:t>年排放标准基础上，按通风设计年限，以</w:t>
      </w:r>
      <w:r>
        <w:t>2%/年</w:t>
      </w:r>
      <w:r>
        <w:rPr>
          <w:rFonts w:hint="eastAsia"/>
        </w:rPr>
        <w:t>作持续折减；并应充分考虑电动车、LNG载重车等新能源车辆占比逐年递增的发展趋势。</w:t>
      </w:r>
    </w:p>
    <w:p w14:paraId="7B012CF8">
      <w:pPr>
        <w:pStyle w:val="175"/>
      </w:pPr>
      <w:r>
        <w:t>通风设施配置应满足火灾工况下疏散救援和灭火排烟所需通风要求。</w:t>
      </w:r>
    </w:p>
    <w:p w14:paraId="77272EE9">
      <w:pPr>
        <w:pStyle w:val="175"/>
      </w:pPr>
      <w:r>
        <w:rPr>
          <w:rFonts w:hint="eastAsia"/>
        </w:rPr>
        <w:t>需风量计算时，可不考虑换气频度指标（≥3次/h，风速≥1</w:t>
      </w:r>
      <w:r>
        <w:t>.5</w:t>
      </w:r>
      <w:r>
        <w:rPr>
          <w:rFonts w:hint="eastAsia"/>
        </w:rPr>
        <w:t>m</w:t>
      </w:r>
      <w:r>
        <w:t>/</w:t>
      </w:r>
      <w:r>
        <w:rPr>
          <w:rFonts w:hint="eastAsia"/>
        </w:rPr>
        <w:t>s）。</w:t>
      </w:r>
    </w:p>
    <w:p w14:paraId="353F948F">
      <w:pPr>
        <w:pStyle w:val="180"/>
      </w:pPr>
      <w:r>
        <w:t>公路隧道通风设计细则JTG/T D70/2-02-2014第5.4规定，“1.隧道空间最小换气频率不应低于每小时3次；2.采用纵向通风的隧道，隧道换气风速不应低于1.5m/s”。该规定属于舒适性指标，不涉及营运安全。本标准适用于小交通量高速公路，且考虑到车辆排污量日益减小，故规定隧道通风计算不受该条款约束。</w:t>
      </w:r>
    </w:p>
    <w:p w14:paraId="63330BC9">
      <w:pPr>
        <w:pStyle w:val="166"/>
      </w:pPr>
      <w:r>
        <w:rPr>
          <w:rFonts w:hint="eastAsia"/>
        </w:rPr>
        <w:t>采用全纵向或分段纵向式通风的隧道，C</w:t>
      </w:r>
      <w:r>
        <w:t>O</w:t>
      </w:r>
      <w:r>
        <w:rPr>
          <w:rFonts w:hint="eastAsia"/>
        </w:rPr>
        <w:t>设计浓度宜符合表1</w:t>
      </w:r>
      <w:r>
        <w:t>8</w:t>
      </w:r>
      <w:r>
        <w:rPr>
          <w:rFonts w:hint="eastAsia"/>
        </w:rPr>
        <w:t>的规定。</w:t>
      </w:r>
    </w:p>
    <w:p w14:paraId="76F5977A">
      <w:pPr>
        <w:pStyle w:val="113"/>
        <w:spacing w:before="156" w:after="156"/>
      </w:pPr>
      <w:r>
        <w:rPr>
          <w:rFonts w:hint="eastAsia"/>
        </w:rPr>
        <w:t>CO设计浓度标准</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4"/>
        <w:gridCol w:w="1767"/>
        <w:gridCol w:w="1701"/>
        <w:gridCol w:w="3532"/>
      </w:tblGrid>
      <w:tr w14:paraId="765D04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334" w:type="dxa"/>
            <w:tcBorders>
              <w:top w:val="single" w:color="auto" w:sz="8" w:space="0"/>
              <w:bottom w:val="single" w:color="auto" w:sz="8" w:space="0"/>
            </w:tcBorders>
            <w:shd w:val="clear" w:color="auto" w:fill="auto"/>
            <w:vAlign w:val="center"/>
          </w:tcPr>
          <w:p w14:paraId="40F46162">
            <w:pPr>
              <w:pStyle w:val="179"/>
            </w:pPr>
            <w:r>
              <w:rPr>
                <w:rFonts w:hint="eastAsia"/>
              </w:rPr>
              <w:t>隧道长度（m）</w:t>
            </w:r>
          </w:p>
        </w:tc>
        <w:tc>
          <w:tcPr>
            <w:tcW w:w="1767" w:type="dxa"/>
            <w:tcBorders>
              <w:top w:val="single" w:color="auto" w:sz="8" w:space="0"/>
              <w:bottom w:val="single" w:color="auto" w:sz="8" w:space="0"/>
            </w:tcBorders>
            <w:shd w:val="clear" w:color="auto" w:fill="auto"/>
            <w:vAlign w:val="center"/>
          </w:tcPr>
          <w:p w14:paraId="7A48C696">
            <w:pPr>
              <w:pStyle w:val="179"/>
            </w:pPr>
            <w:r>
              <w:rPr>
                <w:rFonts w:hint="eastAsia"/>
              </w:rPr>
              <w:t>≤1</w:t>
            </w:r>
            <w:r>
              <w:t>000</w:t>
            </w:r>
          </w:p>
        </w:tc>
        <w:tc>
          <w:tcPr>
            <w:tcW w:w="1701" w:type="dxa"/>
            <w:tcBorders>
              <w:top w:val="single" w:color="auto" w:sz="8" w:space="0"/>
              <w:bottom w:val="single" w:color="auto" w:sz="8" w:space="0"/>
            </w:tcBorders>
            <w:shd w:val="clear" w:color="auto" w:fill="auto"/>
            <w:vAlign w:val="center"/>
          </w:tcPr>
          <w:p w14:paraId="54F76E77">
            <w:pPr>
              <w:pStyle w:val="179"/>
            </w:pPr>
            <w:r>
              <w:rPr>
                <w:rFonts w:hint="eastAsia"/>
              </w:rPr>
              <w:t>≥3</w:t>
            </w:r>
            <w:r>
              <w:t>000</w:t>
            </w:r>
          </w:p>
        </w:tc>
        <w:tc>
          <w:tcPr>
            <w:tcW w:w="3532" w:type="dxa"/>
            <w:tcBorders>
              <w:top w:val="single" w:color="auto" w:sz="8" w:space="0"/>
              <w:bottom w:val="single" w:color="auto" w:sz="8" w:space="0"/>
            </w:tcBorders>
            <w:shd w:val="clear" w:color="auto" w:fill="auto"/>
            <w:vAlign w:val="center"/>
          </w:tcPr>
          <w:p w14:paraId="33559C61">
            <w:pPr>
              <w:pStyle w:val="179"/>
            </w:pPr>
            <w:r>
              <w:rPr>
                <w:rFonts w:hint="eastAsia"/>
              </w:rPr>
              <w:t>备注</w:t>
            </w:r>
          </w:p>
        </w:tc>
      </w:tr>
      <w:tr w14:paraId="1D8E05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4" w:type="dxa"/>
            <w:tcBorders>
              <w:top w:val="single" w:color="auto" w:sz="8" w:space="0"/>
            </w:tcBorders>
            <w:shd w:val="clear" w:color="auto" w:fill="auto"/>
            <w:vAlign w:val="center"/>
          </w:tcPr>
          <w:p w14:paraId="697776B0">
            <w:pPr>
              <w:pStyle w:val="179"/>
            </w:pPr>
            <w:r>
              <w:rPr>
                <w:rFonts w:hint="eastAsia"/>
              </w:rPr>
              <w:t>δ（cm</w:t>
            </w:r>
            <w:r>
              <w:rPr>
                <w:vertAlign w:val="superscript"/>
              </w:rPr>
              <w:t>3</w:t>
            </w:r>
            <w:r>
              <w:t>/m</w:t>
            </w:r>
            <w:r>
              <w:rPr>
                <w:vertAlign w:val="superscript"/>
              </w:rPr>
              <w:t>3</w:t>
            </w:r>
            <w:r>
              <w:rPr>
                <w:rFonts w:hint="eastAsia"/>
              </w:rPr>
              <w:t>）</w:t>
            </w:r>
          </w:p>
        </w:tc>
        <w:tc>
          <w:tcPr>
            <w:tcW w:w="1767" w:type="dxa"/>
            <w:tcBorders>
              <w:top w:val="single" w:color="auto" w:sz="8" w:space="0"/>
            </w:tcBorders>
            <w:shd w:val="clear" w:color="auto" w:fill="auto"/>
            <w:vAlign w:val="center"/>
          </w:tcPr>
          <w:p w14:paraId="27112D82">
            <w:pPr>
              <w:pStyle w:val="179"/>
            </w:pPr>
            <w:r>
              <w:rPr>
                <w:rFonts w:hint="eastAsia"/>
              </w:rPr>
              <w:t>2</w:t>
            </w:r>
            <w:r>
              <w:t>50</w:t>
            </w:r>
          </w:p>
        </w:tc>
        <w:tc>
          <w:tcPr>
            <w:tcW w:w="1701" w:type="dxa"/>
            <w:tcBorders>
              <w:top w:val="single" w:color="auto" w:sz="8" w:space="0"/>
            </w:tcBorders>
            <w:shd w:val="clear" w:color="auto" w:fill="auto"/>
            <w:vAlign w:val="center"/>
          </w:tcPr>
          <w:p w14:paraId="590B9976">
            <w:pPr>
              <w:pStyle w:val="179"/>
            </w:pPr>
            <w:r>
              <w:t>200</w:t>
            </w:r>
          </w:p>
        </w:tc>
        <w:tc>
          <w:tcPr>
            <w:tcW w:w="3532" w:type="dxa"/>
            <w:tcBorders>
              <w:top w:val="single" w:color="auto" w:sz="8" w:space="0"/>
            </w:tcBorders>
            <w:shd w:val="clear" w:color="auto" w:fill="auto"/>
            <w:vAlign w:val="center"/>
          </w:tcPr>
          <w:p w14:paraId="2D0B176A">
            <w:pPr>
              <w:pStyle w:val="179"/>
            </w:pPr>
            <w:r>
              <w:rPr>
                <w:rFonts w:hint="eastAsia"/>
              </w:rPr>
              <w:t>隧道长度为1</w:t>
            </w:r>
            <w:r>
              <w:t>000</w:t>
            </w:r>
            <w:r>
              <w:rPr>
                <w:rFonts w:hint="eastAsia"/>
              </w:rPr>
              <w:t>～</w:t>
            </w:r>
            <w:r>
              <w:t>3000</w:t>
            </w:r>
            <w:r>
              <w:rPr>
                <w:rFonts w:hint="eastAsia"/>
              </w:rPr>
              <w:t>m时，可按插值法取值</w:t>
            </w:r>
          </w:p>
        </w:tc>
      </w:tr>
    </w:tbl>
    <w:p w14:paraId="5E06F6FE">
      <w:pPr>
        <w:pStyle w:val="57"/>
        <w:ind w:firstLine="0" w:firstLineChars="0"/>
        <w:rPr>
          <w:rFonts w:hint="eastAsia"/>
        </w:rPr>
      </w:pPr>
    </w:p>
    <w:p w14:paraId="2459E7CC">
      <w:pPr>
        <w:pStyle w:val="166"/>
      </w:pPr>
      <w:r>
        <w:t>长度小于7km的特长隧道采用全纵向通风时，可不设置专用火灾排烟通道。</w:t>
      </w:r>
    </w:p>
    <w:p w14:paraId="281E38FB">
      <w:pPr>
        <w:pStyle w:val="166"/>
      </w:pPr>
      <w:r>
        <w:rPr>
          <w:rFonts w:hint="eastAsia"/>
        </w:rPr>
        <w:t>需设置地下风机房的超长隧道，风机房的土建和机电工程应进行综合比选论证，尽量减小地下风机房及附属用房空间尺寸。</w:t>
      </w:r>
    </w:p>
    <w:p w14:paraId="2A7CADAE">
      <w:pPr>
        <w:pStyle w:val="166"/>
      </w:pPr>
      <w:r>
        <w:rPr>
          <w:rFonts w:hint="eastAsia"/>
        </w:rPr>
        <w:t>隧道洞内中间段照明宜按1</w:t>
      </w:r>
      <w:r>
        <w:t>.0</w:t>
      </w:r>
      <w:r>
        <w:rPr>
          <w:rFonts w:hint="eastAsia"/>
        </w:rPr>
        <w:t>cd</w:t>
      </w:r>
      <w:r>
        <w:t>/</w:t>
      </w:r>
      <w:r>
        <w:rPr>
          <w:rFonts w:hint="eastAsia"/>
        </w:rPr>
        <w:t>m</w:t>
      </w:r>
      <w:r>
        <w:rPr>
          <w:vertAlign w:val="superscript"/>
        </w:rPr>
        <w:t>2</w:t>
      </w:r>
      <w:r>
        <w:rPr>
          <w:rFonts w:hint="eastAsia"/>
        </w:rPr>
        <w:t>取值，并应设置线形诱导标和反光环等标识。</w:t>
      </w:r>
    </w:p>
    <w:p w14:paraId="6B0D2222">
      <w:pPr>
        <w:pStyle w:val="166"/>
        <w:rPr>
          <w:rFonts w:hint="eastAsia"/>
        </w:rPr>
      </w:pPr>
      <w:r>
        <w:rPr>
          <w:rFonts w:hint="eastAsia"/>
        </w:rPr>
        <w:t>隧道现场监控设施分级配置标准宜符合表1</w:t>
      </w:r>
      <w:r>
        <w:t>9</w:t>
      </w:r>
      <w:r>
        <w:rPr>
          <w:rFonts w:hint="eastAsia"/>
        </w:rPr>
        <w:t>的规定。</w:t>
      </w:r>
    </w:p>
    <w:p w14:paraId="03DEE4B4">
      <w:pPr>
        <w:pStyle w:val="113"/>
        <w:spacing w:before="156" w:after="156"/>
      </w:pPr>
      <w:r>
        <w:rPr>
          <w:rFonts w:hint="eastAsia"/>
        </w:rPr>
        <w:t>隧道现场监控设施分级配置标准</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52BB45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vMerge w:val="restart"/>
            <w:tcBorders>
              <w:top w:val="single" w:color="auto" w:sz="8" w:space="0"/>
            </w:tcBorders>
            <w:shd w:val="clear" w:color="auto" w:fill="auto"/>
            <w:vAlign w:val="center"/>
          </w:tcPr>
          <w:p w14:paraId="0CA96980">
            <w:pPr>
              <w:pStyle w:val="179"/>
            </w:pPr>
            <w:r>
              <w:rPr>
                <w:rFonts w:hint="eastAsia"/>
              </w:rPr>
              <w:t>设施名称</w:t>
            </w:r>
          </w:p>
        </w:tc>
        <w:tc>
          <w:tcPr>
            <w:tcW w:w="7468" w:type="dxa"/>
            <w:gridSpan w:val="4"/>
            <w:tcBorders>
              <w:top w:val="single" w:color="auto" w:sz="8" w:space="0"/>
              <w:bottom w:val="single" w:color="auto" w:sz="8" w:space="0"/>
            </w:tcBorders>
            <w:shd w:val="clear" w:color="auto" w:fill="auto"/>
            <w:vAlign w:val="center"/>
          </w:tcPr>
          <w:p w14:paraId="658C4EE3">
            <w:pPr>
              <w:pStyle w:val="179"/>
            </w:pPr>
            <w:r>
              <w:rPr>
                <w:rFonts w:hint="eastAsia"/>
              </w:rPr>
              <w:t>各类设施分级</w:t>
            </w:r>
          </w:p>
        </w:tc>
      </w:tr>
      <w:tr w14:paraId="471737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75678843">
            <w:pPr>
              <w:pStyle w:val="179"/>
            </w:pPr>
          </w:p>
        </w:tc>
        <w:tc>
          <w:tcPr>
            <w:tcW w:w="1867" w:type="dxa"/>
            <w:tcBorders>
              <w:top w:val="single" w:color="auto" w:sz="8" w:space="0"/>
            </w:tcBorders>
            <w:shd w:val="clear" w:color="auto" w:fill="auto"/>
            <w:vAlign w:val="center"/>
          </w:tcPr>
          <w:p w14:paraId="1FE356F9">
            <w:pPr>
              <w:pStyle w:val="179"/>
            </w:pPr>
            <w:r>
              <w:rPr>
                <w:rFonts w:hint="eastAsia"/>
              </w:rPr>
              <w:t>A</w:t>
            </w:r>
            <w:r>
              <w:t>+</w:t>
            </w:r>
            <w:r>
              <w:rPr>
                <w:rFonts w:hint="eastAsia"/>
              </w:rPr>
              <w:t>、</w:t>
            </w:r>
            <w:r>
              <w:t>A</w:t>
            </w:r>
            <w:r>
              <w:rPr>
                <w:rFonts w:hint="eastAsia"/>
              </w:rPr>
              <w:t>级</w:t>
            </w:r>
          </w:p>
        </w:tc>
        <w:tc>
          <w:tcPr>
            <w:tcW w:w="1867" w:type="dxa"/>
            <w:tcBorders>
              <w:top w:val="single" w:color="auto" w:sz="8" w:space="0"/>
            </w:tcBorders>
            <w:shd w:val="clear" w:color="auto" w:fill="auto"/>
            <w:vAlign w:val="center"/>
          </w:tcPr>
          <w:p w14:paraId="6F8C3FD5">
            <w:pPr>
              <w:pStyle w:val="179"/>
            </w:pPr>
            <w:r>
              <w:rPr>
                <w:rFonts w:hint="eastAsia"/>
              </w:rPr>
              <w:t>B级</w:t>
            </w:r>
          </w:p>
        </w:tc>
        <w:tc>
          <w:tcPr>
            <w:tcW w:w="1867" w:type="dxa"/>
            <w:tcBorders>
              <w:top w:val="single" w:color="auto" w:sz="8" w:space="0"/>
            </w:tcBorders>
            <w:shd w:val="clear" w:color="auto" w:fill="auto"/>
            <w:vAlign w:val="center"/>
          </w:tcPr>
          <w:p w14:paraId="7279C31D">
            <w:pPr>
              <w:pStyle w:val="179"/>
            </w:pPr>
            <w:r>
              <w:rPr>
                <w:rFonts w:hint="eastAsia"/>
              </w:rPr>
              <w:t>C级</w:t>
            </w:r>
          </w:p>
        </w:tc>
        <w:tc>
          <w:tcPr>
            <w:tcW w:w="1867" w:type="dxa"/>
            <w:tcBorders>
              <w:top w:val="single" w:color="auto" w:sz="8" w:space="0"/>
            </w:tcBorders>
            <w:shd w:val="clear" w:color="auto" w:fill="auto"/>
            <w:vAlign w:val="center"/>
          </w:tcPr>
          <w:p w14:paraId="443F2FBD">
            <w:pPr>
              <w:pStyle w:val="179"/>
            </w:pPr>
            <w:r>
              <w:rPr>
                <w:rFonts w:hint="eastAsia"/>
              </w:rPr>
              <w:t>D级</w:t>
            </w:r>
          </w:p>
        </w:tc>
      </w:tr>
      <w:tr w14:paraId="116F2B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60B57123">
            <w:pPr>
              <w:pStyle w:val="179"/>
            </w:pPr>
            <w:r>
              <w:rPr>
                <w:rFonts w:hint="eastAsia"/>
              </w:rPr>
              <w:t>C</w:t>
            </w:r>
            <w:r>
              <w:t>O/VI</w:t>
            </w:r>
            <w:r>
              <w:rPr>
                <w:rFonts w:hint="eastAsia"/>
              </w:rPr>
              <w:t>检测器</w:t>
            </w:r>
          </w:p>
        </w:tc>
        <w:tc>
          <w:tcPr>
            <w:tcW w:w="1867" w:type="dxa"/>
            <w:shd w:val="clear" w:color="auto" w:fill="auto"/>
            <w:vAlign w:val="center"/>
          </w:tcPr>
          <w:p w14:paraId="2BC23C2F">
            <w:pPr>
              <w:pStyle w:val="179"/>
            </w:pPr>
            <w:r>
              <w:rPr>
                <w:rFonts w:hint="eastAsia"/>
              </w:rPr>
              <w:t>设置</w:t>
            </w:r>
          </w:p>
        </w:tc>
        <w:tc>
          <w:tcPr>
            <w:tcW w:w="1867" w:type="dxa"/>
            <w:shd w:val="clear" w:color="auto" w:fill="auto"/>
            <w:vAlign w:val="center"/>
          </w:tcPr>
          <w:p w14:paraId="558BA333">
            <w:pPr>
              <w:pStyle w:val="179"/>
            </w:pPr>
            <w:r>
              <w:rPr>
                <w:rFonts w:hint="eastAsia"/>
              </w:rPr>
              <w:t>—</w:t>
            </w:r>
          </w:p>
        </w:tc>
        <w:tc>
          <w:tcPr>
            <w:tcW w:w="1867" w:type="dxa"/>
            <w:shd w:val="clear" w:color="auto" w:fill="auto"/>
            <w:vAlign w:val="center"/>
          </w:tcPr>
          <w:p w14:paraId="6900CA58">
            <w:pPr>
              <w:pStyle w:val="179"/>
            </w:pPr>
            <w:r>
              <w:rPr>
                <w:rFonts w:hint="eastAsia"/>
              </w:rPr>
              <w:t>—</w:t>
            </w:r>
          </w:p>
        </w:tc>
        <w:tc>
          <w:tcPr>
            <w:tcW w:w="1867" w:type="dxa"/>
            <w:shd w:val="clear" w:color="auto" w:fill="auto"/>
            <w:vAlign w:val="center"/>
          </w:tcPr>
          <w:p w14:paraId="5E5F849C">
            <w:pPr>
              <w:pStyle w:val="179"/>
            </w:pPr>
            <w:r>
              <w:rPr>
                <w:rFonts w:hint="eastAsia"/>
              </w:rPr>
              <w:t>—</w:t>
            </w:r>
          </w:p>
        </w:tc>
      </w:tr>
      <w:tr w14:paraId="291F8B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70D3EF35">
            <w:pPr>
              <w:pStyle w:val="179"/>
            </w:pPr>
            <w:r>
              <w:rPr>
                <w:rFonts w:hint="eastAsia"/>
              </w:rPr>
              <w:t>风速风向检测器</w:t>
            </w:r>
          </w:p>
        </w:tc>
        <w:tc>
          <w:tcPr>
            <w:tcW w:w="1867" w:type="dxa"/>
            <w:shd w:val="clear" w:color="auto" w:fill="auto"/>
            <w:vAlign w:val="center"/>
          </w:tcPr>
          <w:p w14:paraId="0D8CC1C3">
            <w:pPr>
              <w:pStyle w:val="179"/>
            </w:pPr>
            <w:r>
              <w:rPr>
                <w:rFonts w:hint="eastAsia"/>
              </w:rPr>
              <w:t>设置</w:t>
            </w:r>
          </w:p>
        </w:tc>
        <w:tc>
          <w:tcPr>
            <w:tcW w:w="1867" w:type="dxa"/>
            <w:shd w:val="clear" w:color="auto" w:fill="auto"/>
            <w:vAlign w:val="center"/>
          </w:tcPr>
          <w:p w14:paraId="6BF212E7">
            <w:pPr>
              <w:pStyle w:val="179"/>
            </w:pPr>
            <w:r>
              <w:rPr>
                <w:rFonts w:hint="eastAsia"/>
              </w:rPr>
              <w:t>—</w:t>
            </w:r>
          </w:p>
        </w:tc>
        <w:tc>
          <w:tcPr>
            <w:tcW w:w="1867" w:type="dxa"/>
            <w:shd w:val="clear" w:color="auto" w:fill="auto"/>
            <w:vAlign w:val="center"/>
          </w:tcPr>
          <w:p w14:paraId="40CC298B">
            <w:pPr>
              <w:pStyle w:val="179"/>
            </w:pPr>
            <w:r>
              <w:rPr>
                <w:rFonts w:hint="eastAsia"/>
              </w:rPr>
              <w:t>—</w:t>
            </w:r>
          </w:p>
        </w:tc>
        <w:tc>
          <w:tcPr>
            <w:tcW w:w="1867" w:type="dxa"/>
            <w:shd w:val="clear" w:color="auto" w:fill="auto"/>
            <w:vAlign w:val="center"/>
          </w:tcPr>
          <w:p w14:paraId="73629CA0">
            <w:pPr>
              <w:pStyle w:val="179"/>
            </w:pPr>
            <w:r>
              <w:rPr>
                <w:rFonts w:hint="eastAsia"/>
              </w:rPr>
              <w:t>—</w:t>
            </w:r>
          </w:p>
        </w:tc>
      </w:tr>
      <w:tr w14:paraId="19E215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3A4603FD">
            <w:pPr>
              <w:pStyle w:val="179"/>
            </w:pPr>
            <w:r>
              <w:rPr>
                <w:rFonts w:hint="eastAsia"/>
              </w:rPr>
              <w:t>亮度检测器</w:t>
            </w:r>
          </w:p>
        </w:tc>
        <w:tc>
          <w:tcPr>
            <w:tcW w:w="1867" w:type="dxa"/>
            <w:shd w:val="clear" w:color="auto" w:fill="auto"/>
            <w:vAlign w:val="center"/>
          </w:tcPr>
          <w:p w14:paraId="2B13E52A">
            <w:pPr>
              <w:pStyle w:val="179"/>
            </w:pPr>
            <w:r>
              <w:rPr>
                <w:rFonts w:hint="eastAsia"/>
              </w:rPr>
              <w:t>设置</w:t>
            </w:r>
          </w:p>
        </w:tc>
        <w:tc>
          <w:tcPr>
            <w:tcW w:w="1867" w:type="dxa"/>
            <w:shd w:val="clear" w:color="auto" w:fill="auto"/>
            <w:vAlign w:val="center"/>
          </w:tcPr>
          <w:p w14:paraId="354B5772">
            <w:pPr>
              <w:pStyle w:val="179"/>
            </w:pPr>
            <w:r>
              <w:rPr>
                <w:rFonts w:hint="eastAsia"/>
              </w:rPr>
              <w:t>设置</w:t>
            </w:r>
          </w:p>
        </w:tc>
        <w:tc>
          <w:tcPr>
            <w:tcW w:w="1867" w:type="dxa"/>
            <w:shd w:val="clear" w:color="auto" w:fill="auto"/>
            <w:vAlign w:val="center"/>
          </w:tcPr>
          <w:p w14:paraId="26668C6E">
            <w:pPr>
              <w:pStyle w:val="179"/>
            </w:pPr>
            <w:r>
              <w:rPr>
                <w:rFonts w:hint="eastAsia"/>
              </w:rPr>
              <w:t>—</w:t>
            </w:r>
          </w:p>
        </w:tc>
        <w:tc>
          <w:tcPr>
            <w:tcW w:w="1867" w:type="dxa"/>
            <w:shd w:val="clear" w:color="auto" w:fill="auto"/>
            <w:vAlign w:val="center"/>
          </w:tcPr>
          <w:p w14:paraId="47260D89">
            <w:pPr>
              <w:pStyle w:val="179"/>
            </w:pPr>
            <w:r>
              <w:rPr>
                <w:rFonts w:hint="eastAsia"/>
              </w:rPr>
              <w:t>—</w:t>
            </w:r>
          </w:p>
        </w:tc>
      </w:tr>
      <w:tr w14:paraId="399401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1168CCC1">
            <w:pPr>
              <w:pStyle w:val="179"/>
            </w:pPr>
            <w:r>
              <w:rPr>
                <w:rFonts w:hint="eastAsia"/>
              </w:rPr>
              <w:t>车辆检测器</w:t>
            </w:r>
          </w:p>
        </w:tc>
        <w:tc>
          <w:tcPr>
            <w:tcW w:w="1867" w:type="dxa"/>
            <w:shd w:val="clear" w:color="auto" w:fill="auto"/>
            <w:vAlign w:val="center"/>
          </w:tcPr>
          <w:p w14:paraId="7C83BA76">
            <w:pPr>
              <w:pStyle w:val="179"/>
            </w:pPr>
            <w:r>
              <w:rPr>
                <w:rFonts w:hint="eastAsia"/>
              </w:rPr>
              <w:t>设置</w:t>
            </w:r>
          </w:p>
        </w:tc>
        <w:tc>
          <w:tcPr>
            <w:tcW w:w="1867" w:type="dxa"/>
            <w:shd w:val="clear" w:color="auto" w:fill="auto"/>
            <w:vAlign w:val="center"/>
          </w:tcPr>
          <w:p w14:paraId="64954377">
            <w:pPr>
              <w:pStyle w:val="179"/>
            </w:pPr>
            <w:r>
              <w:rPr>
                <w:rFonts w:hint="eastAsia"/>
              </w:rPr>
              <w:t>—</w:t>
            </w:r>
          </w:p>
        </w:tc>
        <w:tc>
          <w:tcPr>
            <w:tcW w:w="1867" w:type="dxa"/>
            <w:shd w:val="clear" w:color="auto" w:fill="auto"/>
            <w:vAlign w:val="center"/>
          </w:tcPr>
          <w:p w14:paraId="4D4A1D26">
            <w:pPr>
              <w:pStyle w:val="179"/>
            </w:pPr>
            <w:r>
              <w:rPr>
                <w:rFonts w:hint="eastAsia"/>
              </w:rPr>
              <w:t>—</w:t>
            </w:r>
          </w:p>
        </w:tc>
        <w:tc>
          <w:tcPr>
            <w:tcW w:w="1867" w:type="dxa"/>
            <w:shd w:val="clear" w:color="auto" w:fill="auto"/>
            <w:vAlign w:val="center"/>
          </w:tcPr>
          <w:p w14:paraId="2F4D0A61">
            <w:pPr>
              <w:pStyle w:val="179"/>
            </w:pPr>
            <w:r>
              <w:rPr>
                <w:rFonts w:hint="eastAsia"/>
              </w:rPr>
              <w:t>—</w:t>
            </w:r>
          </w:p>
        </w:tc>
      </w:tr>
      <w:tr w14:paraId="0A50F9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7E03E866">
            <w:pPr>
              <w:pStyle w:val="179"/>
            </w:pPr>
            <w:r>
              <w:rPr>
                <w:rFonts w:hint="eastAsia"/>
              </w:rPr>
              <w:t>摄像机</w:t>
            </w:r>
          </w:p>
        </w:tc>
        <w:tc>
          <w:tcPr>
            <w:tcW w:w="1867" w:type="dxa"/>
            <w:shd w:val="clear" w:color="auto" w:fill="auto"/>
            <w:vAlign w:val="center"/>
          </w:tcPr>
          <w:p w14:paraId="76F79F0A">
            <w:pPr>
              <w:pStyle w:val="179"/>
            </w:pPr>
            <w:r>
              <w:rPr>
                <w:rFonts w:hint="eastAsia"/>
              </w:rPr>
              <w:t>设置</w:t>
            </w:r>
          </w:p>
        </w:tc>
        <w:tc>
          <w:tcPr>
            <w:tcW w:w="1867" w:type="dxa"/>
            <w:shd w:val="clear" w:color="auto" w:fill="auto"/>
            <w:vAlign w:val="center"/>
          </w:tcPr>
          <w:p w14:paraId="149D4AEE">
            <w:pPr>
              <w:pStyle w:val="179"/>
            </w:pPr>
            <w:r>
              <w:rPr>
                <w:rFonts w:hint="eastAsia"/>
              </w:rPr>
              <w:t>设置</w:t>
            </w:r>
          </w:p>
        </w:tc>
        <w:tc>
          <w:tcPr>
            <w:tcW w:w="1867" w:type="dxa"/>
            <w:shd w:val="clear" w:color="auto" w:fill="auto"/>
            <w:vAlign w:val="center"/>
          </w:tcPr>
          <w:p w14:paraId="71504F85">
            <w:pPr>
              <w:pStyle w:val="179"/>
            </w:pPr>
            <w:r>
              <w:rPr>
                <w:rFonts w:hint="eastAsia"/>
              </w:rPr>
              <w:t>—</w:t>
            </w:r>
          </w:p>
        </w:tc>
        <w:tc>
          <w:tcPr>
            <w:tcW w:w="1867" w:type="dxa"/>
            <w:shd w:val="clear" w:color="auto" w:fill="auto"/>
            <w:vAlign w:val="center"/>
          </w:tcPr>
          <w:p w14:paraId="310790F6">
            <w:pPr>
              <w:pStyle w:val="179"/>
            </w:pPr>
            <w:r>
              <w:rPr>
                <w:rFonts w:hint="eastAsia"/>
              </w:rPr>
              <w:t>—</w:t>
            </w:r>
          </w:p>
        </w:tc>
      </w:tr>
      <w:tr w14:paraId="738C90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5F88E534">
            <w:pPr>
              <w:pStyle w:val="179"/>
            </w:pPr>
            <w:r>
              <w:rPr>
                <w:rFonts w:hint="eastAsia"/>
              </w:rPr>
              <w:t>视频事件检测器</w:t>
            </w:r>
          </w:p>
        </w:tc>
        <w:tc>
          <w:tcPr>
            <w:tcW w:w="1867" w:type="dxa"/>
            <w:shd w:val="clear" w:color="auto" w:fill="auto"/>
            <w:vAlign w:val="center"/>
          </w:tcPr>
          <w:p w14:paraId="21CDE22B">
            <w:pPr>
              <w:pStyle w:val="179"/>
            </w:pPr>
            <w:r>
              <w:rPr>
                <w:rFonts w:hint="eastAsia"/>
              </w:rPr>
              <w:t>设置</w:t>
            </w:r>
          </w:p>
        </w:tc>
        <w:tc>
          <w:tcPr>
            <w:tcW w:w="1867" w:type="dxa"/>
            <w:shd w:val="clear" w:color="auto" w:fill="auto"/>
            <w:vAlign w:val="center"/>
          </w:tcPr>
          <w:p w14:paraId="726A6322">
            <w:pPr>
              <w:pStyle w:val="179"/>
            </w:pPr>
            <w:r>
              <w:rPr>
                <w:rFonts w:hint="eastAsia"/>
              </w:rPr>
              <w:t>—</w:t>
            </w:r>
          </w:p>
        </w:tc>
        <w:tc>
          <w:tcPr>
            <w:tcW w:w="1867" w:type="dxa"/>
            <w:shd w:val="clear" w:color="auto" w:fill="auto"/>
            <w:vAlign w:val="center"/>
          </w:tcPr>
          <w:p w14:paraId="766A158C">
            <w:pPr>
              <w:pStyle w:val="179"/>
            </w:pPr>
            <w:r>
              <w:rPr>
                <w:rFonts w:hint="eastAsia"/>
              </w:rPr>
              <w:t>—</w:t>
            </w:r>
          </w:p>
        </w:tc>
        <w:tc>
          <w:tcPr>
            <w:tcW w:w="1867" w:type="dxa"/>
            <w:shd w:val="clear" w:color="auto" w:fill="auto"/>
            <w:vAlign w:val="center"/>
          </w:tcPr>
          <w:p w14:paraId="5EC981FC">
            <w:pPr>
              <w:pStyle w:val="179"/>
            </w:pPr>
            <w:r>
              <w:rPr>
                <w:rFonts w:hint="eastAsia"/>
              </w:rPr>
              <w:t>—</w:t>
            </w:r>
          </w:p>
        </w:tc>
      </w:tr>
      <w:tr w14:paraId="71F698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7292D35A">
            <w:pPr>
              <w:pStyle w:val="179"/>
            </w:pPr>
            <w:r>
              <w:rPr>
                <w:rFonts w:hint="eastAsia"/>
              </w:rPr>
              <w:t>可变信息标志</w:t>
            </w:r>
          </w:p>
        </w:tc>
        <w:tc>
          <w:tcPr>
            <w:tcW w:w="1867" w:type="dxa"/>
            <w:shd w:val="clear" w:color="auto" w:fill="auto"/>
            <w:vAlign w:val="center"/>
          </w:tcPr>
          <w:p w14:paraId="05C32B65">
            <w:pPr>
              <w:pStyle w:val="179"/>
            </w:pPr>
            <w:r>
              <w:rPr>
                <w:rFonts w:hint="eastAsia"/>
              </w:rPr>
              <w:t>设置</w:t>
            </w:r>
          </w:p>
        </w:tc>
        <w:tc>
          <w:tcPr>
            <w:tcW w:w="1867" w:type="dxa"/>
            <w:shd w:val="clear" w:color="auto" w:fill="auto"/>
            <w:vAlign w:val="center"/>
          </w:tcPr>
          <w:p w14:paraId="2B64735F">
            <w:pPr>
              <w:pStyle w:val="179"/>
            </w:pPr>
            <w:r>
              <w:rPr>
                <w:rFonts w:hint="eastAsia"/>
              </w:rPr>
              <w:t>设置</w:t>
            </w:r>
          </w:p>
        </w:tc>
        <w:tc>
          <w:tcPr>
            <w:tcW w:w="1867" w:type="dxa"/>
            <w:shd w:val="clear" w:color="auto" w:fill="auto"/>
            <w:vAlign w:val="center"/>
          </w:tcPr>
          <w:p w14:paraId="47AAC766">
            <w:pPr>
              <w:pStyle w:val="179"/>
            </w:pPr>
            <w:r>
              <w:rPr>
                <w:rFonts w:hint="eastAsia"/>
              </w:rPr>
              <w:t>—</w:t>
            </w:r>
          </w:p>
        </w:tc>
        <w:tc>
          <w:tcPr>
            <w:tcW w:w="1867" w:type="dxa"/>
            <w:shd w:val="clear" w:color="auto" w:fill="auto"/>
            <w:vAlign w:val="center"/>
          </w:tcPr>
          <w:p w14:paraId="7DB05D42">
            <w:pPr>
              <w:pStyle w:val="179"/>
            </w:pPr>
            <w:r>
              <w:rPr>
                <w:rFonts w:hint="eastAsia"/>
              </w:rPr>
              <w:t>—</w:t>
            </w:r>
          </w:p>
        </w:tc>
      </w:tr>
      <w:tr w14:paraId="29DBBE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1C4812F3">
            <w:pPr>
              <w:pStyle w:val="179"/>
            </w:pPr>
            <w:r>
              <w:rPr>
                <w:rFonts w:hint="eastAsia"/>
              </w:rPr>
              <w:t>可变限速标志</w:t>
            </w:r>
          </w:p>
        </w:tc>
        <w:tc>
          <w:tcPr>
            <w:tcW w:w="1867" w:type="dxa"/>
            <w:shd w:val="clear" w:color="auto" w:fill="auto"/>
            <w:vAlign w:val="center"/>
          </w:tcPr>
          <w:p w14:paraId="140BBC23">
            <w:pPr>
              <w:pStyle w:val="179"/>
            </w:pPr>
            <w:r>
              <w:rPr>
                <w:rFonts w:hint="eastAsia"/>
              </w:rPr>
              <w:t>设置</w:t>
            </w:r>
          </w:p>
        </w:tc>
        <w:tc>
          <w:tcPr>
            <w:tcW w:w="1867" w:type="dxa"/>
            <w:shd w:val="clear" w:color="auto" w:fill="auto"/>
            <w:vAlign w:val="center"/>
          </w:tcPr>
          <w:p w14:paraId="213D459C">
            <w:pPr>
              <w:pStyle w:val="179"/>
            </w:pPr>
            <w:r>
              <w:rPr>
                <w:rFonts w:hint="eastAsia"/>
              </w:rPr>
              <w:t>—</w:t>
            </w:r>
          </w:p>
        </w:tc>
        <w:tc>
          <w:tcPr>
            <w:tcW w:w="1867" w:type="dxa"/>
            <w:shd w:val="clear" w:color="auto" w:fill="auto"/>
            <w:vAlign w:val="center"/>
          </w:tcPr>
          <w:p w14:paraId="46A442AB">
            <w:pPr>
              <w:pStyle w:val="179"/>
            </w:pPr>
            <w:r>
              <w:rPr>
                <w:rFonts w:hint="eastAsia"/>
              </w:rPr>
              <w:t>—</w:t>
            </w:r>
          </w:p>
        </w:tc>
        <w:tc>
          <w:tcPr>
            <w:tcW w:w="1867" w:type="dxa"/>
            <w:shd w:val="clear" w:color="auto" w:fill="auto"/>
            <w:vAlign w:val="center"/>
          </w:tcPr>
          <w:p w14:paraId="269E8186">
            <w:pPr>
              <w:pStyle w:val="179"/>
            </w:pPr>
            <w:r>
              <w:rPr>
                <w:rFonts w:hint="eastAsia"/>
              </w:rPr>
              <w:t>—</w:t>
            </w:r>
          </w:p>
        </w:tc>
      </w:tr>
      <w:tr w14:paraId="611A2D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6E2D153B">
            <w:pPr>
              <w:pStyle w:val="179"/>
            </w:pPr>
            <w:r>
              <w:rPr>
                <w:rFonts w:hint="eastAsia"/>
              </w:rPr>
              <w:t>交通信号灯</w:t>
            </w:r>
          </w:p>
        </w:tc>
        <w:tc>
          <w:tcPr>
            <w:tcW w:w="1867" w:type="dxa"/>
            <w:shd w:val="clear" w:color="auto" w:fill="auto"/>
            <w:vAlign w:val="center"/>
          </w:tcPr>
          <w:p w14:paraId="5294641B">
            <w:pPr>
              <w:pStyle w:val="179"/>
            </w:pPr>
            <w:r>
              <w:rPr>
                <w:rFonts w:hint="eastAsia"/>
              </w:rPr>
              <w:t>设置</w:t>
            </w:r>
          </w:p>
        </w:tc>
        <w:tc>
          <w:tcPr>
            <w:tcW w:w="1867" w:type="dxa"/>
            <w:shd w:val="clear" w:color="auto" w:fill="auto"/>
            <w:vAlign w:val="center"/>
          </w:tcPr>
          <w:p w14:paraId="21D13A66">
            <w:pPr>
              <w:pStyle w:val="179"/>
            </w:pPr>
            <w:r>
              <w:rPr>
                <w:rFonts w:hint="eastAsia"/>
              </w:rPr>
              <w:t>设置</w:t>
            </w:r>
          </w:p>
        </w:tc>
        <w:tc>
          <w:tcPr>
            <w:tcW w:w="1867" w:type="dxa"/>
            <w:shd w:val="clear" w:color="auto" w:fill="auto"/>
            <w:vAlign w:val="center"/>
          </w:tcPr>
          <w:p w14:paraId="72BA25AE">
            <w:pPr>
              <w:pStyle w:val="179"/>
            </w:pPr>
            <w:r>
              <w:rPr>
                <w:rFonts w:hint="eastAsia"/>
              </w:rPr>
              <w:t>—</w:t>
            </w:r>
          </w:p>
        </w:tc>
        <w:tc>
          <w:tcPr>
            <w:tcW w:w="1867" w:type="dxa"/>
            <w:shd w:val="clear" w:color="auto" w:fill="auto"/>
            <w:vAlign w:val="center"/>
          </w:tcPr>
          <w:p w14:paraId="6A44811D">
            <w:pPr>
              <w:pStyle w:val="179"/>
            </w:pPr>
            <w:r>
              <w:rPr>
                <w:rFonts w:hint="eastAsia"/>
              </w:rPr>
              <w:t>—</w:t>
            </w:r>
          </w:p>
        </w:tc>
      </w:tr>
      <w:tr w14:paraId="79CEC7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446172C8">
            <w:pPr>
              <w:pStyle w:val="179"/>
            </w:pPr>
            <w:r>
              <w:rPr>
                <w:rFonts w:hint="eastAsia"/>
              </w:rPr>
              <w:t>车道指示器</w:t>
            </w:r>
          </w:p>
        </w:tc>
        <w:tc>
          <w:tcPr>
            <w:tcW w:w="1867" w:type="dxa"/>
            <w:shd w:val="clear" w:color="auto" w:fill="auto"/>
            <w:vAlign w:val="center"/>
          </w:tcPr>
          <w:p w14:paraId="697D42A3">
            <w:pPr>
              <w:pStyle w:val="179"/>
            </w:pPr>
            <w:r>
              <w:rPr>
                <w:rFonts w:hint="eastAsia"/>
              </w:rPr>
              <w:t>设置</w:t>
            </w:r>
          </w:p>
        </w:tc>
        <w:tc>
          <w:tcPr>
            <w:tcW w:w="1867" w:type="dxa"/>
            <w:shd w:val="clear" w:color="auto" w:fill="auto"/>
            <w:vAlign w:val="center"/>
          </w:tcPr>
          <w:p w14:paraId="05725B35">
            <w:pPr>
              <w:pStyle w:val="179"/>
            </w:pPr>
            <w:r>
              <w:rPr>
                <w:rFonts w:hint="eastAsia"/>
              </w:rPr>
              <w:t>设置</w:t>
            </w:r>
          </w:p>
        </w:tc>
        <w:tc>
          <w:tcPr>
            <w:tcW w:w="1867" w:type="dxa"/>
            <w:shd w:val="clear" w:color="auto" w:fill="auto"/>
            <w:vAlign w:val="center"/>
          </w:tcPr>
          <w:p w14:paraId="0F21BAA0">
            <w:pPr>
              <w:pStyle w:val="179"/>
            </w:pPr>
            <w:r>
              <w:rPr>
                <w:rFonts w:hint="eastAsia"/>
              </w:rPr>
              <w:t>设置</w:t>
            </w:r>
          </w:p>
        </w:tc>
        <w:tc>
          <w:tcPr>
            <w:tcW w:w="1867" w:type="dxa"/>
            <w:shd w:val="clear" w:color="auto" w:fill="auto"/>
            <w:vAlign w:val="center"/>
          </w:tcPr>
          <w:p w14:paraId="1C0152B6">
            <w:pPr>
              <w:pStyle w:val="179"/>
            </w:pPr>
            <w:r>
              <w:rPr>
                <w:rFonts w:hint="eastAsia"/>
              </w:rPr>
              <w:t>—</w:t>
            </w:r>
          </w:p>
        </w:tc>
      </w:tr>
      <w:tr w14:paraId="44482A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0CCDA8E9">
            <w:pPr>
              <w:pStyle w:val="179"/>
            </w:pPr>
            <w:r>
              <w:rPr>
                <w:rFonts w:hint="eastAsia"/>
              </w:rPr>
              <w:t>交通区域控制单元</w:t>
            </w:r>
          </w:p>
        </w:tc>
        <w:tc>
          <w:tcPr>
            <w:tcW w:w="1867" w:type="dxa"/>
            <w:shd w:val="clear" w:color="auto" w:fill="auto"/>
            <w:vAlign w:val="center"/>
          </w:tcPr>
          <w:p w14:paraId="48D5AD50">
            <w:pPr>
              <w:pStyle w:val="179"/>
            </w:pPr>
            <w:r>
              <w:rPr>
                <w:rFonts w:hint="eastAsia"/>
              </w:rPr>
              <w:t>设置</w:t>
            </w:r>
          </w:p>
        </w:tc>
        <w:tc>
          <w:tcPr>
            <w:tcW w:w="1867" w:type="dxa"/>
            <w:shd w:val="clear" w:color="auto" w:fill="auto"/>
            <w:vAlign w:val="center"/>
          </w:tcPr>
          <w:p w14:paraId="4866B885">
            <w:pPr>
              <w:pStyle w:val="179"/>
            </w:pPr>
            <w:r>
              <w:rPr>
                <w:rFonts w:hint="eastAsia"/>
              </w:rPr>
              <w:t>—</w:t>
            </w:r>
          </w:p>
        </w:tc>
        <w:tc>
          <w:tcPr>
            <w:tcW w:w="1867" w:type="dxa"/>
            <w:shd w:val="clear" w:color="auto" w:fill="auto"/>
            <w:vAlign w:val="center"/>
          </w:tcPr>
          <w:p w14:paraId="27C193B8">
            <w:pPr>
              <w:pStyle w:val="179"/>
            </w:pPr>
            <w:r>
              <w:rPr>
                <w:rFonts w:hint="eastAsia"/>
              </w:rPr>
              <w:t>—</w:t>
            </w:r>
          </w:p>
        </w:tc>
        <w:tc>
          <w:tcPr>
            <w:tcW w:w="1867" w:type="dxa"/>
            <w:shd w:val="clear" w:color="auto" w:fill="auto"/>
            <w:vAlign w:val="center"/>
          </w:tcPr>
          <w:p w14:paraId="484CC5AC">
            <w:pPr>
              <w:pStyle w:val="179"/>
            </w:pPr>
            <w:r>
              <w:rPr>
                <w:rFonts w:hint="eastAsia"/>
              </w:rPr>
              <w:t>—</w:t>
            </w:r>
          </w:p>
        </w:tc>
      </w:tr>
      <w:tr w14:paraId="07A01B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1F909AB9">
            <w:pPr>
              <w:pStyle w:val="179"/>
            </w:pPr>
            <w:r>
              <w:rPr>
                <w:rFonts w:hint="eastAsia"/>
              </w:rPr>
              <w:t>紧急电话</w:t>
            </w:r>
          </w:p>
        </w:tc>
        <w:tc>
          <w:tcPr>
            <w:tcW w:w="1867" w:type="dxa"/>
            <w:shd w:val="clear" w:color="auto" w:fill="auto"/>
            <w:vAlign w:val="center"/>
          </w:tcPr>
          <w:p w14:paraId="098C801B">
            <w:pPr>
              <w:pStyle w:val="179"/>
            </w:pPr>
            <w:r>
              <w:rPr>
                <w:rFonts w:hint="eastAsia"/>
              </w:rPr>
              <w:t>设置</w:t>
            </w:r>
          </w:p>
        </w:tc>
        <w:tc>
          <w:tcPr>
            <w:tcW w:w="1867" w:type="dxa"/>
            <w:shd w:val="clear" w:color="auto" w:fill="auto"/>
            <w:vAlign w:val="center"/>
          </w:tcPr>
          <w:p w14:paraId="6E1B3790">
            <w:pPr>
              <w:pStyle w:val="179"/>
            </w:pPr>
            <w:r>
              <w:rPr>
                <w:rFonts w:hint="eastAsia"/>
              </w:rPr>
              <w:t>设置</w:t>
            </w:r>
          </w:p>
        </w:tc>
        <w:tc>
          <w:tcPr>
            <w:tcW w:w="1867" w:type="dxa"/>
            <w:shd w:val="clear" w:color="auto" w:fill="auto"/>
            <w:vAlign w:val="center"/>
          </w:tcPr>
          <w:p w14:paraId="252F9284">
            <w:pPr>
              <w:pStyle w:val="179"/>
            </w:pPr>
            <w:r>
              <w:rPr>
                <w:rFonts w:hint="eastAsia"/>
              </w:rPr>
              <w:t>—</w:t>
            </w:r>
          </w:p>
        </w:tc>
        <w:tc>
          <w:tcPr>
            <w:tcW w:w="1867" w:type="dxa"/>
            <w:shd w:val="clear" w:color="auto" w:fill="auto"/>
            <w:vAlign w:val="center"/>
          </w:tcPr>
          <w:p w14:paraId="2D148787">
            <w:pPr>
              <w:pStyle w:val="179"/>
            </w:pPr>
            <w:r>
              <w:rPr>
                <w:rFonts w:hint="eastAsia"/>
              </w:rPr>
              <w:t>—</w:t>
            </w:r>
          </w:p>
        </w:tc>
      </w:tr>
      <w:tr w14:paraId="6C82FB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24391B2E">
            <w:pPr>
              <w:pStyle w:val="179"/>
            </w:pPr>
            <w:r>
              <w:rPr>
                <w:rFonts w:hint="eastAsia"/>
              </w:rPr>
              <w:t>隧道广播</w:t>
            </w:r>
          </w:p>
        </w:tc>
        <w:tc>
          <w:tcPr>
            <w:tcW w:w="1867" w:type="dxa"/>
            <w:shd w:val="clear" w:color="auto" w:fill="auto"/>
            <w:vAlign w:val="center"/>
          </w:tcPr>
          <w:p w14:paraId="3DD48C6D">
            <w:pPr>
              <w:pStyle w:val="179"/>
            </w:pPr>
            <w:r>
              <w:rPr>
                <w:rFonts w:hint="eastAsia"/>
              </w:rPr>
              <w:t>设置</w:t>
            </w:r>
          </w:p>
        </w:tc>
        <w:tc>
          <w:tcPr>
            <w:tcW w:w="1867" w:type="dxa"/>
            <w:shd w:val="clear" w:color="auto" w:fill="auto"/>
            <w:vAlign w:val="center"/>
          </w:tcPr>
          <w:p w14:paraId="1E1C0DD6">
            <w:pPr>
              <w:pStyle w:val="179"/>
            </w:pPr>
            <w:r>
              <w:rPr>
                <w:rFonts w:hint="eastAsia"/>
              </w:rPr>
              <w:t>设置</w:t>
            </w:r>
          </w:p>
        </w:tc>
        <w:tc>
          <w:tcPr>
            <w:tcW w:w="1867" w:type="dxa"/>
            <w:shd w:val="clear" w:color="auto" w:fill="auto"/>
            <w:vAlign w:val="center"/>
          </w:tcPr>
          <w:p w14:paraId="354B9539">
            <w:pPr>
              <w:pStyle w:val="179"/>
            </w:pPr>
            <w:r>
              <w:rPr>
                <w:rFonts w:hint="eastAsia"/>
              </w:rPr>
              <w:t>—</w:t>
            </w:r>
          </w:p>
        </w:tc>
        <w:tc>
          <w:tcPr>
            <w:tcW w:w="1867" w:type="dxa"/>
            <w:shd w:val="clear" w:color="auto" w:fill="auto"/>
            <w:vAlign w:val="center"/>
          </w:tcPr>
          <w:p w14:paraId="2FA87450">
            <w:pPr>
              <w:pStyle w:val="179"/>
            </w:pPr>
            <w:r>
              <w:rPr>
                <w:rFonts w:hint="eastAsia"/>
              </w:rPr>
              <w:t>—</w:t>
            </w:r>
          </w:p>
        </w:tc>
      </w:tr>
      <w:tr w14:paraId="003509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6CEA4D69">
            <w:pPr>
              <w:pStyle w:val="179"/>
            </w:pPr>
            <w:r>
              <w:rPr>
                <w:rFonts w:hint="eastAsia"/>
              </w:rPr>
              <w:t>火灾探测器</w:t>
            </w:r>
          </w:p>
        </w:tc>
        <w:tc>
          <w:tcPr>
            <w:tcW w:w="1867" w:type="dxa"/>
            <w:shd w:val="clear" w:color="auto" w:fill="auto"/>
            <w:vAlign w:val="center"/>
          </w:tcPr>
          <w:p w14:paraId="73A8A3D0">
            <w:pPr>
              <w:pStyle w:val="179"/>
            </w:pPr>
            <w:r>
              <w:rPr>
                <w:rFonts w:hint="eastAsia"/>
              </w:rPr>
              <w:t>设置</w:t>
            </w:r>
          </w:p>
        </w:tc>
        <w:tc>
          <w:tcPr>
            <w:tcW w:w="1867" w:type="dxa"/>
            <w:shd w:val="clear" w:color="auto" w:fill="auto"/>
            <w:vAlign w:val="center"/>
          </w:tcPr>
          <w:p w14:paraId="27A14758">
            <w:pPr>
              <w:pStyle w:val="179"/>
            </w:pPr>
            <w:r>
              <w:rPr>
                <w:rFonts w:hint="eastAsia"/>
              </w:rPr>
              <w:t>设置</w:t>
            </w:r>
          </w:p>
        </w:tc>
        <w:tc>
          <w:tcPr>
            <w:tcW w:w="1867" w:type="dxa"/>
            <w:shd w:val="clear" w:color="auto" w:fill="auto"/>
            <w:vAlign w:val="center"/>
          </w:tcPr>
          <w:p w14:paraId="713ABA48">
            <w:pPr>
              <w:pStyle w:val="179"/>
            </w:pPr>
            <w:r>
              <w:rPr>
                <w:rFonts w:hint="eastAsia"/>
              </w:rPr>
              <w:t>—</w:t>
            </w:r>
          </w:p>
        </w:tc>
        <w:tc>
          <w:tcPr>
            <w:tcW w:w="1867" w:type="dxa"/>
            <w:shd w:val="clear" w:color="auto" w:fill="auto"/>
            <w:vAlign w:val="center"/>
          </w:tcPr>
          <w:p w14:paraId="750948A6">
            <w:pPr>
              <w:pStyle w:val="179"/>
            </w:pPr>
            <w:r>
              <w:rPr>
                <w:rFonts w:hint="eastAsia"/>
              </w:rPr>
              <w:t>—</w:t>
            </w:r>
          </w:p>
        </w:tc>
      </w:tr>
      <w:tr w14:paraId="70A898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shd w:val="clear" w:color="auto" w:fill="auto"/>
            <w:vAlign w:val="center"/>
          </w:tcPr>
          <w:p w14:paraId="3E89E8B4">
            <w:pPr>
              <w:pStyle w:val="179"/>
            </w:pPr>
            <w:r>
              <w:rPr>
                <w:rFonts w:hint="eastAsia"/>
              </w:rPr>
              <w:t>手动报警按钮</w:t>
            </w:r>
          </w:p>
        </w:tc>
        <w:tc>
          <w:tcPr>
            <w:tcW w:w="1867" w:type="dxa"/>
            <w:shd w:val="clear" w:color="auto" w:fill="auto"/>
            <w:vAlign w:val="center"/>
          </w:tcPr>
          <w:p w14:paraId="4BB12485">
            <w:pPr>
              <w:pStyle w:val="179"/>
            </w:pPr>
            <w:r>
              <w:rPr>
                <w:rFonts w:hint="eastAsia"/>
              </w:rPr>
              <w:t>设置</w:t>
            </w:r>
          </w:p>
        </w:tc>
        <w:tc>
          <w:tcPr>
            <w:tcW w:w="1867" w:type="dxa"/>
            <w:shd w:val="clear" w:color="auto" w:fill="auto"/>
            <w:vAlign w:val="center"/>
          </w:tcPr>
          <w:p w14:paraId="65D2E811">
            <w:pPr>
              <w:pStyle w:val="179"/>
            </w:pPr>
            <w:r>
              <w:rPr>
                <w:rFonts w:hint="eastAsia"/>
              </w:rPr>
              <w:t>设置</w:t>
            </w:r>
          </w:p>
        </w:tc>
        <w:tc>
          <w:tcPr>
            <w:tcW w:w="1867" w:type="dxa"/>
            <w:shd w:val="clear" w:color="auto" w:fill="auto"/>
            <w:vAlign w:val="center"/>
          </w:tcPr>
          <w:p w14:paraId="671DC7A3">
            <w:pPr>
              <w:pStyle w:val="179"/>
            </w:pPr>
            <w:r>
              <w:rPr>
                <w:rFonts w:hint="eastAsia"/>
              </w:rPr>
              <w:t>—</w:t>
            </w:r>
          </w:p>
        </w:tc>
        <w:tc>
          <w:tcPr>
            <w:tcW w:w="1867" w:type="dxa"/>
            <w:shd w:val="clear" w:color="auto" w:fill="auto"/>
            <w:vAlign w:val="center"/>
          </w:tcPr>
          <w:p w14:paraId="7C80B4E4">
            <w:pPr>
              <w:pStyle w:val="179"/>
            </w:pPr>
            <w:r>
              <w:rPr>
                <w:rFonts w:hint="eastAsia"/>
              </w:rPr>
              <w:t>—</w:t>
            </w:r>
          </w:p>
        </w:tc>
      </w:tr>
    </w:tbl>
    <w:p w14:paraId="4D9D39B4">
      <w:pPr>
        <w:pStyle w:val="166"/>
      </w:pPr>
      <w:r>
        <w:rPr>
          <w:rFonts w:hint="eastAsia"/>
        </w:rPr>
        <w:t>现场监控为</w:t>
      </w:r>
      <w:r>
        <w:t>A+</w:t>
      </w:r>
      <w:r>
        <w:rPr>
          <w:rFonts w:hint="eastAsia"/>
        </w:rPr>
        <w:t>/</w:t>
      </w:r>
      <w:r>
        <w:t>A</w:t>
      </w:r>
      <w:r>
        <w:rPr>
          <w:rFonts w:hint="eastAsia"/>
        </w:rPr>
        <w:t>级的隧道，洞口可变信息标志宜采用门架式</w:t>
      </w:r>
      <w:r>
        <w:t>，B</w:t>
      </w:r>
      <w:r>
        <w:rPr>
          <w:rFonts w:hint="eastAsia"/>
        </w:rPr>
        <w:t>级隧道宜采用悬臂式；长度小于3km的隧道可不设置洞内可变信息标志。</w:t>
      </w:r>
    </w:p>
    <w:p w14:paraId="23BB8C0E">
      <w:pPr>
        <w:pStyle w:val="166"/>
      </w:pPr>
      <w:r>
        <w:rPr>
          <w:rFonts w:hint="eastAsia"/>
        </w:rPr>
        <w:t>特长隧道可不设置冗余的火灾探测与报警系统，宜选用经济性更好的光纤型火灾探测系统。</w:t>
      </w:r>
    </w:p>
    <w:p w14:paraId="6CF8AA82">
      <w:pPr>
        <w:pStyle w:val="166"/>
      </w:pPr>
      <w:r>
        <w:rPr>
          <w:rFonts w:hint="eastAsia"/>
        </w:rPr>
        <w:t>隧道机电供配电设施宜符合以下规定。</w:t>
      </w:r>
    </w:p>
    <w:p w14:paraId="1AB22AA0">
      <w:pPr>
        <w:pStyle w:val="175"/>
        <w:numPr>
          <w:ilvl w:val="0"/>
          <w:numId w:val="58"/>
        </w:numPr>
      </w:pPr>
      <w:r>
        <w:rPr>
          <w:rFonts w:hint="eastAsia"/>
        </w:rPr>
        <w:t>射流风机宜采用直接启动方式。</w:t>
      </w:r>
    </w:p>
    <w:p w14:paraId="4019F718">
      <w:pPr>
        <w:pStyle w:val="175"/>
      </w:pPr>
      <w:r>
        <w:rPr>
          <w:rFonts w:hint="eastAsia"/>
        </w:rPr>
        <w:t>隧道供电电缆宜采用普通的阻燃或耐火Y</w:t>
      </w:r>
      <w:r>
        <w:t>JV</w:t>
      </w:r>
      <w:r>
        <w:rPr>
          <w:rFonts w:hint="eastAsia"/>
        </w:rPr>
        <w:t>电缆。</w:t>
      </w:r>
    </w:p>
    <w:p w14:paraId="3F292BAF">
      <w:pPr>
        <w:pStyle w:val="175"/>
      </w:pPr>
      <w:r>
        <w:rPr>
          <w:rFonts w:hint="eastAsia"/>
        </w:rPr>
        <w:t>隧道供电线路末端压降宜按-</w:t>
      </w:r>
      <w:r>
        <w:t>8%</w:t>
      </w:r>
      <w:r>
        <w:rPr>
          <w:rFonts w:hint="eastAsia"/>
        </w:rPr>
        <w:t>控制。</w:t>
      </w:r>
    </w:p>
    <w:p w14:paraId="297DBBDB">
      <w:pPr>
        <w:pStyle w:val="166"/>
      </w:pPr>
      <w:bookmarkStart w:id="240" w:name="_Hlk168510681"/>
      <w:r>
        <w:rPr>
          <w:rFonts w:hint="eastAsia"/>
        </w:rPr>
        <w:t>对于</w:t>
      </w:r>
      <w:r>
        <w:t>日照较为强烈地区，</w:t>
      </w:r>
      <w:r>
        <w:rPr>
          <w:rFonts w:hint="eastAsia"/>
        </w:rPr>
        <w:t>宜</w:t>
      </w:r>
      <w:r>
        <w:t>在隧道</w:t>
      </w:r>
      <w:r>
        <w:rPr>
          <w:rFonts w:hint="eastAsia"/>
        </w:rPr>
        <w:t>进出</w:t>
      </w:r>
      <w:r>
        <w:t>口设置遮光</w:t>
      </w:r>
      <w:r>
        <w:rPr>
          <w:rFonts w:hint="eastAsia"/>
        </w:rPr>
        <w:t>、</w:t>
      </w:r>
      <w:r>
        <w:t>减光设施，以降低洞内外亮度差，缓解“黑洞”效应”</w:t>
      </w:r>
      <w:r>
        <w:rPr>
          <w:rFonts w:hint="eastAsia"/>
        </w:rPr>
        <w:t>。</w:t>
      </w:r>
    </w:p>
    <w:p w14:paraId="579C8DE2">
      <w:pPr>
        <w:pStyle w:val="166"/>
      </w:pPr>
      <w:r>
        <w:t>高低压电器、变压器、柴油发电机等变配电设备选型应考虑海拔因素引起的降容，爬电距离增大等因素；高原低温环境下柴油发电机应有自启动的保证措施。</w:t>
      </w:r>
    </w:p>
    <w:p w14:paraId="2BFC0253">
      <w:pPr>
        <w:pStyle w:val="166"/>
      </w:pPr>
      <w:r>
        <w:t>PLC等隧道机电设施设备应考虑适应低温相应气象环境，必要时机箱机柜内可配置电加热设备，以保障设备正常运行。</w:t>
      </w:r>
    </w:p>
    <w:bookmarkEnd w:id="240"/>
    <w:p w14:paraId="7DF20137">
      <w:pPr>
        <w:pStyle w:val="105"/>
        <w:spacing w:before="312" w:after="312"/>
      </w:pPr>
      <w:bookmarkStart w:id="241" w:name="_Toc26565"/>
      <w:r>
        <w:rPr>
          <w:rFonts w:hint="eastAsia"/>
        </w:rPr>
        <w:t>路线交叉</w:t>
      </w:r>
      <w:bookmarkEnd w:id="241"/>
    </w:p>
    <w:p w14:paraId="48259DBB">
      <w:pPr>
        <w:pStyle w:val="106"/>
        <w:spacing w:before="156" w:after="156"/>
      </w:pPr>
      <w:bookmarkStart w:id="242" w:name="_Toc124697448"/>
      <w:bookmarkStart w:id="243" w:name="_Toc121125649"/>
      <w:bookmarkStart w:id="244" w:name="_Toc27934"/>
      <w:r>
        <w:rPr>
          <w:rStyle w:val="231"/>
          <w:rFonts w:hint="eastAsia"/>
          <w:color w:val="000000"/>
          <w:sz w:val="21"/>
          <w:szCs w:val="44"/>
        </w:rPr>
        <w:t>一般规定</w:t>
      </w:r>
      <w:bookmarkEnd w:id="242"/>
      <w:bookmarkEnd w:id="243"/>
      <w:bookmarkEnd w:id="244"/>
    </w:p>
    <w:p w14:paraId="6620E76C">
      <w:pPr>
        <w:pStyle w:val="166"/>
      </w:pPr>
      <w:r>
        <w:rPr>
          <w:rFonts w:hint="eastAsia"/>
        </w:rPr>
        <w:t>路线交叉应满足功能、安全和环境保护要求，设计应综合考虑社会条件、交通条件、自然条件、用地和全寿命周期成本等因素。</w:t>
      </w:r>
    </w:p>
    <w:p w14:paraId="175B07EF">
      <w:pPr>
        <w:pStyle w:val="166"/>
      </w:pPr>
      <w:r>
        <w:rPr>
          <w:rFonts w:hint="eastAsia"/>
        </w:rPr>
        <w:t>立体交叉应在保证路网和交叉公路功能的前提下满足节点的交通转换功能。</w:t>
      </w:r>
    </w:p>
    <w:p w14:paraId="1A4C0C4E">
      <w:pPr>
        <w:pStyle w:val="166"/>
      </w:pPr>
      <w:r>
        <w:rPr>
          <w:rFonts w:hint="eastAsia"/>
        </w:rPr>
        <w:t>互通式立体交叉应纳入路线总体设计，并应全面分析路网结构，明确主线、被交叉公路节点的功能定位，综合项目区域工点地形、地物、地质病害等建设条件，路线方案和立交方案应有机结合和统筹考虑，达到总体最优设计。</w:t>
      </w:r>
    </w:p>
    <w:p w14:paraId="7280D3D1">
      <w:pPr>
        <w:pStyle w:val="180"/>
      </w:pPr>
      <w:r>
        <w:t>高原山区地势陡峻，场地狭小，地形、地质及水文、气候条件均十分复杂。相较平原区的互通式立体交叉,山区互通式立体交叉有主线指标较低、长纵坡路段</w:t>
      </w:r>
      <w:r>
        <w:rPr>
          <w:sz w:val="22"/>
        </w:rPr>
        <w:t>和</w:t>
      </w:r>
      <w:r>
        <w:t>高填深挖路基段较多</w:t>
      </w:r>
      <w:r>
        <w:rPr>
          <w:sz w:val="22"/>
        </w:rPr>
        <w:t>、</w:t>
      </w:r>
      <w:r>
        <w:t>桥隧结构物布设密集、地面高差及连接线工程规模大等特点，互通式立体交叉选址和选型更显复杂，统筹将立交选址及连接线工程规模纳入路线方案综合比选论证，以达到总体最优设计的目的，作出上述规定。</w:t>
      </w:r>
    </w:p>
    <w:p w14:paraId="534ADDB4">
      <w:pPr>
        <w:pStyle w:val="106"/>
        <w:spacing w:before="156" w:after="156"/>
        <w:rPr>
          <w:rStyle w:val="231"/>
          <w:rFonts w:hint="eastAsia"/>
          <w:color w:val="000000"/>
          <w:sz w:val="21"/>
          <w:szCs w:val="44"/>
        </w:rPr>
      </w:pPr>
      <w:bookmarkStart w:id="245" w:name="_Toc121125650"/>
      <w:bookmarkStart w:id="246" w:name="_Toc124697449"/>
      <w:bookmarkStart w:id="247" w:name="_Toc32115"/>
      <w:r>
        <w:rPr>
          <w:rStyle w:val="231"/>
          <w:rFonts w:hint="eastAsia"/>
          <w:color w:val="000000"/>
          <w:sz w:val="21"/>
          <w:szCs w:val="44"/>
        </w:rPr>
        <w:t>互通式</w:t>
      </w:r>
      <w:bookmarkEnd w:id="245"/>
      <w:bookmarkEnd w:id="246"/>
      <w:r>
        <w:rPr>
          <w:rStyle w:val="231"/>
          <w:rFonts w:hint="eastAsia"/>
          <w:color w:val="000000"/>
          <w:sz w:val="21"/>
          <w:szCs w:val="44"/>
        </w:rPr>
        <w:t>立体交叉</w:t>
      </w:r>
      <w:bookmarkEnd w:id="247"/>
    </w:p>
    <w:p w14:paraId="7A282811">
      <w:pPr>
        <w:pStyle w:val="166"/>
      </w:pPr>
      <w:r>
        <w:rPr>
          <w:rFonts w:hint="eastAsia"/>
        </w:rPr>
        <w:t>互通式立体交叉设置应符合下列规定。</w:t>
      </w:r>
    </w:p>
    <w:p w14:paraId="719600AB">
      <w:pPr>
        <w:pStyle w:val="175"/>
        <w:numPr>
          <w:ilvl w:val="0"/>
          <w:numId w:val="59"/>
        </w:numPr>
      </w:pPr>
      <w:r>
        <w:rPr>
          <w:rFonts w:hint="eastAsia"/>
        </w:rPr>
        <w:t>高速公路与高速公路相交时，应采用枢纽互通式立体交叉。</w:t>
      </w:r>
    </w:p>
    <w:p w14:paraId="22A4A0ED">
      <w:pPr>
        <w:pStyle w:val="175"/>
      </w:pPr>
      <w:r>
        <w:rPr>
          <w:rFonts w:hint="eastAsia"/>
        </w:rPr>
        <w:t>高速公路与其他公路相交时，应采用一般互通式立体交叉。</w:t>
      </w:r>
    </w:p>
    <w:p w14:paraId="20BE60DE">
      <w:pPr>
        <w:pStyle w:val="166"/>
      </w:pPr>
      <w:r>
        <w:rPr>
          <w:rFonts w:hint="eastAsia"/>
        </w:rPr>
        <w:t>一般互通式立体交叉间距应符合下列规定。</w:t>
      </w:r>
    </w:p>
    <w:p w14:paraId="4296E40A">
      <w:pPr>
        <w:pStyle w:val="175"/>
        <w:numPr>
          <w:ilvl w:val="0"/>
          <w:numId w:val="60"/>
        </w:numPr>
      </w:pPr>
      <w:r>
        <w:rPr>
          <w:rFonts w:hint="eastAsia"/>
        </w:rPr>
        <w:t>相邻互通式立体交叉的间距不宜小于10</w:t>
      </w:r>
      <w:r>
        <w:t>km</w:t>
      </w:r>
      <w:r>
        <w:rPr>
          <w:rFonts w:hint="eastAsia"/>
        </w:rPr>
        <w:t>。</w:t>
      </w:r>
    </w:p>
    <w:p w14:paraId="31B720BC">
      <w:pPr>
        <w:pStyle w:val="175"/>
      </w:pPr>
      <w:r>
        <w:rPr>
          <w:rFonts w:hint="eastAsia"/>
        </w:rPr>
        <w:t>相邻互通式立体交叉的最大间距不宜大于4</w:t>
      </w:r>
      <w:r>
        <w:t>0km</w:t>
      </w:r>
      <w:r>
        <w:rPr>
          <w:rFonts w:hint="eastAsia"/>
        </w:rPr>
        <w:t>。</w:t>
      </w:r>
    </w:p>
    <w:p w14:paraId="596FA29D">
      <w:pPr>
        <w:pStyle w:val="175"/>
      </w:pPr>
      <w:r>
        <w:rPr>
          <w:rFonts w:hint="eastAsia"/>
        </w:rPr>
        <w:t>在人烟稀少和互通式立体交叉设置困难地区，其间距可适当加大，同时宜在适当位置设置</w:t>
      </w:r>
      <w:r>
        <w:t>"U</w:t>
      </w:r>
      <w:r>
        <w:rPr>
          <w:rFonts w:hint="eastAsia"/>
        </w:rPr>
        <w:t>形转弯</w:t>
      </w:r>
      <w:r>
        <w:t>"</w:t>
      </w:r>
      <w:r>
        <w:rPr>
          <w:rFonts w:hint="eastAsia"/>
        </w:rPr>
        <w:t>设施。</w:t>
      </w:r>
    </w:p>
    <w:p w14:paraId="2ABE4477">
      <w:pPr>
        <w:pStyle w:val="175"/>
      </w:pPr>
      <w:r>
        <w:rPr>
          <w:rFonts w:hint="eastAsia"/>
        </w:rPr>
        <w:t>互通式立体交叉与服务区、隧道等其他重要设施之间的距离应能满足设置出口预告标志的需要。条件受限时，宜优先采用半互通立体交叉+U形转弯立体交叉方案，或选用分开设置的两个半菱形互通式立交方案。</w:t>
      </w:r>
    </w:p>
    <w:p w14:paraId="6055647E">
      <w:pPr>
        <w:pStyle w:val="175"/>
      </w:pPr>
      <w:r>
        <w:rPr>
          <w:rFonts w:hint="eastAsia"/>
        </w:rPr>
        <w:t>互通式立体交叉与服务区(或隧道)合并设置时，应进行技术经济论证和安全性评价。</w:t>
      </w:r>
    </w:p>
    <w:p w14:paraId="46FD18C1">
      <w:pPr>
        <w:pStyle w:val="166"/>
      </w:pPr>
      <w:r>
        <w:rPr>
          <w:rFonts w:hint="eastAsia"/>
        </w:rPr>
        <w:t>互通式立体交叉范围内主线线形指标应符合表</w:t>
      </w:r>
      <w:r>
        <w:t>20</w:t>
      </w:r>
      <w:r>
        <w:rPr>
          <w:rFonts w:hint="eastAsia"/>
        </w:rPr>
        <w:t>的规定。</w:t>
      </w:r>
    </w:p>
    <w:p w14:paraId="05EDDE04">
      <w:pPr>
        <w:pStyle w:val="113"/>
        <w:spacing w:before="156" w:after="156"/>
      </w:pPr>
      <w:r>
        <w:rPr>
          <w:rFonts w:hint="eastAsia"/>
        </w:rPr>
        <w:t>互通式立体交叉范围内主线线形指标</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56"/>
        <w:gridCol w:w="1556"/>
        <w:gridCol w:w="1555"/>
        <w:gridCol w:w="1555"/>
        <w:gridCol w:w="1556"/>
        <w:gridCol w:w="1556"/>
      </w:tblGrid>
      <w:tr w14:paraId="495DAF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2" w:type="dxa"/>
            <w:gridSpan w:val="2"/>
            <w:tcBorders>
              <w:top w:val="single" w:color="auto" w:sz="8" w:space="0"/>
              <w:bottom w:val="single" w:color="auto" w:sz="8" w:space="0"/>
            </w:tcBorders>
            <w:shd w:val="clear" w:color="auto" w:fill="auto"/>
            <w:vAlign w:val="center"/>
          </w:tcPr>
          <w:p w14:paraId="75D1230B">
            <w:pPr>
              <w:pStyle w:val="179"/>
            </w:pPr>
            <w:r>
              <w:rPr>
                <w:rFonts w:hint="eastAsia"/>
              </w:rPr>
              <w:t>设计速度</w:t>
            </w:r>
            <w:r>
              <w:t>（</w:t>
            </w:r>
            <w:r>
              <w:rPr>
                <w:rFonts w:hint="eastAsia"/>
              </w:rPr>
              <w:t>km/h</w:t>
            </w:r>
            <w:r>
              <w:t>）</w:t>
            </w:r>
          </w:p>
        </w:tc>
        <w:tc>
          <w:tcPr>
            <w:tcW w:w="1555" w:type="dxa"/>
            <w:tcBorders>
              <w:top w:val="single" w:color="auto" w:sz="8" w:space="0"/>
              <w:bottom w:val="single" w:color="auto" w:sz="8" w:space="0"/>
            </w:tcBorders>
            <w:shd w:val="clear" w:color="auto" w:fill="auto"/>
            <w:vAlign w:val="center"/>
          </w:tcPr>
          <w:p w14:paraId="733A4AC3">
            <w:pPr>
              <w:pStyle w:val="179"/>
            </w:pPr>
            <w:r>
              <w:rPr>
                <w:rFonts w:hint="eastAsia"/>
              </w:rPr>
              <w:t>120</w:t>
            </w:r>
          </w:p>
        </w:tc>
        <w:tc>
          <w:tcPr>
            <w:tcW w:w="1555" w:type="dxa"/>
            <w:tcBorders>
              <w:top w:val="single" w:color="auto" w:sz="8" w:space="0"/>
              <w:bottom w:val="single" w:color="auto" w:sz="8" w:space="0"/>
            </w:tcBorders>
            <w:shd w:val="clear" w:color="auto" w:fill="auto"/>
            <w:vAlign w:val="center"/>
          </w:tcPr>
          <w:p w14:paraId="1E531F17">
            <w:pPr>
              <w:pStyle w:val="179"/>
            </w:pPr>
            <w:r>
              <w:rPr>
                <w:rFonts w:hint="eastAsia"/>
              </w:rPr>
              <w:t>100</w:t>
            </w:r>
          </w:p>
        </w:tc>
        <w:tc>
          <w:tcPr>
            <w:tcW w:w="1556" w:type="dxa"/>
            <w:tcBorders>
              <w:top w:val="single" w:color="auto" w:sz="8" w:space="0"/>
              <w:bottom w:val="single" w:color="auto" w:sz="8" w:space="0"/>
            </w:tcBorders>
            <w:shd w:val="clear" w:color="auto" w:fill="auto"/>
            <w:vAlign w:val="center"/>
          </w:tcPr>
          <w:p w14:paraId="75DC7FC2">
            <w:pPr>
              <w:pStyle w:val="179"/>
            </w:pPr>
            <w:r>
              <w:rPr>
                <w:rFonts w:hint="eastAsia"/>
              </w:rPr>
              <w:t>80</w:t>
            </w:r>
          </w:p>
        </w:tc>
        <w:tc>
          <w:tcPr>
            <w:tcW w:w="1556" w:type="dxa"/>
            <w:tcBorders>
              <w:top w:val="single" w:color="auto" w:sz="8" w:space="0"/>
              <w:bottom w:val="single" w:color="auto" w:sz="8" w:space="0"/>
            </w:tcBorders>
            <w:shd w:val="clear" w:color="auto" w:fill="auto"/>
            <w:vAlign w:val="center"/>
          </w:tcPr>
          <w:p w14:paraId="271E1D7B">
            <w:pPr>
              <w:pStyle w:val="236"/>
              <w:spacing w:before="31" w:after="31"/>
            </w:pPr>
            <w:r>
              <w:rPr>
                <w:rFonts w:hint="eastAsia"/>
              </w:rPr>
              <w:t>60</w:t>
            </w:r>
          </w:p>
        </w:tc>
      </w:tr>
      <w:tr w14:paraId="039D66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tcBorders>
              <w:top w:val="single" w:color="auto" w:sz="8" w:space="0"/>
            </w:tcBorders>
            <w:shd w:val="clear" w:color="auto" w:fill="auto"/>
            <w:vAlign w:val="center"/>
          </w:tcPr>
          <w:p w14:paraId="515DD497">
            <w:pPr>
              <w:pStyle w:val="238"/>
              <w:rPr>
                <w:rFonts w:hint="eastAsia"/>
              </w:rPr>
            </w:pPr>
            <w:r>
              <w:rPr>
                <w:rFonts w:hint="eastAsia"/>
              </w:rPr>
              <w:t>最小圆曲线半径</w:t>
            </w:r>
          </w:p>
          <w:p w14:paraId="2A288DCF">
            <w:pPr>
              <w:pStyle w:val="236"/>
              <w:spacing w:before="31" w:after="31"/>
            </w:pPr>
            <w:r>
              <w:rPr>
                <w:rFonts w:hint="eastAsia"/>
              </w:rPr>
              <w:t>（m）</w:t>
            </w:r>
          </w:p>
        </w:tc>
        <w:tc>
          <w:tcPr>
            <w:tcW w:w="1556" w:type="dxa"/>
            <w:tcBorders>
              <w:top w:val="single" w:color="auto" w:sz="8" w:space="0"/>
            </w:tcBorders>
            <w:shd w:val="clear" w:color="auto" w:fill="auto"/>
            <w:vAlign w:val="center"/>
          </w:tcPr>
          <w:p w14:paraId="70D50681">
            <w:pPr>
              <w:pStyle w:val="179"/>
            </w:pPr>
            <w:r>
              <w:rPr>
                <w:rFonts w:hint="eastAsia"/>
              </w:rPr>
              <w:t>一般值</w:t>
            </w:r>
          </w:p>
        </w:tc>
        <w:tc>
          <w:tcPr>
            <w:tcW w:w="1555" w:type="dxa"/>
            <w:tcBorders>
              <w:top w:val="single" w:color="auto" w:sz="8" w:space="0"/>
            </w:tcBorders>
            <w:shd w:val="clear" w:color="auto" w:fill="auto"/>
            <w:vAlign w:val="center"/>
          </w:tcPr>
          <w:p w14:paraId="37676791">
            <w:pPr>
              <w:pStyle w:val="179"/>
            </w:pPr>
            <w:r>
              <w:rPr>
                <w:rFonts w:hint="eastAsia"/>
              </w:rPr>
              <w:t>1500</w:t>
            </w:r>
          </w:p>
        </w:tc>
        <w:tc>
          <w:tcPr>
            <w:tcW w:w="1555" w:type="dxa"/>
            <w:tcBorders>
              <w:top w:val="single" w:color="auto" w:sz="8" w:space="0"/>
            </w:tcBorders>
            <w:shd w:val="clear" w:color="auto" w:fill="auto"/>
            <w:vAlign w:val="center"/>
          </w:tcPr>
          <w:p w14:paraId="14FD0450">
            <w:pPr>
              <w:pStyle w:val="179"/>
            </w:pPr>
            <w:r>
              <w:rPr>
                <w:rFonts w:hint="eastAsia"/>
              </w:rPr>
              <w:t>1000</w:t>
            </w:r>
          </w:p>
        </w:tc>
        <w:tc>
          <w:tcPr>
            <w:tcW w:w="1556" w:type="dxa"/>
            <w:tcBorders>
              <w:top w:val="single" w:color="auto" w:sz="8" w:space="0"/>
            </w:tcBorders>
            <w:shd w:val="clear" w:color="auto" w:fill="auto"/>
            <w:vAlign w:val="center"/>
          </w:tcPr>
          <w:p w14:paraId="499B3459">
            <w:pPr>
              <w:pStyle w:val="179"/>
            </w:pPr>
            <w:r>
              <w:rPr>
                <w:rFonts w:hint="eastAsia"/>
              </w:rPr>
              <w:t>700</w:t>
            </w:r>
          </w:p>
        </w:tc>
        <w:tc>
          <w:tcPr>
            <w:tcW w:w="1556" w:type="dxa"/>
            <w:tcBorders>
              <w:top w:val="single" w:color="auto" w:sz="8" w:space="0"/>
            </w:tcBorders>
            <w:shd w:val="clear" w:color="auto" w:fill="auto"/>
            <w:vAlign w:val="center"/>
          </w:tcPr>
          <w:p w14:paraId="62341884">
            <w:pPr>
              <w:pStyle w:val="179"/>
            </w:pPr>
            <w:r>
              <w:rPr>
                <w:rFonts w:hint="eastAsia"/>
              </w:rPr>
              <w:t>500</w:t>
            </w:r>
          </w:p>
        </w:tc>
      </w:tr>
      <w:tr w14:paraId="7E28A4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4864DD14">
            <w:pPr>
              <w:pStyle w:val="236"/>
              <w:spacing w:before="31" w:after="31"/>
            </w:pPr>
          </w:p>
        </w:tc>
        <w:tc>
          <w:tcPr>
            <w:tcW w:w="1556" w:type="dxa"/>
            <w:shd w:val="clear" w:color="auto" w:fill="auto"/>
            <w:vAlign w:val="center"/>
          </w:tcPr>
          <w:p w14:paraId="60822C38">
            <w:pPr>
              <w:pStyle w:val="179"/>
            </w:pPr>
            <w:r>
              <w:t>极限值</w:t>
            </w:r>
          </w:p>
        </w:tc>
        <w:tc>
          <w:tcPr>
            <w:tcW w:w="1555" w:type="dxa"/>
            <w:shd w:val="clear" w:color="auto" w:fill="auto"/>
            <w:vAlign w:val="center"/>
          </w:tcPr>
          <w:p w14:paraId="7CE74605">
            <w:pPr>
              <w:pStyle w:val="179"/>
            </w:pPr>
            <w:r>
              <w:rPr>
                <w:rFonts w:hint="eastAsia"/>
              </w:rPr>
              <w:t>1200</w:t>
            </w:r>
          </w:p>
        </w:tc>
        <w:tc>
          <w:tcPr>
            <w:tcW w:w="1555" w:type="dxa"/>
            <w:shd w:val="clear" w:color="auto" w:fill="auto"/>
            <w:vAlign w:val="center"/>
          </w:tcPr>
          <w:p w14:paraId="4F761A50">
            <w:pPr>
              <w:pStyle w:val="179"/>
            </w:pPr>
            <w:r>
              <w:rPr>
                <w:rFonts w:hint="eastAsia"/>
              </w:rPr>
              <w:t>850</w:t>
            </w:r>
          </w:p>
        </w:tc>
        <w:tc>
          <w:tcPr>
            <w:tcW w:w="1556" w:type="dxa"/>
            <w:shd w:val="clear" w:color="auto" w:fill="auto"/>
            <w:vAlign w:val="center"/>
          </w:tcPr>
          <w:p w14:paraId="00DC4981">
            <w:pPr>
              <w:pStyle w:val="179"/>
            </w:pPr>
            <w:r>
              <w:rPr>
                <w:rFonts w:hint="eastAsia"/>
              </w:rPr>
              <w:t>600</w:t>
            </w:r>
          </w:p>
        </w:tc>
        <w:tc>
          <w:tcPr>
            <w:tcW w:w="1556" w:type="dxa"/>
            <w:shd w:val="clear" w:color="auto" w:fill="auto"/>
            <w:vAlign w:val="center"/>
          </w:tcPr>
          <w:p w14:paraId="1DFC968F">
            <w:pPr>
              <w:pStyle w:val="179"/>
            </w:pPr>
            <w:r>
              <w:rPr>
                <w:rFonts w:hint="eastAsia"/>
              </w:rPr>
              <w:t>350</w:t>
            </w:r>
          </w:p>
        </w:tc>
      </w:tr>
      <w:tr w14:paraId="39CA89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shd w:val="clear" w:color="auto" w:fill="auto"/>
            <w:vAlign w:val="center"/>
          </w:tcPr>
          <w:p w14:paraId="11336EDF">
            <w:pPr>
              <w:pStyle w:val="238"/>
              <w:rPr>
                <w:rFonts w:hint="eastAsia"/>
              </w:rPr>
            </w:pPr>
            <w:r>
              <w:rPr>
                <w:rFonts w:hint="eastAsia"/>
              </w:rPr>
              <w:t>最小凸形竖曲线半径</w:t>
            </w:r>
          </w:p>
          <w:p w14:paraId="7836AD3B">
            <w:pPr>
              <w:pStyle w:val="236"/>
              <w:spacing w:before="31" w:after="31"/>
            </w:pPr>
            <w:r>
              <w:rPr>
                <w:rFonts w:hint="eastAsia"/>
              </w:rPr>
              <w:t>（m）</w:t>
            </w:r>
          </w:p>
        </w:tc>
        <w:tc>
          <w:tcPr>
            <w:tcW w:w="1556" w:type="dxa"/>
            <w:shd w:val="clear" w:color="auto" w:fill="auto"/>
            <w:vAlign w:val="center"/>
          </w:tcPr>
          <w:p w14:paraId="64A0BB6C">
            <w:pPr>
              <w:pStyle w:val="179"/>
            </w:pPr>
            <w:r>
              <w:rPr>
                <w:rFonts w:hint="eastAsia"/>
              </w:rPr>
              <w:t>一般值</w:t>
            </w:r>
          </w:p>
        </w:tc>
        <w:tc>
          <w:tcPr>
            <w:tcW w:w="1555" w:type="dxa"/>
            <w:shd w:val="clear" w:color="auto" w:fill="auto"/>
            <w:vAlign w:val="center"/>
          </w:tcPr>
          <w:p w14:paraId="05431C58">
            <w:pPr>
              <w:pStyle w:val="179"/>
            </w:pPr>
            <w:r>
              <w:rPr>
                <w:rFonts w:hint="eastAsia"/>
              </w:rPr>
              <w:t>45000</w:t>
            </w:r>
          </w:p>
        </w:tc>
        <w:tc>
          <w:tcPr>
            <w:tcW w:w="1555" w:type="dxa"/>
            <w:shd w:val="clear" w:color="auto" w:fill="auto"/>
            <w:vAlign w:val="center"/>
          </w:tcPr>
          <w:p w14:paraId="7AA303FA">
            <w:pPr>
              <w:pStyle w:val="179"/>
            </w:pPr>
            <w:r>
              <w:rPr>
                <w:rFonts w:hint="eastAsia"/>
              </w:rPr>
              <w:t>25000</w:t>
            </w:r>
          </w:p>
        </w:tc>
        <w:tc>
          <w:tcPr>
            <w:tcW w:w="1556" w:type="dxa"/>
            <w:shd w:val="clear" w:color="auto" w:fill="auto"/>
            <w:vAlign w:val="center"/>
          </w:tcPr>
          <w:p w14:paraId="5ADC8DDF">
            <w:pPr>
              <w:pStyle w:val="179"/>
            </w:pPr>
            <w:r>
              <w:rPr>
                <w:rFonts w:hint="eastAsia"/>
              </w:rPr>
              <w:t>12000</w:t>
            </w:r>
          </w:p>
        </w:tc>
        <w:tc>
          <w:tcPr>
            <w:tcW w:w="1556" w:type="dxa"/>
            <w:shd w:val="clear" w:color="auto" w:fill="auto"/>
            <w:vAlign w:val="center"/>
          </w:tcPr>
          <w:p w14:paraId="5A3B8E2F">
            <w:pPr>
              <w:pStyle w:val="179"/>
            </w:pPr>
            <w:r>
              <w:rPr>
                <w:rFonts w:hint="eastAsia"/>
              </w:rPr>
              <w:t>6000</w:t>
            </w:r>
          </w:p>
        </w:tc>
      </w:tr>
      <w:tr w14:paraId="458A8A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2A107B34">
            <w:pPr>
              <w:pStyle w:val="236"/>
              <w:spacing w:before="31" w:after="31"/>
            </w:pPr>
          </w:p>
        </w:tc>
        <w:tc>
          <w:tcPr>
            <w:tcW w:w="1556" w:type="dxa"/>
            <w:shd w:val="clear" w:color="auto" w:fill="auto"/>
            <w:vAlign w:val="center"/>
          </w:tcPr>
          <w:p w14:paraId="55534D0F">
            <w:pPr>
              <w:pStyle w:val="179"/>
            </w:pPr>
            <w:r>
              <w:rPr>
                <w:rFonts w:hint="eastAsia"/>
              </w:rPr>
              <w:t>极限值</w:t>
            </w:r>
          </w:p>
        </w:tc>
        <w:tc>
          <w:tcPr>
            <w:tcW w:w="1555" w:type="dxa"/>
            <w:shd w:val="clear" w:color="auto" w:fill="auto"/>
            <w:vAlign w:val="center"/>
          </w:tcPr>
          <w:p w14:paraId="77C02A1D">
            <w:pPr>
              <w:pStyle w:val="236"/>
              <w:spacing w:before="31" w:after="31"/>
              <w:rPr>
                <w:rFonts w:ascii="宋体" w:cs="Times New Roman"/>
                <w:b w:val="0"/>
                <w:kern w:val="0"/>
                <w:sz w:val="18"/>
                <w:szCs w:val="20"/>
                <w:lang w:val="en-US"/>
              </w:rPr>
            </w:pPr>
            <w:r>
              <w:rPr>
                <w:rFonts w:hint="eastAsia" w:ascii="宋体" w:cs="Times New Roman"/>
                <w:b w:val="0"/>
                <w:kern w:val="0"/>
                <w:sz w:val="18"/>
                <w:szCs w:val="20"/>
                <w:lang w:val="en-US"/>
              </w:rPr>
              <w:t>23000</w:t>
            </w:r>
          </w:p>
        </w:tc>
        <w:tc>
          <w:tcPr>
            <w:tcW w:w="1555" w:type="dxa"/>
            <w:shd w:val="clear" w:color="auto" w:fill="auto"/>
            <w:vAlign w:val="center"/>
          </w:tcPr>
          <w:p w14:paraId="221C896E">
            <w:pPr>
              <w:pStyle w:val="236"/>
              <w:spacing w:before="31" w:after="31"/>
              <w:rPr>
                <w:rFonts w:ascii="宋体" w:cs="Times New Roman"/>
                <w:b w:val="0"/>
                <w:kern w:val="0"/>
                <w:sz w:val="18"/>
                <w:szCs w:val="20"/>
                <w:lang w:val="en-US"/>
              </w:rPr>
            </w:pPr>
            <w:r>
              <w:rPr>
                <w:rFonts w:hint="eastAsia" w:ascii="宋体" w:cs="Times New Roman"/>
                <w:b w:val="0"/>
                <w:kern w:val="0"/>
                <w:sz w:val="18"/>
                <w:szCs w:val="20"/>
                <w:lang w:val="en-US"/>
              </w:rPr>
              <w:t>15000</w:t>
            </w:r>
          </w:p>
        </w:tc>
        <w:tc>
          <w:tcPr>
            <w:tcW w:w="1556" w:type="dxa"/>
            <w:shd w:val="clear" w:color="auto" w:fill="auto"/>
            <w:vAlign w:val="center"/>
          </w:tcPr>
          <w:p w14:paraId="3BD11435">
            <w:pPr>
              <w:pStyle w:val="236"/>
              <w:spacing w:before="31" w:after="31"/>
              <w:rPr>
                <w:rFonts w:ascii="宋体" w:cs="Times New Roman"/>
                <w:b w:val="0"/>
                <w:kern w:val="0"/>
                <w:sz w:val="18"/>
                <w:szCs w:val="20"/>
                <w:lang w:val="en-US"/>
              </w:rPr>
            </w:pPr>
            <w:r>
              <w:rPr>
                <w:rFonts w:hint="eastAsia" w:ascii="宋体" w:cs="Times New Roman"/>
                <w:b w:val="0"/>
                <w:kern w:val="0"/>
                <w:sz w:val="18"/>
                <w:szCs w:val="20"/>
                <w:lang w:val="en-US"/>
              </w:rPr>
              <w:t>6000</w:t>
            </w:r>
          </w:p>
        </w:tc>
        <w:tc>
          <w:tcPr>
            <w:tcW w:w="1556" w:type="dxa"/>
            <w:shd w:val="clear" w:color="auto" w:fill="auto"/>
            <w:vAlign w:val="center"/>
          </w:tcPr>
          <w:p w14:paraId="5F010786">
            <w:pPr>
              <w:pStyle w:val="236"/>
              <w:spacing w:before="31" w:after="31"/>
              <w:rPr>
                <w:rFonts w:ascii="宋体" w:cs="Times New Roman"/>
                <w:b w:val="0"/>
                <w:kern w:val="0"/>
                <w:sz w:val="18"/>
                <w:szCs w:val="20"/>
                <w:lang w:val="en-US"/>
              </w:rPr>
            </w:pPr>
            <w:r>
              <w:rPr>
                <w:rFonts w:hint="eastAsia" w:ascii="宋体" w:cs="Times New Roman"/>
                <w:b w:val="0"/>
                <w:kern w:val="0"/>
                <w:sz w:val="18"/>
                <w:szCs w:val="20"/>
                <w:lang w:val="en-US"/>
              </w:rPr>
              <w:t>3000</w:t>
            </w:r>
          </w:p>
        </w:tc>
      </w:tr>
      <w:tr w14:paraId="23C3B0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shd w:val="clear" w:color="auto" w:fill="auto"/>
            <w:vAlign w:val="center"/>
          </w:tcPr>
          <w:p w14:paraId="5FD1C6BC">
            <w:pPr>
              <w:pStyle w:val="238"/>
              <w:rPr>
                <w:rFonts w:hint="eastAsia"/>
              </w:rPr>
            </w:pPr>
            <w:r>
              <w:rPr>
                <w:rFonts w:hint="eastAsia"/>
              </w:rPr>
              <w:t>最小凹形竖曲线半径</w:t>
            </w:r>
          </w:p>
          <w:p w14:paraId="6EEE57C2">
            <w:pPr>
              <w:pStyle w:val="236"/>
              <w:spacing w:before="31" w:after="31"/>
            </w:pPr>
            <w:r>
              <w:rPr>
                <w:rFonts w:hint="eastAsia"/>
              </w:rPr>
              <w:t>（m）</w:t>
            </w:r>
          </w:p>
        </w:tc>
        <w:tc>
          <w:tcPr>
            <w:tcW w:w="1556" w:type="dxa"/>
            <w:shd w:val="clear" w:color="auto" w:fill="auto"/>
            <w:vAlign w:val="center"/>
          </w:tcPr>
          <w:p w14:paraId="48A9A297">
            <w:pPr>
              <w:pStyle w:val="179"/>
            </w:pPr>
            <w:r>
              <w:rPr>
                <w:rFonts w:hint="eastAsia"/>
              </w:rPr>
              <w:t>一般值</w:t>
            </w:r>
          </w:p>
        </w:tc>
        <w:tc>
          <w:tcPr>
            <w:tcW w:w="1555" w:type="dxa"/>
            <w:shd w:val="clear" w:color="auto" w:fill="auto"/>
            <w:vAlign w:val="center"/>
          </w:tcPr>
          <w:p w14:paraId="2ECF5119">
            <w:pPr>
              <w:pStyle w:val="179"/>
            </w:pPr>
            <w:r>
              <w:rPr>
                <w:rFonts w:hint="eastAsia"/>
              </w:rPr>
              <w:t>16000</w:t>
            </w:r>
          </w:p>
        </w:tc>
        <w:tc>
          <w:tcPr>
            <w:tcW w:w="1555" w:type="dxa"/>
            <w:shd w:val="clear" w:color="auto" w:fill="auto"/>
            <w:vAlign w:val="center"/>
          </w:tcPr>
          <w:p w14:paraId="6267088B">
            <w:pPr>
              <w:pStyle w:val="179"/>
            </w:pPr>
            <w:r>
              <w:rPr>
                <w:rFonts w:hint="eastAsia"/>
              </w:rPr>
              <w:t>12000</w:t>
            </w:r>
          </w:p>
        </w:tc>
        <w:tc>
          <w:tcPr>
            <w:tcW w:w="1556" w:type="dxa"/>
            <w:shd w:val="clear" w:color="auto" w:fill="auto"/>
            <w:vAlign w:val="center"/>
          </w:tcPr>
          <w:p w14:paraId="25BF9BE2">
            <w:pPr>
              <w:pStyle w:val="179"/>
            </w:pPr>
            <w:r>
              <w:rPr>
                <w:rFonts w:hint="eastAsia"/>
              </w:rPr>
              <w:t>8000</w:t>
            </w:r>
          </w:p>
        </w:tc>
        <w:tc>
          <w:tcPr>
            <w:tcW w:w="1556" w:type="dxa"/>
            <w:shd w:val="clear" w:color="auto" w:fill="auto"/>
            <w:vAlign w:val="center"/>
          </w:tcPr>
          <w:p w14:paraId="42CBE958">
            <w:pPr>
              <w:pStyle w:val="179"/>
            </w:pPr>
            <w:r>
              <w:rPr>
                <w:rFonts w:hint="eastAsia"/>
              </w:rPr>
              <w:t>4000</w:t>
            </w:r>
          </w:p>
        </w:tc>
      </w:tr>
      <w:tr w14:paraId="05EF51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254F8A49">
            <w:pPr>
              <w:pStyle w:val="179"/>
            </w:pPr>
          </w:p>
        </w:tc>
        <w:tc>
          <w:tcPr>
            <w:tcW w:w="1556" w:type="dxa"/>
            <w:shd w:val="clear" w:color="auto" w:fill="auto"/>
            <w:vAlign w:val="center"/>
          </w:tcPr>
          <w:p w14:paraId="7778E636">
            <w:pPr>
              <w:pStyle w:val="179"/>
            </w:pPr>
            <w:r>
              <w:t>极限值</w:t>
            </w:r>
          </w:p>
        </w:tc>
        <w:tc>
          <w:tcPr>
            <w:tcW w:w="1555" w:type="dxa"/>
            <w:shd w:val="clear" w:color="auto" w:fill="auto"/>
            <w:vAlign w:val="center"/>
          </w:tcPr>
          <w:p w14:paraId="7424A1B2">
            <w:pPr>
              <w:pStyle w:val="179"/>
            </w:pPr>
            <w:r>
              <w:rPr>
                <w:rFonts w:hint="eastAsia"/>
              </w:rPr>
              <w:t>12000</w:t>
            </w:r>
          </w:p>
        </w:tc>
        <w:tc>
          <w:tcPr>
            <w:tcW w:w="1555" w:type="dxa"/>
            <w:shd w:val="clear" w:color="auto" w:fill="auto"/>
            <w:vAlign w:val="center"/>
          </w:tcPr>
          <w:p w14:paraId="3C5C2213">
            <w:pPr>
              <w:pStyle w:val="179"/>
            </w:pPr>
            <w:r>
              <w:rPr>
                <w:rFonts w:hint="eastAsia"/>
              </w:rPr>
              <w:t>8000</w:t>
            </w:r>
          </w:p>
        </w:tc>
        <w:tc>
          <w:tcPr>
            <w:tcW w:w="1556" w:type="dxa"/>
            <w:shd w:val="clear" w:color="auto" w:fill="auto"/>
            <w:vAlign w:val="center"/>
          </w:tcPr>
          <w:p w14:paraId="359408D9">
            <w:pPr>
              <w:pStyle w:val="179"/>
            </w:pPr>
            <w:r>
              <w:rPr>
                <w:rFonts w:hint="eastAsia"/>
              </w:rPr>
              <w:t>4000</w:t>
            </w:r>
          </w:p>
        </w:tc>
        <w:tc>
          <w:tcPr>
            <w:tcW w:w="1556" w:type="dxa"/>
            <w:shd w:val="clear" w:color="auto" w:fill="auto"/>
            <w:vAlign w:val="center"/>
          </w:tcPr>
          <w:p w14:paraId="0B242D6C">
            <w:pPr>
              <w:pStyle w:val="179"/>
            </w:pPr>
            <w:r>
              <w:rPr>
                <w:rFonts w:hint="eastAsia"/>
              </w:rPr>
              <w:t>2000</w:t>
            </w:r>
          </w:p>
        </w:tc>
      </w:tr>
      <w:tr w14:paraId="5EFDD4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shd w:val="clear" w:color="auto" w:fill="auto"/>
            <w:vAlign w:val="center"/>
          </w:tcPr>
          <w:p w14:paraId="670A1A01">
            <w:pPr>
              <w:pStyle w:val="238"/>
              <w:rPr>
                <w:rFonts w:hint="eastAsia"/>
              </w:rPr>
            </w:pPr>
            <w:r>
              <w:rPr>
                <w:rFonts w:hint="eastAsia"/>
              </w:rPr>
              <w:t>最大纵坡</w:t>
            </w:r>
          </w:p>
          <w:p w14:paraId="491FA0C4">
            <w:pPr>
              <w:pStyle w:val="179"/>
            </w:pPr>
            <w:r>
              <w:rPr>
                <w:rFonts w:hint="eastAsia"/>
              </w:rPr>
              <w:t>（%）</w:t>
            </w:r>
          </w:p>
        </w:tc>
        <w:tc>
          <w:tcPr>
            <w:tcW w:w="1556" w:type="dxa"/>
            <w:shd w:val="clear" w:color="auto" w:fill="auto"/>
            <w:vAlign w:val="center"/>
          </w:tcPr>
          <w:p w14:paraId="5D6768A0">
            <w:pPr>
              <w:pStyle w:val="179"/>
            </w:pPr>
            <w:r>
              <w:rPr>
                <w:rFonts w:hint="eastAsia"/>
              </w:rPr>
              <w:t>一般值</w:t>
            </w:r>
          </w:p>
        </w:tc>
        <w:tc>
          <w:tcPr>
            <w:tcW w:w="1555" w:type="dxa"/>
            <w:shd w:val="clear" w:color="auto" w:fill="auto"/>
            <w:vAlign w:val="center"/>
          </w:tcPr>
          <w:p w14:paraId="6325B1C4">
            <w:pPr>
              <w:pStyle w:val="179"/>
            </w:pPr>
            <w:r>
              <w:rPr>
                <w:rFonts w:hint="eastAsia"/>
              </w:rPr>
              <w:t>2</w:t>
            </w:r>
          </w:p>
        </w:tc>
        <w:tc>
          <w:tcPr>
            <w:tcW w:w="1555" w:type="dxa"/>
            <w:shd w:val="clear" w:color="auto" w:fill="auto"/>
            <w:vAlign w:val="center"/>
          </w:tcPr>
          <w:p w14:paraId="38219EC5">
            <w:pPr>
              <w:pStyle w:val="179"/>
            </w:pPr>
            <w:r>
              <w:rPr>
                <w:rFonts w:hint="eastAsia"/>
              </w:rPr>
              <w:t>3</w:t>
            </w:r>
          </w:p>
        </w:tc>
        <w:tc>
          <w:tcPr>
            <w:tcW w:w="1556" w:type="dxa"/>
            <w:shd w:val="clear" w:color="auto" w:fill="auto"/>
            <w:vAlign w:val="center"/>
          </w:tcPr>
          <w:p w14:paraId="7CD4BAFD">
            <w:pPr>
              <w:pStyle w:val="179"/>
            </w:pPr>
            <w:r>
              <w:rPr>
                <w:rFonts w:hint="eastAsia"/>
              </w:rPr>
              <w:t>4</w:t>
            </w:r>
          </w:p>
        </w:tc>
        <w:tc>
          <w:tcPr>
            <w:tcW w:w="1556" w:type="dxa"/>
            <w:shd w:val="clear" w:color="auto" w:fill="auto"/>
            <w:vAlign w:val="center"/>
          </w:tcPr>
          <w:p w14:paraId="08166A6F">
            <w:pPr>
              <w:pStyle w:val="179"/>
            </w:pPr>
            <w:r>
              <w:rPr>
                <w:rFonts w:hint="eastAsia"/>
              </w:rPr>
              <w:t>4.5</w:t>
            </w:r>
          </w:p>
        </w:tc>
      </w:tr>
      <w:tr w14:paraId="69AE89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4AD9AA51">
            <w:pPr>
              <w:pStyle w:val="179"/>
            </w:pPr>
          </w:p>
        </w:tc>
        <w:tc>
          <w:tcPr>
            <w:tcW w:w="1556" w:type="dxa"/>
            <w:shd w:val="clear" w:color="auto" w:fill="auto"/>
            <w:vAlign w:val="center"/>
          </w:tcPr>
          <w:p w14:paraId="1B67CA35">
            <w:pPr>
              <w:pStyle w:val="179"/>
            </w:pPr>
            <w:r>
              <w:t>最大值</w:t>
            </w:r>
          </w:p>
        </w:tc>
        <w:tc>
          <w:tcPr>
            <w:tcW w:w="1555" w:type="dxa"/>
            <w:shd w:val="clear" w:color="auto" w:fill="auto"/>
            <w:vAlign w:val="center"/>
          </w:tcPr>
          <w:p w14:paraId="77C5127E">
            <w:pPr>
              <w:pStyle w:val="179"/>
            </w:pPr>
            <w:r>
              <w:rPr>
                <w:rFonts w:hint="eastAsia"/>
              </w:rPr>
              <w:t>3</w:t>
            </w:r>
          </w:p>
        </w:tc>
        <w:tc>
          <w:tcPr>
            <w:tcW w:w="1555" w:type="dxa"/>
            <w:shd w:val="clear" w:color="auto" w:fill="auto"/>
            <w:vAlign w:val="center"/>
          </w:tcPr>
          <w:p w14:paraId="5E63514D">
            <w:pPr>
              <w:pStyle w:val="179"/>
            </w:pPr>
            <w:r>
              <w:rPr>
                <w:rFonts w:hint="eastAsia"/>
              </w:rPr>
              <w:t>4</w:t>
            </w:r>
          </w:p>
        </w:tc>
        <w:tc>
          <w:tcPr>
            <w:tcW w:w="1556" w:type="dxa"/>
            <w:shd w:val="clear" w:color="auto" w:fill="auto"/>
            <w:vAlign w:val="center"/>
          </w:tcPr>
          <w:p w14:paraId="2332D59C">
            <w:pPr>
              <w:pStyle w:val="179"/>
            </w:pPr>
            <w:r>
              <w:rPr>
                <w:rFonts w:hint="eastAsia"/>
              </w:rPr>
              <w:t>5</w:t>
            </w:r>
          </w:p>
        </w:tc>
        <w:tc>
          <w:tcPr>
            <w:tcW w:w="1556" w:type="dxa"/>
            <w:shd w:val="clear" w:color="auto" w:fill="auto"/>
            <w:vAlign w:val="center"/>
          </w:tcPr>
          <w:p w14:paraId="703984F4">
            <w:pPr>
              <w:pStyle w:val="179"/>
            </w:pPr>
            <w:r>
              <w:rPr>
                <w:rFonts w:hint="eastAsia"/>
              </w:rPr>
              <w:t>5.5</w:t>
            </w:r>
          </w:p>
        </w:tc>
      </w:tr>
      <w:tr w14:paraId="642DF9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6"/>
            <w:shd w:val="clear" w:color="auto" w:fill="auto"/>
            <w:vAlign w:val="center"/>
          </w:tcPr>
          <w:p w14:paraId="075B8AAB">
            <w:pPr>
              <w:pStyle w:val="181"/>
              <w:numPr>
                <w:ilvl w:val="0"/>
                <w:numId w:val="61"/>
              </w:numPr>
            </w:pPr>
            <w:r>
              <w:t>纵坡应选用一般值以上指标；在地形受限、条件特殊情况下，可采用极限值。</w:t>
            </w:r>
          </w:p>
          <w:p w14:paraId="0765B719">
            <w:pPr>
              <w:pStyle w:val="181"/>
            </w:pPr>
            <w:r>
              <w:rPr>
                <w:rFonts w:hint="eastAsia"/>
              </w:rPr>
              <w:t>根据山区高速公路复杂艰巨的地形、地质条件和小交通量特点，本文件的互通式立体交叉范围内主线线形指标较《公路路线设计规范》（JTG D20—2017）有所降低。</w:t>
            </w:r>
            <w:r>
              <w:rPr>
                <w:rFonts w:hint="eastAsia"/>
              </w:rPr>
              <w:tab/>
            </w:r>
          </w:p>
        </w:tc>
      </w:tr>
    </w:tbl>
    <w:p w14:paraId="2F122E21">
      <w:pPr>
        <w:pStyle w:val="166"/>
      </w:pPr>
      <w:r>
        <w:rPr>
          <w:rFonts w:hint="eastAsia"/>
        </w:rPr>
        <w:t>匝道设计采用设计速度宜符合下列规定。</w:t>
      </w:r>
    </w:p>
    <w:p w14:paraId="678064E7">
      <w:pPr>
        <w:pStyle w:val="175"/>
        <w:numPr>
          <w:ilvl w:val="0"/>
          <w:numId w:val="62"/>
        </w:numPr>
      </w:pPr>
      <w:r>
        <w:rPr>
          <w:rFonts w:hint="eastAsia"/>
        </w:rPr>
        <w:t>枢纽互通式立体交叉匝道，设计速度宜采用35~60km/h。</w:t>
      </w:r>
    </w:p>
    <w:p w14:paraId="43ABE59B">
      <w:pPr>
        <w:pStyle w:val="175"/>
      </w:pPr>
      <w:r>
        <w:rPr>
          <w:rFonts w:hint="eastAsia"/>
        </w:rPr>
        <w:t>一般式互通式立体交叉匝道，设计速度宜采用30~40km/h。</w:t>
      </w:r>
    </w:p>
    <w:p w14:paraId="34945688">
      <w:pPr>
        <w:pStyle w:val="166"/>
      </w:pPr>
      <w:r>
        <w:rPr>
          <w:rFonts w:hint="eastAsia"/>
        </w:rPr>
        <w:t>匝道横断面设计应符合下列规定。</w:t>
      </w:r>
    </w:p>
    <w:p w14:paraId="39C87679">
      <w:pPr>
        <w:pStyle w:val="175"/>
        <w:numPr>
          <w:ilvl w:val="0"/>
          <w:numId w:val="63"/>
        </w:numPr>
      </w:pPr>
      <w:r>
        <w:rPr>
          <w:rFonts w:hint="eastAsia"/>
        </w:rPr>
        <w:t>单向单车道匝道路基宽度应不小于7.0m（0.5m土路肩+1.0m硬路肩+3.5m车行道+1.5m硬路肩+0.5m土路肩），如图1。</w:t>
      </w:r>
    </w:p>
    <w:p w14:paraId="1655258F">
      <w:pPr>
        <w:pStyle w:val="175"/>
        <w:numPr>
          <w:ilvl w:val="0"/>
          <w:numId w:val="63"/>
        </w:numPr>
      </w:pPr>
      <w:r>
        <w:rPr>
          <w:rFonts w:hint="eastAsia"/>
        </w:rPr>
        <w:t>对向分隔式匝道，中央分隔带宽度采用1.0m。</w:t>
      </w:r>
    </w:p>
    <w:p w14:paraId="2F44968F">
      <w:pPr>
        <w:pStyle w:val="57"/>
        <w:ind w:firstLine="0" w:firstLineChars="0"/>
        <w:rPr>
          <w:rFonts w:hint="eastAsia"/>
        </w:rPr>
      </w:pPr>
    </w:p>
    <w:p w14:paraId="7550C81C">
      <w:pPr>
        <w:pStyle w:val="57"/>
        <w:ind w:firstLine="420"/>
        <w:jc w:val="center"/>
      </w:pPr>
      <w:r>
        <w:drawing>
          <wp:inline distT="0" distB="0" distL="0" distR="0">
            <wp:extent cx="2415540" cy="144907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b="15593"/>
                    <a:stretch>
                      <a:fillRect/>
                    </a:stretch>
                  </pic:blipFill>
                  <pic:spPr>
                    <a:xfrm>
                      <a:off x="0" y="0"/>
                      <a:ext cx="2415540" cy="1449070"/>
                    </a:xfrm>
                    <a:prstGeom prst="rect">
                      <a:avLst/>
                    </a:prstGeom>
                    <a:noFill/>
                    <a:ln>
                      <a:noFill/>
                    </a:ln>
                  </pic:spPr>
                </pic:pic>
              </a:graphicData>
            </a:graphic>
          </wp:inline>
        </w:drawing>
      </w:r>
    </w:p>
    <w:p w14:paraId="68E1AAD1">
      <w:pPr>
        <w:pStyle w:val="115"/>
        <w:spacing w:before="156" w:after="156"/>
      </w:pPr>
      <w:r>
        <w:rPr>
          <w:rFonts w:hint="eastAsia"/>
        </w:rPr>
        <w:t>单向单车道匝道断面图</w:t>
      </w:r>
    </w:p>
    <w:p w14:paraId="10E1F9DB">
      <w:pPr>
        <w:pStyle w:val="166"/>
      </w:pPr>
      <w:r>
        <w:rPr>
          <w:rFonts w:hint="eastAsia"/>
        </w:rPr>
        <w:t>变速车道长度不应小于表</w:t>
      </w:r>
      <w:r>
        <w:t>21</w:t>
      </w:r>
      <w:r>
        <w:rPr>
          <w:rFonts w:hint="eastAsia"/>
        </w:rPr>
        <w:t>的规定。</w:t>
      </w:r>
    </w:p>
    <w:p w14:paraId="71142F1E">
      <w:pPr>
        <w:pStyle w:val="113"/>
        <w:spacing w:before="156" w:after="156"/>
      </w:pPr>
      <w:r>
        <w:rPr>
          <w:rFonts w:hint="eastAsia"/>
        </w:rPr>
        <w:t>变速车道长度及有关参数</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866"/>
        <w:gridCol w:w="1867"/>
        <w:gridCol w:w="1867"/>
        <w:gridCol w:w="1867"/>
        <w:gridCol w:w="1867"/>
      </w:tblGrid>
      <w:tr w14:paraId="77BF81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66" w:type="dxa"/>
            <w:tcBorders>
              <w:top w:val="single" w:color="auto" w:sz="8" w:space="0"/>
              <w:bottom w:val="single" w:color="auto" w:sz="8" w:space="0"/>
            </w:tcBorders>
            <w:shd w:val="clear" w:color="auto" w:fill="auto"/>
            <w:vAlign w:val="center"/>
          </w:tcPr>
          <w:p w14:paraId="5C84B1CF">
            <w:pPr>
              <w:pStyle w:val="179"/>
            </w:pPr>
            <w:r>
              <w:rPr>
                <w:rFonts w:hint="eastAsia"/>
              </w:rPr>
              <w:t>变速车道类别</w:t>
            </w:r>
          </w:p>
        </w:tc>
        <w:tc>
          <w:tcPr>
            <w:tcW w:w="1867" w:type="dxa"/>
            <w:tcBorders>
              <w:top w:val="single" w:color="auto" w:sz="8" w:space="0"/>
              <w:bottom w:val="single" w:color="auto" w:sz="8" w:space="0"/>
            </w:tcBorders>
            <w:shd w:val="clear" w:color="auto" w:fill="auto"/>
            <w:vAlign w:val="center"/>
          </w:tcPr>
          <w:p w14:paraId="738CAB1C">
            <w:pPr>
              <w:pStyle w:val="238"/>
              <w:rPr>
                <w:rFonts w:hint="eastAsia"/>
              </w:rPr>
            </w:pPr>
            <w:r>
              <w:rPr>
                <w:rFonts w:hint="eastAsia"/>
              </w:rPr>
              <w:t>主线设计速度</w:t>
            </w:r>
          </w:p>
          <w:p w14:paraId="69A62FB5">
            <w:pPr>
              <w:pStyle w:val="179"/>
            </w:pPr>
            <w:r>
              <w:rPr>
                <w:rFonts w:hint="eastAsia"/>
              </w:rPr>
              <w:t>（km/h）</w:t>
            </w:r>
          </w:p>
        </w:tc>
        <w:tc>
          <w:tcPr>
            <w:tcW w:w="1867" w:type="dxa"/>
            <w:tcBorders>
              <w:top w:val="single" w:color="auto" w:sz="8" w:space="0"/>
              <w:bottom w:val="single" w:color="auto" w:sz="8" w:space="0"/>
            </w:tcBorders>
            <w:shd w:val="clear" w:color="auto" w:fill="auto"/>
            <w:vAlign w:val="center"/>
          </w:tcPr>
          <w:p w14:paraId="22D72B52">
            <w:pPr>
              <w:pStyle w:val="238"/>
              <w:rPr>
                <w:rFonts w:hint="eastAsia"/>
              </w:rPr>
            </w:pPr>
            <w:r>
              <w:rPr>
                <w:rFonts w:hint="eastAsia"/>
              </w:rPr>
              <w:t>变速车道</w:t>
            </w:r>
          </w:p>
          <w:p w14:paraId="33A5B6A4">
            <w:pPr>
              <w:pStyle w:val="238"/>
              <w:rPr>
                <w:rFonts w:hint="eastAsia"/>
              </w:rPr>
            </w:pPr>
            <w:r>
              <w:rPr>
                <w:rFonts w:hint="eastAsia"/>
              </w:rPr>
              <w:t>长度</w:t>
            </w:r>
          </w:p>
          <w:p w14:paraId="278126F8">
            <w:pPr>
              <w:pStyle w:val="179"/>
            </w:pPr>
            <w:r>
              <w:rPr>
                <w:rFonts w:hint="eastAsia"/>
              </w:rPr>
              <w:t>（m）</w:t>
            </w:r>
          </w:p>
        </w:tc>
        <w:tc>
          <w:tcPr>
            <w:tcW w:w="1867" w:type="dxa"/>
            <w:tcBorders>
              <w:top w:val="single" w:color="auto" w:sz="8" w:space="0"/>
              <w:bottom w:val="single" w:color="auto" w:sz="8" w:space="0"/>
            </w:tcBorders>
            <w:shd w:val="clear" w:color="auto" w:fill="auto"/>
            <w:vAlign w:val="center"/>
          </w:tcPr>
          <w:p w14:paraId="32C80BC7">
            <w:pPr>
              <w:pStyle w:val="238"/>
              <w:rPr>
                <w:rFonts w:hint="eastAsia"/>
              </w:rPr>
            </w:pPr>
            <w:r>
              <w:rPr>
                <w:rFonts w:hint="eastAsia"/>
              </w:rPr>
              <w:t>渐变率</w:t>
            </w:r>
          </w:p>
          <w:p w14:paraId="20C0C75F">
            <w:pPr>
              <w:pStyle w:val="179"/>
            </w:pPr>
            <w:r>
              <w:rPr>
                <w:rFonts w:hint="eastAsia"/>
              </w:rPr>
              <w:t>（%）</w:t>
            </w:r>
          </w:p>
        </w:tc>
        <w:tc>
          <w:tcPr>
            <w:tcW w:w="1867" w:type="dxa"/>
            <w:tcBorders>
              <w:top w:val="single" w:color="auto" w:sz="8" w:space="0"/>
              <w:bottom w:val="single" w:color="auto" w:sz="8" w:space="0"/>
            </w:tcBorders>
            <w:shd w:val="clear" w:color="auto" w:fill="auto"/>
            <w:vAlign w:val="center"/>
          </w:tcPr>
          <w:p w14:paraId="14133FF9">
            <w:pPr>
              <w:pStyle w:val="238"/>
              <w:rPr>
                <w:rFonts w:hint="eastAsia"/>
              </w:rPr>
            </w:pPr>
            <w:r>
              <w:rPr>
                <w:rFonts w:hint="eastAsia"/>
              </w:rPr>
              <w:t>渐变段长度</w:t>
            </w:r>
          </w:p>
          <w:p w14:paraId="1EAD41BC">
            <w:pPr>
              <w:pStyle w:val="179"/>
            </w:pPr>
            <w:r>
              <w:rPr>
                <w:rFonts w:hint="eastAsia"/>
              </w:rPr>
              <w:t>（m）</w:t>
            </w:r>
          </w:p>
        </w:tc>
      </w:tr>
      <w:tr w14:paraId="40FDB9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tcBorders>
              <w:top w:val="single" w:color="auto" w:sz="8" w:space="0"/>
            </w:tcBorders>
            <w:shd w:val="clear" w:color="auto" w:fill="auto"/>
            <w:vAlign w:val="center"/>
          </w:tcPr>
          <w:p w14:paraId="08E8E0AF">
            <w:pPr>
              <w:pStyle w:val="179"/>
            </w:pPr>
            <w:r>
              <w:rPr>
                <w:rFonts w:hint="eastAsia"/>
              </w:rPr>
              <w:t>减速车道</w:t>
            </w:r>
          </w:p>
        </w:tc>
        <w:tc>
          <w:tcPr>
            <w:tcW w:w="1867" w:type="dxa"/>
            <w:tcBorders>
              <w:top w:val="single" w:color="auto" w:sz="8" w:space="0"/>
            </w:tcBorders>
            <w:shd w:val="clear" w:color="auto" w:fill="auto"/>
            <w:vAlign w:val="center"/>
          </w:tcPr>
          <w:p w14:paraId="69003CDD">
            <w:pPr>
              <w:pStyle w:val="179"/>
            </w:pPr>
            <w:r>
              <w:rPr>
                <w:rFonts w:hint="eastAsia"/>
              </w:rPr>
              <w:t>120</w:t>
            </w:r>
          </w:p>
        </w:tc>
        <w:tc>
          <w:tcPr>
            <w:tcW w:w="1867" w:type="dxa"/>
            <w:tcBorders>
              <w:top w:val="single" w:color="auto" w:sz="8" w:space="0"/>
            </w:tcBorders>
            <w:shd w:val="clear" w:color="auto" w:fill="auto"/>
            <w:vAlign w:val="center"/>
          </w:tcPr>
          <w:p w14:paraId="492BD954">
            <w:pPr>
              <w:pStyle w:val="179"/>
            </w:pPr>
            <w:r>
              <w:rPr>
                <w:rFonts w:hint="eastAsia"/>
              </w:rPr>
              <w:t>145</w:t>
            </w:r>
          </w:p>
        </w:tc>
        <w:tc>
          <w:tcPr>
            <w:tcW w:w="1867" w:type="dxa"/>
            <w:tcBorders>
              <w:top w:val="single" w:color="auto" w:sz="8" w:space="0"/>
            </w:tcBorders>
            <w:shd w:val="clear" w:color="auto" w:fill="auto"/>
            <w:vAlign w:val="center"/>
          </w:tcPr>
          <w:p w14:paraId="323D4CB3">
            <w:pPr>
              <w:pStyle w:val="179"/>
            </w:pPr>
            <w:r>
              <w:rPr>
                <w:rFonts w:hint="eastAsia"/>
              </w:rPr>
              <w:t>1/25</w:t>
            </w:r>
          </w:p>
        </w:tc>
        <w:tc>
          <w:tcPr>
            <w:tcW w:w="1867" w:type="dxa"/>
            <w:tcBorders>
              <w:top w:val="single" w:color="auto" w:sz="8" w:space="0"/>
            </w:tcBorders>
            <w:shd w:val="clear" w:color="auto" w:fill="auto"/>
            <w:vAlign w:val="center"/>
          </w:tcPr>
          <w:p w14:paraId="74B4390E">
            <w:pPr>
              <w:pStyle w:val="179"/>
            </w:pPr>
            <w:r>
              <w:rPr>
                <w:rFonts w:hint="eastAsia"/>
              </w:rPr>
              <w:t>100</w:t>
            </w:r>
          </w:p>
        </w:tc>
      </w:tr>
      <w:tr w14:paraId="76B165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60C66252">
            <w:pPr>
              <w:pStyle w:val="179"/>
            </w:pPr>
          </w:p>
        </w:tc>
        <w:tc>
          <w:tcPr>
            <w:tcW w:w="1867" w:type="dxa"/>
            <w:shd w:val="clear" w:color="auto" w:fill="auto"/>
            <w:vAlign w:val="center"/>
          </w:tcPr>
          <w:p w14:paraId="35B6DD06">
            <w:pPr>
              <w:pStyle w:val="179"/>
            </w:pPr>
            <w:r>
              <w:rPr>
                <w:rFonts w:hint="eastAsia"/>
              </w:rPr>
              <w:t>100</w:t>
            </w:r>
          </w:p>
        </w:tc>
        <w:tc>
          <w:tcPr>
            <w:tcW w:w="1867" w:type="dxa"/>
            <w:shd w:val="clear" w:color="auto" w:fill="auto"/>
            <w:vAlign w:val="center"/>
          </w:tcPr>
          <w:p w14:paraId="434A04F9">
            <w:pPr>
              <w:pStyle w:val="179"/>
            </w:pPr>
            <w:r>
              <w:rPr>
                <w:rFonts w:hint="eastAsia"/>
              </w:rPr>
              <w:t>125</w:t>
            </w:r>
          </w:p>
        </w:tc>
        <w:tc>
          <w:tcPr>
            <w:tcW w:w="1867" w:type="dxa"/>
            <w:shd w:val="clear" w:color="auto" w:fill="auto"/>
            <w:vAlign w:val="center"/>
          </w:tcPr>
          <w:p w14:paraId="09AD9D7A">
            <w:pPr>
              <w:pStyle w:val="179"/>
            </w:pPr>
            <w:r>
              <w:rPr>
                <w:rFonts w:hint="eastAsia"/>
              </w:rPr>
              <w:t>1/22.5</w:t>
            </w:r>
          </w:p>
        </w:tc>
        <w:tc>
          <w:tcPr>
            <w:tcW w:w="1867" w:type="dxa"/>
            <w:shd w:val="clear" w:color="auto" w:fill="auto"/>
            <w:vAlign w:val="center"/>
          </w:tcPr>
          <w:p w14:paraId="647EFCB4">
            <w:pPr>
              <w:pStyle w:val="179"/>
            </w:pPr>
            <w:r>
              <w:rPr>
                <w:rFonts w:hint="eastAsia"/>
              </w:rPr>
              <w:t>90</w:t>
            </w:r>
          </w:p>
        </w:tc>
      </w:tr>
      <w:tr w14:paraId="38DA69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0E9940DC">
            <w:pPr>
              <w:pStyle w:val="179"/>
            </w:pPr>
          </w:p>
        </w:tc>
        <w:tc>
          <w:tcPr>
            <w:tcW w:w="1867" w:type="dxa"/>
            <w:shd w:val="clear" w:color="auto" w:fill="auto"/>
            <w:vAlign w:val="center"/>
          </w:tcPr>
          <w:p w14:paraId="2859DDC3">
            <w:pPr>
              <w:pStyle w:val="179"/>
            </w:pPr>
            <w:r>
              <w:rPr>
                <w:rFonts w:hint="eastAsia"/>
              </w:rPr>
              <w:t>80</w:t>
            </w:r>
          </w:p>
        </w:tc>
        <w:tc>
          <w:tcPr>
            <w:tcW w:w="1867" w:type="dxa"/>
            <w:shd w:val="clear" w:color="auto" w:fill="auto"/>
            <w:vAlign w:val="center"/>
          </w:tcPr>
          <w:p w14:paraId="1A9D5144">
            <w:pPr>
              <w:pStyle w:val="179"/>
            </w:pPr>
            <w:r>
              <w:rPr>
                <w:rFonts w:hint="eastAsia"/>
              </w:rPr>
              <w:t>110</w:t>
            </w:r>
          </w:p>
        </w:tc>
        <w:tc>
          <w:tcPr>
            <w:tcW w:w="1867" w:type="dxa"/>
            <w:shd w:val="clear" w:color="auto" w:fill="auto"/>
            <w:vAlign w:val="center"/>
          </w:tcPr>
          <w:p w14:paraId="204365DD">
            <w:pPr>
              <w:pStyle w:val="179"/>
            </w:pPr>
            <w:r>
              <w:rPr>
                <w:rFonts w:hint="eastAsia"/>
              </w:rPr>
              <w:t>1/20</w:t>
            </w:r>
          </w:p>
        </w:tc>
        <w:tc>
          <w:tcPr>
            <w:tcW w:w="1867" w:type="dxa"/>
            <w:shd w:val="clear" w:color="auto" w:fill="auto"/>
            <w:vAlign w:val="center"/>
          </w:tcPr>
          <w:p w14:paraId="54A77FB0">
            <w:pPr>
              <w:pStyle w:val="179"/>
            </w:pPr>
            <w:r>
              <w:rPr>
                <w:rFonts w:hint="eastAsia"/>
              </w:rPr>
              <w:t>80</w:t>
            </w:r>
          </w:p>
        </w:tc>
      </w:tr>
      <w:tr w14:paraId="140562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2E1A3977">
            <w:pPr>
              <w:pStyle w:val="179"/>
            </w:pPr>
          </w:p>
        </w:tc>
        <w:tc>
          <w:tcPr>
            <w:tcW w:w="1867" w:type="dxa"/>
            <w:shd w:val="clear" w:color="auto" w:fill="auto"/>
            <w:vAlign w:val="center"/>
          </w:tcPr>
          <w:p w14:paraId="3F1B4918">
            <w:pPr>
              <w:pStyle w:val="179"/>
            </w:pPr>
            <w:r>
              <w:rPr>
                <w:rFonts w:hint="eastAsia"/>
              </w:rPr>
              <w:t>60</w:t>
            </w:r>
          </w:p>
        </w:tc>
        <w:tc>
          <w:tcPr>
            <w:tcW w:w="1867" w:type="dxa"/>
            <w:shd w:val="clear" w:color="auto" w:fill="auto"/>
            <w:vAlign w:val="center"/>
          </w:tcPr>
          <w:p w14:paraId="14D006C5">
            <w:pPr>
              <w:pStyle w:val="179"/>
            </w:pPr>
            <w:r>
              <w:rPr>
                <w:rFonts w:hint="eastAsia"/>
              </w:rPr>
              <w:t>95</w:t>
            </w:r>
          </w:p>
        </w:tc>
        <w:tc>
          <w:tcPr>
            <w:tcW w:w="1867" w:type="dxa"/>
            <w:shd w:val="clear" w:color="auto" w:fill="auto"/>
            <w:vAlign w:val="center"/>
          </w:tcPr>
          <w:p w14:paraId="0BA0805F">
            <w:pPr>
              <w:pStyle w:val="179"/>
            </w:pPr>
            <w:r>
              <w:rPr>
                <w:rFonts w:hint="eastAsia"/>
              </w:rPr>
              <w:t>1/17.5</w:t>
            </w:r>
          </w:p>
        </w:tc>
        <w:tc>
          <w:tcPr>
            <w:tcW w:w="1867" w:type="dxa"/>
            <w:shd w:val="clear" w:color="auto" w:fill="auto"/>
            <w:vAlign w:val="center"/>
          </w:tcPr>
          <w:p w14:paraId="276976F5">
            <w:pPr>
              <w:pStyle w:val="179"/>
            </w:pPr>
            <w:r>
              <w:rPr>
                <w:rFonts w:hint="eastAsia"/>
              </w:rPr>
              <w:t>70</w:t>
            </w:r>
          </w:p>
        </w:tc>
      </w:tr>
      <w:tr w14:paraId="675742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restart"/>
            <w:shd w:val="clear" w:color="auto" w:fill="auto"/>
            <w:vAlign w:val="center"/>
          </w:tcPr>
          <w:p w14:paraId="2DA2BB5A">
            <w:pPr>
              <w:pStyle w:val="179"/>
            </w:pPr>
            <w:r>
              <w:rPr>
                <w:rFonts w:hint="eastAsia"/>
              </w:rPr>
              <w:t>加速车道</w:t>
            </w:r>
          </w:p>
        </w:tc>
        <w:tc>
          <w:tcPr>
            <w:tcW w:w="1867" w:type="dxa"/>
            <w:shd w:val="clear" w:color="auto" w:fill="auto"/>
            <w:vAlign w:val="center"/>
          </w:tcPr>
          <w:p w14:paraId="56FA3666">
            <w:pPr>
              <w:pStyle w:val="179"/>
            </w:pPr>
            <w:r>
              <w:rPr>
                <w:rFonts w:hint="eastAsia"/>
              </w:rPr>
              <w:t>120</w:t>
            </w:r>
          </w:p>
        </w:tc>
        <w:tc>
          <w:tcPr>
            <w:tcW w:w="1867" w:type="dxa"/>
            <w:shd w:val="clear" w:color="auto" w:fill="auto"/>
            <w:vAlign w:val="center"/>
          </w:tcPr>
          <w:p w14:paraId="5805C490">
            <w:pPr>
              <w:pStyle w:val="179"/>
            </w:pPr>
            <w:r>
              <w:rPr>
                <w:rFonts w:hint="eastAsia"/>
              </w:rPr>
              <w:t>200</w:t>
            </w:r>
          </w:p>
        </w:tc>
        <w:tc>
          <w:tcPr>
            <w:tcW w:w="1867" w:type="dxa"/>
            <w:vMerge w:val="restart"/>
            <w:shd w:val="clear" w:color="auto" w:fill="auto"/>
            <w:vAlign w:val="center"/>
          </w:tcPr>
          <w:p w14:paraId="7052BC86">
            <w:pPr>
              <w:pStyle w:val="179"/>
            </w:pPr>
            <w:r>
              <w:rPr>
                <w:rFonts w:hint="eastAsia"/>
              </w:rPr>
              <w:t>1/40</w:t>
            </w:r>
          </w:p>
        </w:tc>
        <w:tc>
          <w:tcPr>
            <w:tcW w:w="1867" w:type="dxa"/>
            <w:shd w:val="clear" w:color="auto" w:fill="auto"/>
            <w:vAlign w:val="center"/>
          </w:tcPr>
          <w:p w14:paraId="31175651">
            <w:pPr>
              <w:pStyle w:val="179"/>
            </w:pPr>
            <w:r>
              <w:rPr>
                <w:rFonts w:hint="eastAsia"/>
              </w:rPr>
              <w:t>80</w:t>
            </w:r>
          </w:p>
        </w:tc>
      </w:tr>
      <w:tr w14:paraId="594820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1991E57B">
            <w:pPr>
              <w:pStyle w:val="179"/>
            </w:pPr>
          </w:p>
        </w:tc>
        <w:tc>
          <w:tcPr>
            <w:tcW w:w="1867" w:type="dxa"/>
            <w:shd w:val="clear" w:color="auto" w:fill="auto"/>
            <w:vAlign w:val="center"/>
          </w:tcPr>
          <w:p w14:paraId="0D1D5735">
            <w:pPr>
              <w:pStyle w:val="179"/>
            </w:pPr>
            <w:r>
              <w:rPr>
                <w:rFonts w:hint="eastAsia"/>
              </w:rPr>
              <w:t>100</w:t>
            </w:r>
          </w:p>
        </w:tc>
        <w:tc>
          <w:tcPr>
            <w:tcW w:w="1867" w:type="dxa"/>
            <w:shd w:val="clear" w:color="auto" w:fill="auto"/>
            <w:vAlign w:val="center"/>
          </w:tcPr>
          <w:p w14:paraId="39A75695">
            <w:pPr>
              <w:pStyle w:val="179"/>
            </w:pPr>
            <w:r>
              <w:rPr>
                <w:rFonts w:hint="eastAsia"/>
              </w:rPr>
              <w:t>180</w:t>
            </w:r>
          </w:p>
        </w:tc>
        <w:tc>
          <w:tcPr>
            <w:tcW w:w="1867" w:type="dxa"/>
            <w:vMerge w:val="continue"/>
            <w:shd w:val="clear" w:color="auto" w:fill="auto"/>
            <w:vAlign w:val="center"/>
          </w:tcPr>
          <w:p w14:paraId="63B17329">
            <w:pPr>
              <w:pStyle w:val="179"/>
            </w:pPr>
          </w:p>
        </w:tc>
        <w:tc>
          <w:tcPr>
            <w:tcW w:w="1867" w:type="dxa"/>
            <w:shd w:val="clear" w:color="auto" w:fill="auto"/>
            <w:vAlign w:val="center"/>
          </w:tcPr>
          <w:p w14:paraId="299BCE5A">
            <w:pPr>
              <w:pStyle w:val="179"/>
            </w:pPr>
            <w:r>
              <w:rPr>
                <w:rFonts w:hint="eastAsia"/>
              </w:rPr>
              <w:t>70</w:t>
            </w:r>
          </w:p>
        </w:tc>
      </w:tr>
      <w:tr w14:paraId="07C9F7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3F042AE9">
            <w:pPr>
              <w:pStyle w:val="179"/>
            </w:pPr>
          </w:p>
        </w:tc>
        <w:tc>
          <w:tcPr>
            <w:tcW w:w="1867" w:type="dxa"/>
            <w:shd w:val="clear" w:color="auto" w:fill="auto"/>
            <w:vAlign w:val="center"/>
          </w:tcPr>
          <w:p w14:paraId="1DEEFF98">
            <w:pPr>
              <w:pStyle w:val="179"/>
            </w:pPr>
            <w:r>
              <w:rPr>
                <w:rFonts w:hint="eastAsia"/>
              </w:rPr>
              <w:t>80</w:t>
            </w:r>
          </w:p>
        </w:tc>
        <w:tc>
          <w:tcPr>
            <w:tcW w:w="1867" w:type="dxa"/>
            <w:shd w:val="clear" w:color="auto" w:fill="auto"/>
            <w:vAlign w:val="center"/>
          </w:tcPr>
          <w:p w14:paraId="74D0209D">
            <w:pPr>
              <w:pStyle w:val="179"/>
            </w:pPr>
            <w:r>
              <w:rPr>
                <w:rFonts w:hint="eastAsia"/>
              </w:rPr>
              <w:t>160</w:t>
            </w:r>
          </w:p>
        </w:tc>
        <w:tc>
          <w:tcPr>
            <w:tcW w:w="1867" w:type="dxa"/>
            <w:shd w:val="clear" w:color="auto" w:fill="auto"/>
            <w:vAlign w:val="center"/>
          </w:tcPr>
          <w:p w14:paraId="6F80224A">
            <w:pPr>
              <w:pStyle w:val="179"/>
            </w:pPr>
            <w:r>
              <w:rPr>
                <w:rFonts w:hint="eastAsia"/>
              </w:rPr>
              <w:t>1/35</w:t>
            </w:r>
          </w:p>
        </w:tc>
        <w:tc>
          <w:tcPr>
            <w:tcW w:w="1867" w:type="dxa"/>
            <w:shd w:val="clear" w:color="auto" w:fill="auto"/>
            <w:vAlign w:val="center"/>
          </w:tcPr>
          <w:p w14:paraId="21B06972">
            <w:pPr>
              <w:pStyle w:val="179"/>
            </w:pPr>
            <w:r>
              <w:rPr>
                <w:rFonts w:hint="eastAsia"/>
              </w:rPr>
              <w:t>60</w:t>
            </w:r>
          </w:p>
        </w:tc>
      </w:tr>
      <w:tr w14:paraId="342518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66" w:type="dxa"/>
            <w:vMerge w:val="continue"/>
            <w:shd w:val="clear" w:color="auto" w:fill="auto"/>
            <w:vAlign w:val="center"/>
          </w:tcPr>
          <w:p w14:paraId="6A39442B">
            <w:pPr>
              <w:pStyle w:val="179"/>
            </w:pPr>
          </w:p>
        </w:tc>
        <w:tc>
          <w:tcPr>
            <w:tcW w:w="1867" w:type="dxa"/>
            <w:shd w:val="clear" w:color="auto" w:fill="auto"/>
            <w:vAlign w:val="center"/>
          </w:tcPr>
          <w:p w14:paraId="31F9163D">
            <w:pPr>
              <w:pStyle w:val="179"/>
            </w:pPr>
            <w:r>
              <w:rPr>
                <w:rFonts w:hint="eastAsia"/>
              </w:rPr>
              <w:t>60</w:t>
            </w:r>
          </w:p>
        </w:tc>
        <w:tc>
          <w:tcPr>
            <w:tcW w:w="1867" w:type="dxa"/>
            <w:shd w:val="clear" w:color="auto" w:fill="auto"/>
            <w:vAlign w:val="center"/>
          </w:tcPr>
          <w:p w14:paraId="3BD6FC39">
            <w:pPr>
              <w:pStyle w:val="179"/>
            </w:pPr>
            <w:r>
              <w:rPr>
                <w:rFonts w:hint="eastAsia"/>
              </w:rPr>
              <w:t>135</w:t>
            </w:r>
          </w:p>
        </w:tc>
        <w:tc>
          <w:tcPr>
            <w:tcW w:w="1867" w:type="dxa"/>
            <w:shd w:val="clear" w:color="auto" w:fill="auto"/>
            <w:vAlign w:val="center"/>
          </w:tcPr>
          <w:p w14:paraId="4196FD49">
            <w:pPr>
              <w:pStyle w:val="179"/>
            </w:pPr>
            <w:r>
              <w:rPr>
                <w:rFonts w:hint="eastAsia"/>
              </w:rPr>
              <w:t>1/30</w:t>
            </w:r>
          </w:p>
        </w:tc>
        <w:tc>
          <w:tcPr>
            <w:tcW w:w="1867" w:type="dxa"/>
            <w:shd w:val="clear" w:color="auto" w:fill="auto"/>
            <w:vAlign w:val="center"/>
          </w:tcPr>
          <w:p w14:paraId="587FA68B">
            <w:pPr>
              <w:pStyle w:val="179"/>
            </w:pPr>
            <w:r>
              <w:rPr>
                <w:rFonts w:hint="eastAsia"/>
              </w:rPr>
              <w:t>50</w:t>
            </w:r>
          </w:p>
        </w:tc>
      </w:tr>
      <w:tr w14:paraId="4B4AC6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5"/>
            <w:shd w:val="clear" w:color="auto" w:fill="auto"/>
            <w:vAlign w:val="center"/>
          </w:tcPr>
          <w:p w14:paraId="59F5F1D1">
            <w:pPr>
              <w:pStyle w:val="180"/>
            </w:pPr>
            <w:r>
              <w:t>根据小交通量特点，表中加、减速车道均为单车道出入口。</w:t>
            </w:r>
          </w:p>
        </w:tc>
      </w:tr>
    </w:tbl>
    <w:p w14:paraId="765587CD">
      <w:pPr>
        <w:pStyle w:val="166"/>
      </w:pPr>
      <w:r>
        <w:rPr>
          <w:rFonts w:hint="eastAsia"/>
        </w:rPr>
        <w:t>互通式立体交叉形式选择应符合下列规定。</w:t>
      </w:r>
    </w:p>
    <w:p w14:paraId="4A47B9A2">
      <w:pPr>
        <w:pStyle w:val="175"/>
        <w:numPr>
          <w:ilvl w:val="0"/>
          <w:numId w:val="64"/>
        </w:numPr>
      </w:pPr>
      <w:r>
        <w:rPr>
          <w:rFonts w:hint="eastAsia"/>
        </w:rPr>
        <w:t>应综合考虑通行能力、用地、自然环境和社会环境、全寿命周期成本和收费站设置要求等因素，经多方案比选、论证后提出推荐方案。</w:t>
      </w:r>
    </w:p>
    <w:p w14:paraId="3CA966ED">
      <w:pPr>
        <w:pStyle w:val="175"/>
      </w:pPr>
      <w:r>
        <w:rPr>
          <w:rFonts w:hint="eastAsia"/>
        </w:rPr>
        <w:t>应优先选择营运安全，匝道布局紧凑，并与现场地形和地物相适应、对环境破坏小、经济节约的互通式立体交叉方案。</w:t>
      </w:r>
    </w:p>
    <w:p w14:paraId="49DE5B3A">
      <w:pPr>
        <w:pStyle w:val="175"/>
      </w:pPr>
      <w:r>
        <w:rPr>
          <w:rFonts w:hint="eastAsia"/>
        </w:rPr>
        <w:t>一般互通式立体交叉可采用喇叭形、半互通+U形转弯、菱形等互通式立体交叉形式，如图2。</w:t>
      </w:r>
    </w:p>
    <w:p w14:paraId="725EA4B2">
      <w:pPr>
        <w:pStyle w:val="175"/>
      </w:pPr>
      <w:r>
        <w:rPr>
          <w:rFonts w:hint="eastAsia"/>
        </w:rPr>
        <w:t>半互通立体交叉与U形转弯设施之间的最小净距应满足交织段长度要求，最大净距不宜大于3km，受地形、桥隧构造物等限制，经论证后其净距可适当加大，但不应大于5km。</w:t>
      </w:r>
    </w:p>
    <w:p w14:paraId="33E13EB2">
      <w:pPr>
        <w:pStyle w:val="175"/>
      </w:pPr>
      <w:r>
        <w:rPr>
          <w:rFonts w:hint="eastAsia"/>
        </w:rPr>
        <w:t>菱形互通式立体交叉应结合实际地形条件和被交路情况酌情采用。</w:t>
      </w:r>
    </w:p>
    <w:p w14:paraId="02D92F56">
      <w:pPr>
        <w:pStyle w:val="57"/>
        <w:ind w:firstLine="420"/>
      </w:pPr>
    </w:p>
    <w:p w14:paraId="47DEF943">
      <w:pPr>
        <w:autoSpaceDE w:val="0"/>
        <w:autoSpaceDN w:val="0"/>
        <w:spacing w:line="360" w:lineRule="auto"/>
        <w:rPr>
          <w:sz w:val="24"/>
          <w:szCs w:val="24"/>
        </w:rPr>
      </w:pPr>
      <w:r>
        <w:rPr>
          <w:rFonts w:hint="eastAsia"/>
          <w:sz w:val="24"/>
          <w:szCs w:val="24"/>
        </w:rPr>
        <w:drawing>
          <wp:inline distT="0" distB="0" distL="0" distR="0">
            <wp:extent cx="2031365" cy="1015365"/>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034602" cy="1017011"/>
                    </a:xfrm>
                    <a:prstGeom prst="rect">
                      <a:avLst/>
                    </a:prstGeom>
                    <a:noFill/>
                    <a:ln>
                      <a:noFill/>
                    </a:ln>
                  </pic:spPr>
                </pic:pic>
              </a:graphicData>
            </a:graphic>
          </wp:inline>
        </w:drawing>
      </w:r>
      <w:r>
        <w:rPr>
          <w:rFonts w:hint="eastAsia"/>
          <w:sz w:val="24"/>
          <w:szCs w:val="24"/>
        </w:rPr>
        <w:t xml:space="preserve">       </w:t>
      </w:r>
      <w:r>
        <w:rPr>
          <w:rFonts w:hint="eastAsia"/>
          <w:sz w:val="24"/>
          <w:szCs w:val="24"/>
        </w:rPr>
        <w:drawing>
          <wp:inline distT="0" distB="0" distL="0" distR="0">
            <wp:extent cx="3049270" cy="10699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51964" cy="1071024"/>
                    </a:xfrm>
                    <a:prstGeom prst="rect">
                      <a:avLst/>
                    </a:prstGeom>
                    <a:noFill/>
                    <a:ln>
                      <a:noFill/>
                    </a:ln>
                  </pic:spPr>
                </pic:pic>
              </a:graphicData>
            </a:graphic>
          </wp:inline>
        </w:drawing>
      </w:r>
    </w:p>
    <w:p w14:paraId="500D488B">
      <w:pPr>
        <w:ind w:firstLine="210" w:firstLineChars="100"/>
        <w:rPr>
          <w:rFonts w:hint="eastAsia" w:ascii="华文楷体" w:hAnsi="华文楷体" w:eastAsia="华文楷体"/>
        </w:rPr>
      </w:pPr>
      <w:r>
        <w:rPr>
          <w:rFonts w:hint="eastAsia" w:ascii="华文楷体" w:hAnsi="华文楷体" w:eastAsia="华文楷体"/>
        </w:rPr>
        <w:t xml:space="preserve">                （a）喇叭形                               （b）半互通+U形转弯</w:t>
      </w:r>
    </w:p>
    <w:p w14:paraId="46AA8ADE">
      <w:pPr>
        <w:autoSpaceDE w:val="0"/>
        <w:autoSpaceDN w:val="0"/>
        <w:spacing w:line="360" w:lineRule="auto"/>
        <w:jc w:val="center"/>
        <w:rPr>
          <w:rFonts w:hint="eastAsia"/>
          <w:sz w:val="24"/>
          <w:szCs w:val="24"/>
        </w:rPr>
      </w:pPr>
      <w:r>
        <w:rPr>
          <w:rFonts w:hint="eastAsia"/>
          <w:sz w:val="24"/>
          <w:szCs w:val="24"/>
        </w:rPr>
        <w:drawing>
          <wp:inline distT="0" distB="0" distL="0" distR="0">
            <wp:extent cx="1804670" cy="1437640"/>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rcRect t="7069" b="3534"/>
                    <a:stretch>
                      <a:fillRect/>
                    </a:stretch>
                  </pic:blipFill>
                  <pic:spPr>
                    <a:xfrm>
                      <a:off x="0" y="0"/>
                      <a:ext cx="1809385" cy="1441318"/>
                    </a:xfrm>
                    <a:prstGeom prst="rect">
                      <a:avLst/>
                    </a:prstGeom>
                    <a:noFill/>
                    <a:ln>
                      <a:noFill/>
                    </a:ln>
                  </pic:spPr>
                </pic:pic>
              </a:graphicData>
            </a:graphic>
          </wp:inline>
        </w:drawing>
      </w:r>
      <w:r>
        <w:rPr>
          <w:sz w:val="24"/>
          <w:szCs w:val="24"/>
        </w:rPr>
        <w:t xml:space="preserve">         </w:t>
      </w:r>
      <w:r>
        <w:rPr>
          <w:rFonts w:hint="eastAsia"/>
          <w:sz w:val="24"/>
          <w:szCs w:val="24"/>
        </w:rPr>
        <w:drawing>
          <wp:inline distT="0" distB="0" distL="0" distR="0">
            <wp:extent cx="1537970" cy="1254125"/>
            <wp:effectExtent l="0" t="0" r="508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0">
                      <a:extLst>
                        <a:ext uri="{28A0092B-C50C-407E-A947-70E740481C1C}">
                          <a14:useLocalDpi xmlns:a14="http://schemas.microsoft.com/office/drawing/2010/main" val="0"/>
                        </a:ext>
                      </a:extLst>
                    </a:blip>
                    <a:srcRect t="6422"/>
                    <a:stretch>
                      <a:fillRect/>
                    </a:stretch>
                  </pic:blipFill>
                  <pic:spPr>
                    <a:xfrm>
                      <a:off x="0" y="0"/>
                      <a:ext cx="1543977" cy="1258993"/>
                    </a:xfrm>
                    <a:prstGeom prst="rect">
                      <a:avLst/>
                    </a:prstGeom>
                    <a:noFill/>
                    <a:ln>
                      <a:noFill/>
                    </a:ln>
                  </pic:spPr>
                </pic:pic>
              </a:graphicData>
            </a:graphic>
          </wp:inline>
        </w:drawing>
      </w:r>
    </w:p>
    <w:p w14:paraId="64649AE7">
      <w:pPr>
        <w:autoSpaceDE w:val="0"/>
        <w:autoSpaceDN w:val="0"/>
        <w:spacing w:line="360" w:lineRule="auto"/>
        <w:jc w:val="center"/>
        <w:rPr>
          <w:rFonts w:hint="eastAsia"/>
          <w:sz w:val="24"/>
          <w:szCs w:val="24"/>
        </w:rPr>
      </w:pPr>
      <w:r>
        <w:rPr>
          <w:rFonts w:hint="eastAsia" w:ascii="华文楷体" w:hAnsi="华文楷体" w:eastAsia="华文楷体"/>
          <w:szCs w:val="21"/>
          <w:lang w:eastAsia="zh-CN"/>
        </w:rPr>
        <w:t>（</w:t>
      </w:r>
      <w:r>
        <w:rPr>
          <w:rFonts w:hint="eastAsia" w:ascii="华文楷体" w:hAnsi="华文楷体" w:eastAsia="华文楷体"/>
          <w:szCs w:val="21"/>
          <w:lang w:val="en-US" w:eastAsia="zh-CN"/>
        </w:rPr>
        <w:t>c</w:t>
      </w:r>
      <w:r>
        <w:rPr>
          <w:rFonts w:hint="eastAsia" w:ascii="华文楷体" w:hAnsi="华文楷体" w:eastAsia="华文楷体"/>
          <w:szCs w:val="21"/>
          <w:lang w:eastAsia="zh-CN"/>
        </w:rPr>
        <w:t>）</w:t>
      </w:r>
      <w:r>
        <w:rPr>
          <w:rFonts w:hint="eastAsia" w:ascii="华文楷体" w:hAnsi="华文楷体" w:eastAsia="华文楷体"/>
          <w:szCs w:val="21"/>
        </w:rPr>
        <w:t xml:space="preserve">三岔菱形                             </w:t>
      </w:r>
      <w:r>
        <w:rPr>
          <w:rFonts w:hint="eastAsia" w:ascii="华文楷体" w:hAnsi="华文楷体" w:eastAsia="华文楷体"/>
          <w:szCs w:val="21"/>
          <w:lang w:eastAsia="zh-CN"/>
        </w:rPr>
        <w:t>（</w:t>
      </w:r>
      <w:r>
        <w:rPr>
          <w:rFonts w:hint="eastAsia" w:ascii="华文楷体" w:hAnsi="华文楷体" w:eastAsia="华文楷体"/>
          <w:szCs w:val="21"/>
          <w:lang w:val="en-US" w:eastAsia="zh-CN"/>
        </w:rPr>
        <w:t>d</w:t>
      </w:r>
      <w:r>
        <w:rPr>
          <w:rFonts w:hint="eastAsia" w:ascii="华文楷体" w:hAnsi="华文楷体" w:eastAsia="华文楷体"/>
          <w:szCs w:val="21"/>
          <w:lang w:eastAsia="zh-CN"/>
        </w:rPr>
        <w:t>）</w:t>
      </w:r>
      <w:r>
        <w:rPr>
          <w:rFonts w:hint="eastAsia" w:ascii="华文楷体" w:hAnsi="华文楷体" w:eastAsia="华文楷体"/>
          <w:szCs w:val="21"/>
        </w:rPr>
        <w:t>四岔菱形</w:t>
      </w:r>
    </w:p>
    <w:p w14:paraId="77FF053D">
      <w:pPr>
        <w:pStyle w:val="115"/>
        <w:spacing w:before="156" w:after="156"/>
      </w:pPr>
      <w:r>
        <w:rPr>
          <w:rFonts w:hint="eastAsia"/>
        </w:rPr>
        <w:t>高原山区高速公路一般互通式立体交叉推荐形式图</w:t>
      </w:r>
    </w:p>
    <w:p w14:paraId="75CA359C">
      <w:pPr>
        <w:pStyle w:val="181"/>
        <w:numPr>
          <w:ilvl w:val="0"/>
          <w:numId w:val="65"/>
        </w:numPr>
      </w:pPr>
      <w:r>
        <w:t>单喇叭线形简单，造型美观，交通转换功能齐全，行车干扰小，只需要设置1处跨线构造物和收费站，造价较省，收费、管理方面具有较大优势。因此，在地形条件相对平坦和开阔（如高原草甸区）的建设区域，本文件仍推荐其作为一般互通式立体交叉主要布设型式。</w:t>
      </w:r>
    </w:p>
    <w:p w14:paraId="69779702">
      <w:pPr>
        <w:pStyle w:val="181"/>
      </w:pPr>
      <w:r>
        <w:t>半互通立+U形转弯是目前高原山区高速公路最经济的互通型式，对于主次交通流量较为分明，在地形和隧道间距受限、条件特殊困难情况下，优先采用半互通+U形转弯互通型式最为经济合理。</w:t>
      </w:r>
    </w:p>
    <w:p w14:paraId="2BE912F3">
      <w:pPr>
        <w:pStyle w:val="181"/>
      </w:pPr>
      <w:r>
        <w:t>菱形互通优点是布局紧凑、连接线短、占地面积小，造价较低；缺点是平交多、交通交织、不利于收费管理。适合场地狭小、高速公路与被交路相互交叉且左转交通流量较小的区域采用。</w:t>
      </w:r>
    </w:p>
    <w:p w14:paraId="2788CB59">
      <w:pPr>
        <w:pStyle w:val="175"/>
      </w:pPr>
      <w:bookmarkStart w:id="248" w:name="_Hlk120520940"/>
      <w:r>
        <w:rPr>
          <w:rFonts w:hint="eastAsia"/>
        </w:rPr>
        <w:t>枢纽互通式立体交叉</w:t>
      </w:r>
      <w:bookmarkEnd w:id="248"/>
      <w:r>
        <w:rPr>
          <w:rFonts w:hint="eastAsia"/>
        </w:rPr>
        <w:t>可采用左转弯匝道迂回形、喇叭形、对角象限双环式变形苜蓿叶形、完全苜蓿叶形等交叉形式，如图3。</w:t>
      </w:r>
    </w:p>
    <w:p w14:paraId="28120065">
      <w:pPr>
        <w:pStyle w:val="57"/>
        <w:ind w:firstLine="420"/>
      </w:pPr>
    </w:p>
    <w:p w14:paraId="2AD1AE24">
      <w:pPr>
        <w:autoSpaceDE w:val="0"/>
        <w:autoSpaceDN w:val="0"/>
        <w:spacing w:line="360" w:lineRule="auto"/>
        <w:jc w:val="center"/>
        <w:rPr>
          <w:sz w:val="24"/>
          <w:szCs w:val="24"/>
        </w:rPr>
      </w:pPr>
      <w:r>
        <w:rPr>
          <w:rFonts w:hint="eastAsia"/>
          <w:sz w:val="24"/>
          <w:szCs w:val="24"/>
        </w:rPr>
        <w:drawing>
          <wp:inline distT="0" distB="0" distL="0" distR="0">
            <wp:extent cx="1963420" cy="93599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1">
                      <a:extLst>
                        <a:ext uri="{28A0092B-C50C-407E-A947-70E740481C1C}">
                          <a14:useLocalDpi xmlns:a14="http://schemas.microsoft.com/office/drawing/2010/main" val="0"/>
                        </a:ext>
                      </a:extLst>
                    </a:blip>
                    <a:srcRect t="10922" b="3659"/>
                    <a:stretch>
                      <a:fillRect/>
                    </a:stretch>
                  </pic:blipFill>
                  <pic:spPr>
                    <a:xfrm>
                      <a:off x="0" y="0"/>
                      <a:ext cx="1977609" cy="942775"/>
                    </a:xfrm>
                    <a:prstGeom prst="rect">
                      <a:avLst/>
                    </a:prstGeom>
                    <a:noFill/>
                    <a:ln>
                      <a:noFill/>
                    </a:ln>
                  </pic:spPr>
                </pic:pic>
              </a:graphicData>
            </a:graphic>
          </wp:inline>
        </w:drawing>
      </w:r>
      <w:r>
        <w:rPr>
          <w:sz w:val="24"/>
          <w:szCs w:val="24"/>
        </w:rPr>
        <w:t xml:space="preserve">   </w:t>
      </w:r>
      <w:r>
        <w:rPr>
          <w:rFonts w:hint="eastAsia"/>
          <w:sz w:val="24"/>
          <w:szCs w:val="24"/>
        </w:rPr>
        <w:drawing>
          <wp:inline distT="0" distB="0" distL="0" distR="0">
            <wp:extent cx="1609725" cy="9359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616669" cy="940133"/>
                    </a:xfrm>
                    <a:prstGeom prst="rect">
                      <a:avLst/>
                    </a:prstGeom>
                    <a:noFill/>
                    <a:ln>
                      <a:noFill/>
                    </a:ln>
                  </pic:spPr>
                </pic:pic>
              </a:graphicData>
            </a:graphic>
          </wp:inline>
        </w:drawing>
      </w:r>
    </w:p>
    <w:p w14:paraId="491277D7">
      <w:pPr>
        <w:ind w:firstLine="2100" w:firstLineChars="1000"/>
        <w:rPr>
          <w:rFonts w:hint="eastAsia" w:ascii="华文楷体" w:hAnsi="华文楷体" w:eastAsia="华文楷体"/>
        </w:rPr>
      </w:pPr>
      <w:r>
        <w:rPr>
          <w:rFonts w:hint="eastAsia" w:ascii="华文楷体" w:hAnsi="华文楷体" w:eastAsia="华文楷体"/>
        </w:rPr>
        <w:t xml:space="preserve">（a）左转弯匝道迂回形         </w:t>
      </w:r>
      <w:r>
        <w:rPr>
          <w:rFonts w:ascii="华文楷体" w:hAnsi="华文楷体" w:eastAsia="华文楷体"/>
        </w:rPr>
        <w:t xml:space="preserve">  </w:t>
      </w:r>
      <w:r>
        <w:rPr>
          <w:rFonts w:hint="eastAsia" w:ascii="华文楷体" w:hAnsi="华文楷体" w:eastAsia="华文楷体"/>
        </w:rPr>
        <w:t xml:space="preserve">        （b）喇叭形</w:t>
      </w:r>
    </w:p>
    <w:p w14:paraId="56FAF9FD">
      <w:pPr>
        <w:autoSpaceDE w:val="0"/>
        <w:autoSpaceDN w:val="0"/>
        <w:spacing w:line="360" w:lineRule="auto"/>
        <w:jc w:val="center"/>
        <w:rPr>
          <w:sz w:val="24"/>
          <w:szCs w:val="24"/>
        </w:rPr>
      </w:pPr>
      <w:r>
        <w:rPr>
          <w:rFonts w:hint="eastAsia"/>
          <w:sz w:val="24"/>
          <w:szCs w:val="24"/>
        </w:rPr>
        <w:drawing>
          <wp:inline distT="0" distB="0" distL="0" distR="0">
            <wp:extent cx="1514475" cy="120650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9">
                      <a:extLst>
                        <a:ext uri="{28A0092B-C50C-407E-A947-70E740481C1C}">
                          <a14:useLocalDpi xmlns:a14="http://schemas.microsoft.com/office/drawing/2010/main" val="0"/>
                        </a:ext>
                      </a:extLst>
                    </a:blip>
                    <a:srcRect t="7069" b="3534"/>
                    <a:stretch>
                      <a:fillRect/>
                    </a:stretch>
                  </pic:blipFill>
                  <pic:spPr>
                    <a:xfrm>
                      <a:off x="0" y="0"/>
                      <a:ext cx="1524494" cy="1214379"/>
                    </a:xfrm>
                    <a:prstGeom prst="rect">
                      <a:avLst/>
                    </a:prstGeom>
                    <a:noFill/>
                    <a:ln>
                      <a:noFill/>
                    </a:ln>
                  </pic:spPr>
                </pic:pic>
              </a:graphicData>
            </a:graphic>
          </wp:inline>
        </w:drawing>
      </w:r>
      <w:r>
        <w:rPr>
          <w:sz w:val="24"/>
          <w:szCs w:val="24"/>
        </w:rPr>
        <w:t xml:space="preserve">         </w:t>
      </w:r>
      <w:r>
        <w:rPr>
          <w:rFonts w:hint="eastAsia"/>
          <w:sz w:val="24"/>
          <w:szCs w:val="24"/>
        </w:rPr>
        <w:drawing>
          <wp:inline distT="0" distB="0" distL="0" distR="0">
            <wp:extent cx="1398905" cy="1141095"/>
            <wp:effectExtent l="0" t="0" r="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0">
                      <a:extLst>
                        <a:ext uri="{28A0092B-C50C-407E-A947-70E740481C1C}">
                          <a14:useLocalDpi xmlns:a14="http://schemas.microsoft.com/office/drawing/2010/main" val="0"/>
                        </a:ext>
                      </a:extLst>
                    </a:blip>
                    <a:srcRect t="6422"/>
                    <a:stretch>
                      <a:fillRect/>
                    </a:stretch>
                  </pic:blipFill>
                  <pic:spPr>
                    <a:xfrm>
                      <a:off x="0" y="0"/>
                      <a:ext cx="1411279" cy="1150790"/>
                    </a:xfrm>
                    <a:prstGeom prst="rect">
                      <a:avLst/>
                    </a:prstGeom>
                    <a:noFill/>
                    <a:ln>
                      <a:noFill/>
                    </a:ln>
                  </pic:spPr>
                </pic:pic>
              </a:graphicData>
            </a:graphic>
          </wp:inline>
        </w:drawing>
      </w:r>
    </w:p>
    <w:p w14:paraId="428ABFD2">
      <w:pPr>
        <w:ind w:firstLine="1365" w:firstLineChars="650"/>
        <w:rPr>
          <w:rFonts w:hint="eastAsia" w:ascii="华文楷体" w:hAnsi="华文楷体" w:eastAsia="华文楷体"/>
        </w:rPr>
      </w:pPr>
      <w:r>
        <w:rPr>
          <w:rFonts w:hint="eastAsia" w:ascii="华文楷体" w:hAnsi="华文楷体" w:eastAsia="华文楷体"/>
        </w:rPr>
        <w:t xml:space="preserve">（c）对角象限双环式变形苜蓿叶形   </w:t>
      </w:r>
      <w:r>
        <w:rPr>
          <w:rFonts w:ascii="华文楷体" w:hAnsi="华文楷体" w:eastAsia="华文楷体"/>
        </w:rPr>
        <w:t xml:space="preserve">       </w:t>
      </w:r>
      <w:r>
        <w:rPr>
          <w:rFonts w:hint="eastAsia" w:ascii="华文楷体" w:hAnsi="华文楷体" w:eastAsia="华文楷体"/>
        </w:rPr>
        <w:t xml:space="preserve">   （d）完全苜蓿叶形</w:t>
      </w:r>
    </w:p>
    <w:p w14:paraId="4F5B8EBE">
      <w:pPr>
        <w:pStyle w:val="115"/>
        <w:spacing w:before="156" w:after="156"/>
      </w:pPr>
      <w:r>
        <w:rPr>
          <w:rFonts w:hint="eastAsia"/>
        </w:rPr>
        <w:t>高原山区高速公路枢纽互通式立体交叉推荐形式图</w:t>
      </w:r>
    </w:p>
    <w:p w14:paraId="3D2056EA">
      <w:pPr>
        <w:pStyle w:val="181"/>
        <w:numPr>
          <w:ilvl w:val="0"/>
          <w:numId w:val="66"/>
        </w:numPr>
      </w:pPr>
      <w:r>
        <w:t>左转弯匝道迂回形互通为T形枢纽互通式立交主要型式，其线形指标相对较高，布局紧凑，占地省。故推荐在主次交通流量较为分明、地形条件较为狭窄时采用。</w:t>
      </w:r>
    </w:p>
    <w:p w14:paraId="1CB3124C">
      <w:pPr>
        <w:pStyle w:val="181"/>
      </w:pPr>
      <w:r>
        <w:t>相对T形枢纽互通式立交，单喇叭形枢纽互通桥跨少，工程规模小，造价较低，但环形匝道指标相对较低。故推荐在主次交通流量较为分明，环形匝道能满足通行能力要求，且互通区域地形条件相对开阔平坦时采用。</w:t>
      </w:r>
    </w:p>
    <w:p w14:paraId="1CD1A56F">
      <w:pPr>
        <w:pStyle w:val="181"/>
      </w:pPr>
      <w:r>
        <w:t>对角象限双环式变形苜蓿叶形互通为十字枢纽互通式立交主要型式，其线形指标相对较高，主流向交通直捷，布局紧凑，占地省。故推荐在主次交通流量较为分明，地形条件较为狭窄时采用。</w:t>
      </w:r>
    </w:p>
    <w:p w14:paraId="31C4532A">
      <w:pPr>
        <w:pStyle w:val="181"/>
      </w:pPr>
      <w:r>
        <w:t>完全苜蓿叶形较对角象限双环式</w:t>
      </w:r>
      <w:bookmarkStart w:id="262" w:name="_GoBack"/>
      <w:bookmarkEnd w:id="262"/>
      <w:r>
        <w:t>变形苜蓿叶形互通桥跨少，工程规模小，造价较低，但环形匝道指标相对较低、出入口存在交织。故推荐在环形匝道能满足所有流向的通行能力要求，且互通区域地形条件相对开阔平坦时采用。</w:t>
      </w:r>
    </w:p>
    <w:p w14:paraId="05259143">
      <w:pPr>
        <w:pStyle w:val="106"/>
        <w:spacing w:before="156" w:after="156"/>
        <w:rPr>
          <w:rStyle w:val="231"/>
          <w:rFonts w:hint="eastAsia"/>
          <w:color w:val="000000"/>
          <w:sz w:val="21"/>
          <w:szCs w:val="44"/>
        </w:rPr>
      </w:pPr>
      <w:bookmarkStart w:id="249" w:name="_Toc18761"/>
      <w:r>
        <w:rPr>
          <w:rStyle w:val="231"/>
          <w:rFonts w:hint="eastAsia"/>
          <w:color w:val="000000"/>
          <w:sz w:val="21"/>
          <w:szCs w:val="44"/>
        </w:rPr>
        <w:t>人行通道、天桥</w:t>
      </w:r>
      <w:bookmarkEnd w:id="249"/>
    </w:p>
    <w:p w14:paraId="0D425829">
      <w:pPr>
        <w:pStyle w:val="166"/>
      </w:pPr>
      <w:r>
        <w:rPr>
          <w:rFonts w:hint="eastAsia"/>
        </w:rPr>
        <w:t>人行通道的净宽应不小于3.00m。</w:t>
      </w:r>
    </w:p>
    <w:p w14:paraId="453CE5CD">
      <w:pPr>
        <w:pStyle w:val="166"/>
      </w:pPr>
      <w:r>
        <w:rPr>
          <w:rFonts w:hint="eastAsia"/>
        </w:rPr>
        <w:t>人行天桥的净宽应不小于2.00m。</w:t>
      </w:r>
    </w:p>
    <w:p w14:paraId="4C48B932">
      <w:pPr>
        <w:pStyle w:val="106"/>
        <w:spacing w:before="156" w:after="156"/>
        <w:rPr>
          <w:rStyle w:val="231"/>
          <w:rFonts w:hint="eastAsia"/>
          <w:color w:val="000000"/>
          <w:sz w:val="21"/>
          <w:szCs w:val="44"/>
        </w:rPr>
      </w:pPr>
      <w:bookmarkStart w:id="250" w:name="_Toc5500"/>
      <w:r>
        <w:rPr>
          <w:rStyle w:val="231"/>
          <w:rFonts w:hint="eastAsia"/>
          <w:color w:val="000000"/>
          <w:sz w:val="21"/>
          <w:szCs w:val="44"/>
        </w:rPr>
        <w:t>动物通道</w:t>
      </w:r>
      <w:bookmarkEnd w:id="250"/>
    </w:p>
    <w:p w14:paraId="1CF59732">
      <w:pPr>
        <w:pStyle w:val="166"/>
      </w:pPr>
      <w:bookmarkStart w:id="251" w:name="_Toc121125651"/>
      <w:bookmarkStart w:id="252" w:name="_Toc124697450"/>
      <w:r>
        <w:rPr>
          <w:rFonts w:hint="eastAsia"/>
        </w:rPr>
        <w:t>应结合沿线放牧及野生动物迁徙需要，选择合理位置设置必要的动物通道。动物通道可采用上跨式或下穿式，动物通道示意图可参见本文件附录D。</w:t>
      </w:r>
    </w:p>
    <w:p w14:paraId="14B61F73">
      <w:pPr>
        <w:pStyle w:val="166"/>
      </w:pPr>
      <w:r>
        <w:rPr>
          <w:rFonts w:hint="eastAsia"/>
        </w:rPr>
        <w:t>穿越草原区域时，应根据放牧、生产等需要修建沿公路通行的便道（牧道）。</w:t>
      </w:r>
    </w:p>
    <w:p w14:paraId="29E140CA">
      <w:pPr>
        <w:pStyle w:val="166"/>
      </w:pPr>
      <w:r>
        <w:rPr>
          <w:rFonts w:hint="eastAsia"/>
        </w:rPr>
        <w:t>对于沿线存在动物通道的路段，应设立动物通道标志。</w:t>
      </w:r>
    </w:p>
    <w:p w14:paraId="417F6032">
      <w:pPr>
        <w:pStyle w:val="106"/>
        <w:spacing w:before="156" w:after="156"/>
        <w:rPr>
          <w:rStyle w:val="231"/>
          <w:rFonts w:hint="eastAsia"/>
          <w:color w:val="000000"/>
          <w:sz w:val="21"/>
          <w:szCs w:val="44"/>
        </w:rPr>
      </w:pPr>
      <w:bookmarkStart w:id="253" w:name="_Toc28468"/>
      <w:r>
        <w:rPr>
          <w:rStyle w:val="231"/>
          <w:rFonts w:hint="eastAsia"/>
          <w:color w:val="000000"/>
          <w:sz w:val="21"/>
          <w:szCs w:val="44"/>
        </w:rPr>
        <w:t>服务区</w:t>
      </w:r>
      <w:bookmarkEnd w:id="251"/>
      <w:bookmarkEnd w:id="252"/>
      <w:bookmarkEnd w:id="253"/>
    </w:p>
    <w:p w14:paraId="4E9A3DB2">
      <w:pPr>
        <w:pStyle w:val="166"/>
      </w:pPr>
      <w:r>
        <w:rPr>
          <w:rFonts w:hint="eastAsia"/>
        </w:rPr>
        <w:t>服务区间距不应大于80km。</w:t>
      </w:r>
    </w:p>
    <w:p w14:paraId="356F2D15">
      <w:pPr>
        <w:pStyle w:val="166"/>
      </w:pPr>
      <w:r>
        <w:t>在</w:t>
      </w:r>
      <w:r>
        <w:rPr>
          <w:rFonts w:hint="eastAsia"/>
        </w:rPr>
        <w:t>地形受限或其他特殊困难情况下，服务区可与互通式立体交叉统筹设计，如图4。主线为桥梁且净空满足要求时，可充分利用桥下空间布设附属设施。</w:t>
      </w:r>
    </w:p>
    <w:p w14:paraId="55EC5B3C">
      <w:pPr>
        <w:pStyle w:val="106"/>
        <w:numPr>
          <w:ilvl w:val="0"/>
          <w:numId w:val="0"/>
        </w:numPr>
        <w:spacing w:before="156" w:after="156"/>
        <w:jc w:val="center"/>
      </w:pPr>
      <w:r>
        <w:rPr>
          <w:rFonts w:hint="eastAsia"/>
        </w:rPr>
        <w:drawing>
          <wp:inline distT="0" distB="0" distL="0" distR="0">
            <wp:extent cx="4175760" cy="2407920"/>
            <wp:effectExtent l="0" t="0" r="0" b="0"/>
            <wp:docPr id="22" name="图片 22" descr="G:\B-2023文档\科研\0630\服务区与互通立交合设示意图01.jpg服务区与互通立交合设示意图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G:\B-2023文档\科研\0630\服务区与互通立交合设示意图01.jpg服务区与互通立交合设示意图01"/>
                    <pic:cNvPicPr>
                      <a:picLocks noChangeAspect="1" noChangeArrowheads="1"/>
                    </pic:cNvPicPr>
                  </pic:nvPicPr>
                  <pic:blipFill>
                    <a:blip r:embed="rId23" cstate="print">
                      <a:extLst>
                        <a:ext uri="{28A0092B-C50C-407E-A947-70E740481C1C}">
                          <a14:useLocalDpi xmlns:a14="http://schemas.microsoft.com/office/drawing/2010/main" val="0"/>
                        </a:ext>
                      </a:extLst>
                    </a:blip>
                    <a:srcRect l="621" r="296" b="19147"/>
                    <a:stretch>
                      <a:fillRect/>
                    </a:stretch>
                  </pic:blipFill>
                  <pic:spPr>
                    <a:xfrm>
                      <a:off x="0" y="0"/>
                      <a:ext cx="4189122" cy="2415576"/>
                    </a:xfrm>
                    <a:prstGeom prst="rect">
                      <a:avLst/>
                    </a:prstGeom>
                    <a:noFill/>
                    <a:ln>
                      <a:noFill/>
                    </a:ln>
                    <a:effectLst/>
                  </pic:spPr>
                </pic:pic>
              </a:graphicData>
            </a:graphic>
          </wp:inline>
        </w:drawing>
      </w:r>
    </w:p>
    <w:p w14:paraId="0BAB4B9F">
      <w:pPr>
        <w:pStyle w:val="115"/>
        <w:spacing w:before="156" w:after="156"/>
      </w:pPr>
      <w:r>
        <w:rPr>
          <w:rFonts w:hint="eastAsia"/>
        </w:rPr>
        <w:t>高原山区高速公路互通式立体交叉与服务区合并设置示意图</w:t>
      </w:r>
    </w:p>
    <w:p w14:paraId="1D261E90">
      <w:pPr>
        <w:pStyle w:val="166"/>
      </w:pPr>
      <w:r>
        <w:rPr>
          <w:rFonts w:hint="eastAsia"/>
        </w:rPr>
        <w:t>服务区范围内的主线线形指标应符合本文件表19的规定。</w:t>
      </w:r>
    </w:p>
    <w:p w14:paraId="5A6F3488">
      <w:pPr>
        <w:pStyle w:val="166"/>
      </w:pPr>
      <w:r>
        <w:rPr>
          <w:rFonts w:hint="eastAsia"/>
        </w:rPr>
        <w:t>服务区变速车道长度及有关参数应符合本文件表20的规定。</w:t>
      </w:r>
    </w:p>
    <w:p w14:paraId="6EDCA4CE">
      <w:pPr>
        <w:pStyle w:val="105"/>
        <w:spacing w:before="312" w:after="312"/>
      </w:pPr>
      <w:bookmarkStart w:id="254" w:name="_Toc32452"/>
      <w:r>
        <w:rPr>
          <w:rFonts w:hint="eastAsia"/>
        </w:rPr>
        <w:t>交通工程及沿线设施</w:t>
      </w:r>
      <w:bookmarkEnd w:id="254"/>
    </w:p>
    <w:p w14:paraId="21AB69E6">
      <w:pPr>
        <w:pStyle w:val="106"/>
        <w:spacing w:before="156" w:after="156"/>
        <w:rPr>
          <w:rStyle w:val="231"/>
          <w:rFonts w:hint="eastAsia"/>
          <w:color w:val="000000"/>
          <w:sz w:val="21"/>
          <w:szCs w:val="44"/>
        </w:rPr>
      </w:pPr>
      <w:bookmarkStart w:id="255" w:name="_Toc13016"/>
      <w:bookmarkStart w:id="256" w:name="_Toc124697452"/>
      <w:bookmarkStart w:id="257" w:name="_Toc120975612"/>
      <w:r>
        <w:rPr>
          <w:rStyle w:val="231"/>
          <w:rFonts w:hint="eastAsia"/>
          <w:color w:val="000000"/>
          <w:sz w:val="21"/>
          <w:szCs w:val="44"/>
        </w:rPr>
        <w:t>一般规定</w:t>
      </w:r>
      <w:bookmarkEnd w:id="255"/>
    </w:p>
    <w:p w14:paraId="480A6828">
      <w:pPr>
        <w:pStyle w:val="166"/>
      </w:pPr>
      <w:r>
        <w:rPr>
          <w:rFonts w:hint="eastAsia"/>
        </w:rPr>
        <w:t>本部分包括交通安全设施、管养设施及路段机电、房建工程。</w:t>
      </w:r>
    </w:p>
    <w:bookmarkEnd w:id="256"/>
    <w:bookmarkEnd w:id="257"/>
    <w:p w14:paraId="524AAAEF">
      <w:pPr>
        <w:pStyle w:val="166"/>
      </w:pPr>
      <w:r>
        <w:rPr>
          <w:rFonts w:hint="eastAsia"/>
          <w:color w:val="FF0000"/>
        </w:rPr>
        <w:t>房建工程中的服务设施</w:t>
      </w:r>
      <w:r>
        <w:rPr>
          <w:rFonts w:hint="eastAsia"/>
        </w:rPr>
        <w:t>规模应根据交通量及道路等级确定，以控制服务区用地及建筑规模，并应符合下列规定。</w:t>
      </w:r>
    </w:p>
    <w:p w14:paraId="158C7BF4">
      <w:pPr>
        <w:pStyle w:val="175"/>
        <w:numPr>
          <w:ilvl w:val="0"/>
          <w:numId w:val="67"/>
        </w:numPr>
      </w:pPr>
      <w:r>
        <w:rPr>
          <w:rFonts w:hint="eastAsia"/>
        </w:rPr>
        <w:t>年平均日设计交通量介于</w:t>
      </w:r>
      <w:r>
        <w:t>25000～30000 pcu/d</w:t>
      </w:r>
      <w:r>
        <w:rPr>
          <w:rFonts w:hint="eastAsia"/>
        </w:rPr>
        <w:t>的小交通量高速公路，采用I型服务区。</w:t>
      </w:r>
    </w:p>
    <w:p w14:paraId="497BED0C">
      <w:pPr>
        <w:pStyle w:val="175"/>
      </w:pPr>
      <w:r>
        <w:rPr>
          <w:rFonts w:hint="eastAsia"/>
        </w:rPr>
        <w:t>年平均日设计交通量小于25000 pcu/d的小交通量高速公路，采用I</w:t>
      </w:r>
      <w:r>
        <w:t>I</w:t>
      </w:r>
      <w:r>
        <w:rPr>
          <w:rFonts w:hint="eastAsia"/>
        </w:rPr>
        <w:t>型服务区。</w:t>
      </w:r>
    </w:p>
    <w:p w14:paraId="3241C20C">
      <w:pPr>
        <w:pStyle w:val="166"/>
      </w:pPr>
      <w:r>
        <w:t>应结合项目技术等级、速度分段、主要几何指标采用情况、</w:t>
      </w:r>
      <w:r>
        <w:rPr>
          <w:rFonts w:hint="eastAsia"/>
        </w:rPr>
        <w:t>年平均日设计交通量</w:t>
      </w:r>
      <w:r>
        <w:t>与车型组成及沿线路域</w:t>
      </w:r>
      <w:r>
        <w:rPr>
          <w:rFonts w:hint="eastAsia"/>
        </w:rPr>
        <w:t>环境</w:t>
      </w:r>
      <w:r>
        <w:t>等因素，在交通安全性评价的基础上，根据相关规定，论证</w:t>
      </w:r>
      <w:r>
        <w:rPr>
          <w:rFonts w:hint="eastAsia"/>
        </w:rPr>
        <w:t>并制定</w:t>
      </w:r>
      <w:r>
        <w:t>运营期限速与速度控制方案。</w:t>
      </w:r>
    </w:p>
    <w:p w14:paraId="1FBE1449">
      <w:pPr>
        <w:pStyle w:val="166"/>
      </w:pPr>
      <w:r>
        <w:rPr>
          <w:rFonts w:hint="eastAsia"/>
        </w:rPr>
        <w:t>连续性纵坡、长大隧道</w:t>
      </w:r>
      <w:r>
        <w:t>（</w:t>
      </w:r>
      <w:r>
        <w:rPr>
          <w:rFonts w:hint="eastAsia"/>
        </w:rPr>
        <w:t>群</w:t>
      </w:r>
      <w:r>
        <w:t>）</w:t>
      </w:r>
      <w:r>
        <w:rPr>
          <w:rFonts w:hint="eastAsia"/>
        </w:rPr>
        <w:t>、桥隧相连、隧道与互通式立交相连、气象灾害多发、临水临崖与高填方等路段，应充分结合交通安全性评价结论，加强道路监控、自发光诱导设施、交通安全设施等的综合设计。</w:t>
      </w:r>
    </w:p>
    <w:p w14:paraId="5A1D0AC3">
      <w:pPr>
        <w:pStyle w:val="166"/>
      </w:pPr>
      <w:r>
        <w:rPr>
          <w:rFonts w:hint="eastAsia"/>
        </w:rPr>
        <w:t>四川省高原山区紫外线强、昼夜温差大，交通安全设施在满足规范要求、相关性能要求的前提下，宜推广采用环保且具有较好耐候性、耐腐蚀性的新技术与新材料。</w:t>
      </w:r>
    </w:p>
    <w:p w14:paraId="2732B74E">
      <w:pPr>
        <w:pStyle w:val="106"/>
        <w:spacing w:before="156" w:after="156"/>
        <w:rPr>
          <w:rStyle w:val="231"/>
          <w:rFonts w:hint="eastAsia"/>
          <w:color w:val="000000"/>
          <w:sz w:val="21"/>
          <w:szCs w:val="44"/>
        </w:rPr>
      </w:pPr>
      <w:bookmarkStart w:id="258" w:name="_Toc898"/>
      <w:r>
        <w:rPr>
          <w:rStyle w:val="231"/>
          <w:rFonts w:hint="eastAsia"/>
          <w:color w:val="000000"/>
          <w:sz w:val="21"/>
          <w:szCs w:val="44"/>
        </w:rPr>
        <w:t>交通安全设施</w:t>
      </w:r>
      <w:bookmarkEnd w:id="258"/>
    </w:p>
    <w:p w14:paraId="5FAEE45B">
      <w:pPr>
        <w:pStyle w:val="166"/>
      </w:pPr>
      <w:r>
        <w:rPr>
          <w:rFonts w:hint="eastAsia"/>
        </w:rPr>
        <w:t>应依据项目路线总体设计提出的限速方案，进行标志、标线等交通工程设施的设计与布设，体现总体设计在线形、主要几何指标选用等方面的思路与原则。</w:t>
      </w:r>
    </w:p>
    <w:p w14:paraId="537B59AA">
      <w:pPr>
        <w:pStyle w:val="166"/>
      </w:pPr>
      <w:r>
        <w:t>对小</w:t>
      </w:r>
      <w:r>
        <w:rPr>
          <w:rFonts w:hint="eastAsia"/>
        </w:rPr>
        <w:t>交通量</w:t>
      </w:r>
      <w:r>
        <w:t>高速公路，在一般路段宜采用允许超车变道的虚线。</w:t>
      </w:r>
    </w:p>
    <w:p w14:paraId="3E2BAA19">
      <w:pPr>
        <w:pStyle w:val="166"/>
      </w:pPr>
      <w:r>
        <w:rPr>
          <w:rFonts w:hint="eastAsia"/>
        </w:rPr>
        <w:t>对受长陡纵坡、路面结冰、强降雨、雪和大雾等不利因素影响的路段，应通过沿线交通工程及预警设施加强警告、提示。</w:t>
      </w:r>
    </w:p>
    <w:p w14:paraId="2C2944AB">
      <w:pPr>
        <w:pStyle w:val="166"/>
      </w:pPr>
      <w:r>
        <w:rPr>
          <w:rFonts w:hint="eastAsia"/>
        </w:rPr>
        <w:t>交通标志和标线应符合以下规定。</w:t>
      </w:r>
    </w:p>
    <w:p w14:paraId="463C27D1">
      <w:pPr>
        <w:pStyle w:val="175"/>
        <w:numPr>
          <w:ilvl w:val="0"/>
          <w:numId w:val="68"/>
        </w:numPr>
      </w:pPr>
      <w:r>
        <w:rPr>
          <w:rFonts w:hint="eastAsia"/>
        </w:rPr>
        <w:t>在线形指标接近极限值路段，连续长、陡下坡路段及其他视距不良路段宜设置相应的警告标志或线形诱导标志等；当上述路段雨、雪、雾恶劣天气多发时，宜采用主动发光型警告标志或线形诱导标志。</w:t>
      </w:r>
    </w:p>
    <w:p w14:paraId="0CD052A6">
      <w:pPr>
        <w:pStyle w:val="175"/>
      </w:pPr>
      <w:r>
        <w:rPr>
          <w:rFonts w:hint="eastAsia"/>
        </w:rPr>
        <w:t>位于隧道内光线较弱环境下的出口预告标志，宜采用带反光性能的主动发光标志，并应采用应急电源供电。</w:t>
      </w:r>
    </w:p>
    <w:p w14:paraId="2EFF55FD">
      <w:pPr>
        <w:pStyle w:val="175"/>
      </w:pPr>
      <w:r>
        <w:rPr>
          <w:rFonts w:hint="eastAsia"/>
        </w:rPr>
        <w:t>对于兼具旅游功能的高速公路，宜设置与沿线旅游资源和自然环境相匹配的交通标志。</w:t>
      </w:r>
    </w:p>
    <w:p w14:paraId="1492A0C8">
      <w:pPr>
        <w:pStyle w:val="175"/>
      </w:pPr>
      <w:r>
        <w:rPr>
          <w:rFonts w:hint="eastAsia"/>
        </w:rPr>
        <w:t>特大桥梁、特长隧道、急弯陡坡、长陡下坡等路段，应进行特殊设计，综合考虑设置减速标线、纵向振荡标线、防滑型标线及禁止跨越同向车行道分界线等。</w:t>
      </w:r>
    </w:p>
    <w:p w14:paraId="582ED246">
      <w:pPr>
        <w:pStyle w:val="175"/>
      </w:pPr>
      <w:r>
        <w:rPr>
          <w:rFonts w:hint="eastAsia"/>
        </w:rPr>
        <w:t>标线宜采用低VOC排放量、全寿命周期成本省的MMA双组分环保涂料。新划白色反光标线的逆反射亮度系数不应低于</w:t>
      </w:r>
      <w:r>
        <w:t>2</w:t>
      </w:r>
      <w:r>
        <w:rPr>
          <w:rFonts w:hint="eastAsia"/>
        </w:rPr>
        <w:t>50mcd.m-2.lx-1。</w:t>
      </w:r>
    </w:p>
    <w:p w14:paraId="1745BB6C">
      <w:pPr>
        <w:pStyle w:val="175"/>
      </w:pPr>
      <w:r>
        <w:rPr>
          <w:rFonts w:hint="eastAsia"/>
        </w:rPr>
        <w:t>隧道内检修道侧壁宜刷涂反光立面标记涂料。</w:t>
      </w:r>
    </w:p>
    <w:p w14:paraId="6933D89A">
      <w:pPr>
        <w:pStyle w:val="166"/>
      </w:pPr>
      <w:r>
        <w:rPr>
          <w:rFonts w:hint="eastAsia"/>
        </w:rPr>
        <w:t>四川省高原山区山体破碎、山坡陡峻，存在危岩、落石路段，应重点加强危岩、落石调查和清理，合理设置拦挡设施；路侧拦挡设施应优先采用拦石墙等形式。</w:t>
      </w:r>
    </w:p>
    <w:p w14:paraId="050978E5">
      <w:pPr>
        <w:pStyle w:val="166"/>
      </w:pPr>
      <w:r>
        <w:rPr>
          <w:rFonts w:hint="eastAsia"/>
        </w:rPr>
        <w:t>护栏设计应符合以下规定。</w:t>
      </w:r>
    </w:p>
    <w:p w14:paraId="576FA0B6">
      <w:pPr>
        <w:pStyle w:val="235"/>
        <w:numPr>
          <w:ilvl w:val="1"/>
          <w:numId w:val="69"/>
        </w:numPr>
        <w:spacing w:before="0" w:beforeLines="0" w:after="156"/>
        <w:ind w:firstLineChars="0"/>
      </w:pPr>
      <w:r>
        <w:t>护栏防护等级应结合高原山区</w:t>
      </w:r>
      <w:r>
        <w:rPr>
          <w:rFonts w:hint="eastAsia"/>
        </w:rPr>
        <w:t>设计</w:t>
      </w:r>
      <w:r>
        <w:t>速度、路段可能发生事故的严重程度等级确定，并</w:t>
      </w:r>
      <w:r>
        <w:rPr>
          <w:rFonts w:hint="eastAsia"/>
        </w:rPr>
        <w:t>符合表2</w:t>
      </w:r>
      <w:r>
        <w:t>2</w:t>
      </w:r>
      <w:r>
        <w:rPr>
          <w:rFonts w:hint="eastAsia"/>
        </w:rPr>
        <w:t>的规定。</w:t>
      </w:r>
    </w:p>
    <w:p w14:paraId="7BDD5E87">
      <w:pPr>
        <w:pStyle w:val="235"/>
        <w:numPr>
          <w:ilvl w:val="1"/>
          <w:numId w:val="69"/>
        </w:numPr>
        <w:spacing w:before="0" w:beforeLines="0" w:after="156"/>
        <w:ind w:firstLineChars="0"/>
        <w:rPr>
          <w:szCs w:val="21"/>
        </w:rPr>
      </w:pPr>
      <w:r>
        <w:rPr>
          <w:rFonts w:hint="eastAsia" w:ascii="宋体" w:hAnsi="宋体"/>
        </w:rPr>
        <w:t>中央分隔带宽度小于</w:t>
      </w:r>
      <w:r>
        <w:rPr>
          <w:rFonts w:hint="eastAsia"/>
        </w:rPr>
        <w:t>2.5m</w:t>
      </w:r>
      <w:r>
        <w:rPr>
          <w:rFonts w:hint="eastAsia" w:ascii="宋体" w:hAnsi="宋体"/>
        </w:rPr>
        <w:t>且采用整体式护栏形式时，护栏防护等级不应低于</w:t>
      </w:r>
      <w:r>
        <w:rPr>
          <w:rFonts w:hint="eastAsia"/>
        </w:rPr>
        <w:t>SA</w:t>
      </w:r>
      <w:r>
        <w:rPr>
          <w:rFonts w:hint="eastAsia" w:ascii="宋体" w:hAnsi="宋体"/>
        </w:rPr>
        <w:t>级。</w:t>
      </w:r>
    </w:p>
    <w:p w14:paraId="5CF5730F">
      <w:pPr>
        <w:pStyle w:val="235"/>
        <w:numPr>
          <w:ilvl w:val="1"/>
          <w:numId w:val="69"/>
        </w:numPr>
        <w:spacing w:before="0" w:beforeLines="0" w:after="156"/>
        <w:ind w:firstLineChars="0"/>
      </w:pPr>
      <w:r>
        <w:rPr>
          <w:rFonts w:hint="eastAsia" w:ascii="宋体" w:hAnsi="宋体"/>
        </w:rPr>
        <w:t>事故发生可能性较高或后果可能较严重的路段，以及在年平均日设计交通量中总质量大于或等于</w:t>
      </w:r>
      <w:r>
        <w:rPr>
          <w:rFonts w:hint="eastAsia"/>
        </w:rPr>
        <w:t>2</w:t>
      </w:r>
      <w:r>
        <w:t>5</w:t>
      </w:r>
      <w:r>
        <w:rPr>
          <w:rFonts w:hint="eastAsia"/>
        </w:rPr>
        <w:t>t</w:t>
      </w:r>
      <w:r>
        <w:rPr>
          <w:rFonts w:hint="eastAsia" w:ascii="宋体" w:hAnsi="宋体"/>
        </w:rPr>
        <w:t>的车辆自然数所占比例大于</w:t>
      </w:r>
      <w:r>
        <w:rPr>
          <w:rFonts w:hint="eastAsia"/>
        </w:rPr>
        <w:t>2</w:t>
      </w:r>
      <w:r>
        <w:t>0</w:t>
      </w:r>
      <w:r>
        <w:rPr>
          <w:rFonts w:hint="eastAsia" w:ascii="宋体" w:hAnsi="宋体"/>
        </w:rPr>
        <w:t>％时，宜在表</w:t>
      </w:r>
      <w:r>
        <w:t>11.2.6</w:t>
      </w:r>
      <w:r>
        <w:rPr>
          <w:rFonts w:hint="eastAsia" w:ascii="宋体" w:hAnsi="宋体"/>
        </w:rPr>
        <w:t>规定的防护等级上提高</w:t>
      </w:r>
      <w:r>
        <w:rPr>
          <w:rFonts w:hint="eastAsia"/>
        </w:rPr>
        <w:t>1</w:t>
      </w:r>
      <w:r>
        <w:rPr>
          <w:rFonts w:hint="eastAsia" w:ascii="宋体" w:hAnsi="宋体"/>
        </w:rPr>
        <w:t>个等级。</w:t>
      </w:r>
    </w:p>
    <w:p w14:paraId="63D73EC3">
      <w:pPr>
        <w:pStyle w:val="235"/>
        <w:numPr>
          <w:ilvl w:val="1"/>
          <w:numId w:val="69"/>
        </w:numPr>
        <w:spacing w:before="0" w:beforeLines="0" w:after="156"/>
        <w:ind w:firstLineChars="0"/>
        <w:rPr>
          <w:szCs w:val="21"/>
        </w:rPr>
      </w:pPr>
      <w:r>
        <w:rPr>
          <w:rFonts w:hint="eastAsia" w:ascii="宋体" w:hAnsi="宋体"/>
        </w:rPr>
        <w:t>中央分隔带护栏应根据路基横断面布置，合理选用护栏形式。中央分隔带开口处设置的活动护栏防护等级，应满足《公路交通安全设施设计细则》（</w:t>
      </w:r>
      <w:r>
        <w:rPr>
          <w:rFonts w:hint="eastAsia"/>
        </w:rPr>
        <w:t>JTG/T D8</w:t>
      </w:r>
      <w:r>
        <w:t>1</w:t>
      </w:r>
      <w:r>
        <w:rPr>
          <w:rFonts w:hint="eastAsia" w:ascii="宋体" w:hAnsi="宋体"/>
        </w:rPr>
        <w:t>）规范的相关要求。</w:t>
      </w:r>
    </w:p>
    <w:p w14:paraId="2EB11A41">
      <w:pPr>
        <w:pStyle w:val="235"/>
        <w:numPr>
          <w:ilvl w:val="1"/>
          <w:numId w:val="69"/>
        </w:numPr>
        <w:spacing w:before="0" w:beforeLines="0" w:after="156"/>
        <w:ind w:firstLineChars="0"/>
      </w:pPr>
      <w:r>
        <w:rPr>
          <w:rFonts w:hint="eastAsia" w:ascii="宋体" w:hAnsi="宋体"/>
        </w:rPr>
        <w:t>不同形式的护栏相接时应进行过渡设计，护栏端头、过渡段、渐变段和隧道洞口护栏过渡段均应进行针对性设计。各种护栏和构造物之间应互相衔接，强度、刚度以及纵横断面的连接和过渡应顺适。</w:t>
      </w:r>
    </w:p>
    <w:p w14:paraId="31BCFAA6">
      <w:pPr>
        <w:pStyle w:val="180"/>
      </w:pPr>
      <w:r>
        <w:rPr>
          <w:rFonts w:hint="eastAsia"/>
        </w:rPr>
        <w:t>公路纵坡等于或接近于规范规定最大纵坡值的下坡路段，或平面圆曲线半径等于或接近于规范规定最小圆曲线半径的外侧等路段，发生交通事故的后果较为严重，故作出上述规定。</w:t>
      </w:r>
    </w:p>
    <w:p w14:paraId="4FCA0E71">
      <w:pPr>
        <w:pStyle w:val="113"/>
        <w:spacing w:before="156" w:after="156"/>
      </w:pPr>
      <w:r>
        <w:rPr>
          <w:rFonts w:hint="eastAsia"/>
        </w:rPr>
        <w:t>高原山区小交通量高速公路</w:t>
      </w:r>
      <w:r>
        <w:t>护栏防护等级的选取</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56"/>
        <w:gridCol w:w="1556"/>
        <w:gridCol w:w="1555"/>
        <w:gridCol w:w="1555"/>
        <w:gridCol w:w="1556"/>
        <w:gridCol w:w="1556"/>
      </w:tblGrid>
      <w:tr w14:paraId="52BD53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6" w:type="dxa"/>
            <w:vMerge w:val="restart"/>
            <w:tcBorders>
              <w:top w:val="single" w:color="auto" w:sz="8" w:space="0"/>
            </w:tcBorders>
            <w:shd w:val="clear" w:color="auto" w:fill="auto"/>
            <w:vAlign w:val="center"/>
          </w:tcPr>
          <w:p w14:paraId="4507690A">
            <w:pPr>
              <w:pStyle w:val="179"/>
              <w:rPr>
                <w:rFonts w:hint="eastAsia"/>
              </w:rPr>
            </w:pPr>
            <w:r>
              <w:rPr>
                <w:rFonts w:hint="eastAsia"/>
              </w:rPr>
              <w:t>公路等级</w:t>
            </w:r>
          </w:p>
        </w:tc>
        <w:tc>
          <w:tcPr>
            <w:tcW w:w="1556" w:type="dxa"/>
            <w:vMerge w:val="restart"/>
            <w:tcBorders>
              <w:top w:val="single" w:color="auto" w:sz="8" w:space="0"/>
            </w:tcBorders>
            <w:shd w:val="clear" w:color="auto" w:fill="auto"/>
            <w:vAlign w:val="center"/>
          </w:tcPr>
          <w:p w14:paraId="48556F1D">
            <w:pPr>
              <w:pStyle w:val="179"/>
              <w:rPr>
                <w:rFonts w:hint="eastAsia"/>
              </w:rPr>
            </w:pPr>
            <w:r>
              <w:rPr>
                <w:rFonts w:hint="eastAsia"/>
              </w:rPr>
              <w:t>护栏型式</w:t>
            </w:r>
          </w:p>
        </w:tc>
        <w:tc>
          <w:tcPr>
            <w:tcW w:w="1555" w:type="dxa"/>
            <w:vMerge w:val="restart"/>
            <w:tcBorders>
              <w:top w:val="single" w:color="auto" w:sz="8" w:space="0"/>
            </w:tcBorders>
            <w:shd w:val="clear" w:color="auto" w:fill="auto"/>
            <w:vAlign w:val="center"/>
          </w:tcPr>
          <w:p w14:paraId="10947425">
            <w:pPr>
              <w:pStyle w:val="179"/>
              <w:rPr>
                <w:rFonts w:hint="eastAsia"/>
              </w:rPr>
            </w:pPr>
            <w:r>
              <w:rPr>
                <w:rFonts w:hint="eastAsia"/>
              </w:rPr>
              <w:t>设计速度</w:t>
            </w:r>
            <w:r>
              <w:rPr>
                <w:rFonts w:hint="eastAsia"/>
              </w:rPr>
              <w:br w:type="textWrapping"/>
            </w:r>
            <w:r>
              <w:rPr>
                <w:rFonts w:hint="eastAsia"/>
              </w:rPr>
              <w:t>（km/h）</w:t>
            </w:r>
          </w:p>
        </w:tc>
        <w:tc>
          <w:tcPr>
            <w:tcW w:w="4667" w:type="dxa"/>
            <w:gridSpan w:val="3"/>
            <w:tcBorders>
              <w:top w:val="single" w:color="auto" w:sz="8" w:space="0"/>
              <w:bottom w:val="single" w:color="auto" w:sz="8" w:space="0"/>
            </w:tcBorders>
            <w:shd w:val="clear" w:color="auto" w:fill="auto"/>
            <w:vAlign w:val="center"/>
          </w:tcPr>
          <w:p w14:paraId="28D6C7D7">
            <w:pPr>
              <w:pStyle w:val="179"/>
              <w:rPr>
                <w:rFonts w:hint="eastAsia"/>
              </w:rPr>
            </w:pPr>
            <w:r>
              <w:rPr>
                <w:rFonts w:hint="eastAsia"/>
              </w:rPr>
              <w:t>事故严重程度等级</w:t>
            </w:r>
          </w:p>
        </w:tc>
      </w:tr>
      <w:tr w14:paraId="6C6D8A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556" w:type="dxa"/>
            <w:vMerge w:val="continue"/>
            <w:tcBorders>
              <w:bottom w:val="single" w:color="auto" w:sz="8" w:space="0"/>
            </w:tcBorders>
            <w:shd w:val="clear" w:color="auto" w:fill="auto"/>
            <w:vAlign w:val="center"/>
          </w:tcPr>
          <w:p w14:paraId="76A84D70">
            <w:pPr>
              <w:pStyle w:val="179"/>
              <w:rPr>
                <w:rFonts w:hint="eastAsia"/>
              </w:rPr>
            </w:pPr>
          </w:p>
        </w:tc>
        <w:tc>
          <w:tcPr>
            <w:tcW w:w="1556" w:type="dxa"/>
            <w:vMerge w:val="continue"/>
            <w:tcBorders>
              <w:bottom w:val="single" w:color="auto" w:sz="8" w:space="0"/>
            </w:tcBorders>
            <w:shd w:val="clear" w:color="auto" w:fill="auto"/>
            <w:vAlign w:val="center"/>
          </w:tcPr>
          <w:p w14:paraId="31AFC9E9">
            <w:pPr>
              <w:pStyle w:val="179"/>
              <w:rPr>
                <w:rFonts w:hint="eastAsia"/>
              </w:rPr>
            </w:pPr>
          </w:p>
        </w:tc>
        <w:tc>
          <w:tcPr>
            <w:tcW w:w="1555" w:type="dxa"/>
            <w:vMerge w:val="continue"/>
            <w:tcBorders>
              <w:bottom w:val="single" w:color="auto" w:sz="8" w:space="0"/>
            </w:tcBorders>
            <w:shd w:val="clear" w:color="auto" w:fill="auto"/>
            <w:vAlign w:val="center"/>
          </w:tcPr>
          <w:p w14:paraId="3FE1ABD0">
            <w:pPr>
              <w:pStyle w:val="179"/>
              <w:rPr>
                <w:rFonts w:hint="eastAsia"/>
              </w:rPr>
            </w:pPr>
          </w:p>
        </w:tc>
        <w:tc>
          <w:tcPr>
            <w:tcW w:w="1555" w:type="dxa"/>
            <w:tcBorders>
              <w:top w:val="single" w:color="auto" w:sz="8" w:space="0"/>
              <w:bottom w:val="single" w:color="auto" w:sz="8" w:space="0"/>
            </w:tcBorders>
            <w:shd w:val="clear" w:color="auto" w:fill="auto"/>
            <w:vAlign w:val="center"/>
          </w:tcPr>
          <w:p w14:paraId="4F891EEE">
            <w:pPr>
              <w:pStyle w:val="179"/>
              <w:rPr>
                <w:rFonts w:hint="eastAsia"/>
              </w:rPr>
            </w:pPr>
            <w:r>
              <w:rPr>
                <w:rFonts w:hint="eastAsia"/>
              </w:rPr>
              <w:t>低</w:t>
            </w:r>
          </w:p>
        </w:tc>
        <w:tc>
          <w:tcPr>
            <w:tcW w:w="1556" w:type="dxa"/>
            <w:tcBorders>
              <w:top w:val="single" w:color="auto" w:sz="8" w:space="0"/>
              <w:bottom w:val="single" w:color="auto" w:sz="8" w:space="0"/>
            </w:tcBorders>
            <w:shd w:val="clear" w:color="auto" w:fill="auto"/>
            <w:vAlign w:val="center"/>
          </w:tcPr>
          <w:p w14:paraId="5A747E88">
            <w:pPr>
              <w:pStyle w:val="179"/>
              <w:rPr>
                <w:rFonts w:hint="eastAsia"/>
              </w:rPr>
            </w:pPr>
            <w:r>
              <w:rPr>
                <w:rFonts w:hint="eastAsia"/>
              </w:rPr>
              <w:t>中</w:t>
            </w:r>
          </w:p>
        </w:tc>
        <w:tc>
          <w:tcPr>
            <w:tcW w:w="1556" w:type="dxa"/>
            <w:tcBorders>
              <w:top w:val="single" w:color="auto" w:sz="8" w:space="0"/>
              <w:bottom w:val="single" w:color="auto" w:sz="8" w:space="0"/>
            </w:tcBorders>
            <w:shd w:val="clear" w:color="auto" w:fill="auto"/>
            <w:vAlign w:val="center"/>
          </w:tcPr>
          <w:p w14:paraId="4226FABA">
            <w:pPr>
              <w:pStyle w:val="179"/>
              <w:rPr>
                <w:rFonts w:hint="eastAsia"/>
              </w:rPr>
            </w:pPr>
            <w:r>
              <w:rPr>
                <w:rFonts w:hint="eastAsia"/>
              </w:rPr>
              <w:t>高</w:t>
            </w:r>
          </w:p>
        </w:tc>
      </w:tr>
      <w:tr w14:paraId="3031AB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restart"/>
            <w:tcBorders>
              <w:top w:val="single" w:color="auto" w:sz="8" w:space="0"/>
            </w:tcBorders>
            <w:shd w:val="clear" w:color="auto" w:fill="auto"/>
            <w:vAlign w:val="center"/>
          </w:tcPr>
          <w:p w14:paraId="442DD266">
            <w:pPr>
              <w:pStyle w:val="179"/>
              <w:rPr>
                <w:rFonts w:hint="eastAsia"/>
              </w:rPr>
            </w:pPr>
            <w:r>
              <w:rPr>
                <w:rFonts w:hint="eastAsia"/>
              </w:rPr>
              <w:t>高速公路</w:t>
            </w:r>
          </w:p>
        </w:tc>
        <w:tc>
          <w:tcPr>
            <w:tcW w:w="1556" w:type="dxa"/>
            <w:vMerge w:val="restart"/>
            <w:tcBorders>
              <w:top w:val="single" w:color="auto" w:sz="8" w:space="0"/>
            </w:tcBorders>
            <w:shd w:val="clear" w:color="auto" w:fill="auto"/>
            <w:vAlign w:val="center"/>
          </w:tcPr>
          <w:p w14:paraId="2CED6B19">
            <w:pPr>
              <w:pStyle w:val="179"/>
              <w:rPr>
                <w:rFonts w:hint="eastAsia"/>
              </w:rPr>
            </w:pPr>
            <w:r>
              <w:rPr>
                <w:rFonts w:hint="eastAsia"/>
              </w:rPr>
              <w:t>路基护栏</w:t>
            </w:r>
          </w:p>
        </w:tc>
        <w:tc>
          <w:tcPr>
            <w:tcW w:w="1555" w:type="dxa"/>
            <w:tcBorders>
              <w:top w:val="single" w:color="auto" w:sz="8" w:space="0"/>
            </w:tcBorders>
            <w:shd w:val="clear" w:color="auto" w:fill="auto"/>
            <w:vAlign w:val="center"/>
          </w:tcPr>
          <w:p w14:paraId="2B3261F8">
            <w:pPr>
              <w:pStyle w:val="179"/>
              <w:rPr>
                <w:rFonts w:hint="eastAsia"/>
              </w:rPr>
            </w:pPr>
            <w:r>
              <w:rPr>
                <w:rFonts w:hint="eastAsia"/>
              </w:rPr>
              <w:t>120</w:t>
            </w:r>
          </w:p>
        </w:tc>
        <w:tc>
          <w:tcPr>
            <w:tcW w:w="1555" w:type="dxa"/>
            <w:vMerge w:val="restart"/>
            <w:tcBorders>
              <w:top w:val="single" w:color="auto" w:sz="8" w:space="0"/>
            </w:tcBorders>
            <w:shd w:val="clear" w:color="auto" w:fill="auto"/>
            <w:vAlign w:val="center"/>
          </w:tcPr>
          <w:p w14:paraId="46E5304C">
            <w:pPr>
              <w:pStyle w:val="179"/>
              <w:jc w:val="both"/>
              <w:rPr>
                <w:rFonts w:hint="eastAsia"/>
              </w:rPr>
            </w:pPr>
            <w:r>
              <w:rPr>
                <w:rFonts w:hint="eastAsia"/>
              </w:rPr>
              <w:t>三（</w:t>
            </w:r>
            <w:r>
              <w:rPr>
                <w:rStyle w:val="250"/>
              </w:rPr>
              <w:t>A</w:t>
            </w:r>
            <w:r>
              <w:rPr>
                <w:rStyle w:val="249"/>
                <w:rFonts w:hint="default"/>
              </w:rPr>
              <w:t>、</w:t>
            </w:r>
            <w:r>
              <w:rPr>
                <w:rStyle w:val="250"/>
              </w:rPr>
              <w:t>Am</w:t>
            </w:r>
            <w:r>
              <w:rPr>
                <w:rStyle w:val="251"/>
                <w:rFonts w:hint="default"/>
              </w:rPr>
              <w:t>）</w:t>
            </w:r>
            <w:r>
              <w:rPr>
                <w:rStyle w:val="249"/>
                <w:rFonts w:hint="default"/>
              </w:rPr>
              <w:t>级</w:t>
            </w:r>
          </w:p>
        </w:tc>
        <w:tc>
          <w:tcPr>
            <w:tcW w:w="1556" w:type="dxa"/>
            <w:vMerge w:val="restart"/>
            <w:tcBorders>
              <w:top w:val="single" w:color="auto" w:sz="8" w:space="0"/>
            </w:tcBorders>
            <w:shd w:val="clear" w:color="auto" w:fill="auto"/>
            <w:vAlign w:val="center"/>
          </w:tcPr>
          <w:p w14:paraId="617ABF34">
            <w:pPr>
              <w:pStyle w:val="179"/>
              <w:rPr>
                <w:rFonts w:hint="eastAsia"/>
              </w:rPr>
            </w:pPr>
            <w:r>
              <w:rPr>
                <w:rFonts w:hint="eastAsia"/>
              </w:rPr>
              <w:t>四（</w:t>
            </w:r>
            <w:r>
              <w:t>SB、SBm）级</w:t>
            </w:r>
          </w:p>
        </w:tc>
        <w:tc>
          <w:tcPr>
            <w:tcW w:w="1556" w:type="dxa"/>
            <w:tcBorders>
              <w:top w:val="single" w:color="auto" w:sz="8" w:space="0"/>
            </w:tcBorders>
            <w:shd w:val="clear" w:color="auto" w:fill="auto"/>
            <w:vAlign w:val="center"/>
          </w:tcPr>
          <w:p w14:paraId="3D0627CD">
            <w:pPr>
              <w:pStyle w:val="179"/>
              <w:rPr>
                <w:rFonts w:hint="eastAsia"/>
              </w:rPr>
            </w:pPr>
            <w:r>
              <w:rPr>
                <w:rFonts w:hint="eastAsia"/>
              </w:rPr>
              <w:t>六（</w:t>
            </w:r>
            <w:r>
              <w:rPr>
                <w:rStyle w:val="250"/>
              </w:rPr>
              <w:t>SS</w:t>
            </w:r>
            <w:r>
              <w:rPr>
                <w:rStyle w:val="249"/>
                <w:rFonts w:hint="default"/>
              </w:rPr>
              <w:t>、</w:t>
            </w:r>
            <w:r>
              <w:rPr>
                <w:rStyle w:val="250"/>
              </w:rPr>
              <w:t>SSm</w:t>
            </w:r>
            <w:r>
              <w:rPr>
                <w:rStyle w:val="251"/>
                <w:rFonts w:hint="default"/>
              </w:rPr>
              <w:t>）</w:t>
            </w:r>
            <w:r>
              <w:rPr>
                <w:rStyle w:val="249"/>
                <w:rFonts w:hint="default"/>
              </w:rPr>
              <w:t>级</w:t>
            </w:r>
          </w:p>
        </w:tc>
      </w:tr>
      <w:tr w14:paraId="75AE9A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7C83B6E6">
            <w:pPr>
              <w:pStyle w:val="179"/>
              <w:rPr>
                <w:rFonts w:hint="eastAsia"/>
              </w:rPr>
            </w:pPr>
          </w:p>
        </w:tc>
        <w:tc>
          <w:tcPr>
            <w:tcW w:w="1556" w:type="dxa"/>
            <w:vMerge w:val="continue"/>
            <w:shd w:val="clear" w:color="auto" w:fill="auto"/>
            <w:vAlign w:val="center"/>
          </w:tcPr>
          <w:p w14:paraId="640C9109">
            <w:pPr>
              <w:pStyle w:val="179"/>
              <w:rPr>
                <w:rFonts w:hint="eastAsia"/>
              </w:rPr>
            </w:pPr>
          </w:p>
        </w:tc>
        <w:tc>
          <w:tcPr>
            <w:tcW w:w="1555" w:type="dxa"/>
            <w:shd w:val="clear" w:color="auto" w:fill="auto"/>
            <w:vAlign w:val="center"/>
          </w:tcPr>
          <w:p w14:paraId="5124ED4C">
            <w:pPr>
              <w:pStyle w:val="179"/>
              <w:rPr>
                <w:rFonts w:hint="eastAsia"/>
              </w:rPr>
            </w:pPr>
            <w:r>
              <w:rPr>
                <w:rFonts w:hint="eastAsia"/>
              </w:rPr>
              <w:t>100</w:t>
            </w:r>
            <w:r>
              <w:rPr>
                <w:rStyle w:val="249"/>
                <w:rFonts w:hint="default"/>
              </w:rPr>
              <w:t>、</w:t>
            </w:r>
            <w:r>
              <w:rPr>
                <w:rStyle w:val="250"/>
                <w:rFonts w:eastAsia="等线"/>
              </w:rPr>
              <w:t>80</w:t>
            </w:r>
          </w:p>
        </w:tc>
        <w:tc>
          <w:tcPr>
            <w:tcW w:w="1555" w:type="dxa"/>
            <w:vMerge w:val="continue"/>
            <w:shd w:val="clear" w:color="auto" w:fill="auto"/>
            <w:vAlign w:val="center"/>
          </w:tcPr>
          <w:p w14:paraId="10B04D16">
            <w:pPr>
              <w:pStyle w:val="179"/>
              <w:rPr>
                <w:rFonts w:hint="eastAsia"/>
              </w:rPr>
            </w:pPr>
          </w:p>
        </w:tc>
        <w:tc>
          <w:tcPr>
            <w:tcW w:w="1556" w:type="dxa"/>
            <w:vMerge w:val="continue"/>
            <w:shd w:val="clear" w:color="auto" w:fill="auto"/>
            <w:vAlign w:val="center"/>
          </w:tcPr>
          <w:p w14:paraId="5689FB9D">
            <w:pPr>
              <w:pStyle w:val="179"/>
              <w:rPr>
                <w:rFonts w:hint="eastAsia"/>
              </w:rPr>
            </w:pPr>
          </w:p>
        </w:tc>
        <w:tc>
          <w:tcPr>
            <w:tcW w:w="1556" w:type="dxa"/>
            <w:shd w:val="clear" w:color="auto" w:fill="auto"/>
            <w:vAlign w:val="center"/>
          </w:tcPr>
          <w:p w14:paraId="06869FD6">
            <w:pPr>
              <w:pStyle w:val="179"/>
              <w:rPr>
                <w:rFonts w:hint="eastAsia"/>
              </w:rPr>
            </w:pPr>
            <w:r>
              <w:rPr>
                <w:rFonts w:hint="eastAsia"/>
              </w:rPr>
              <w:t>五（</w:t>
            </w:r>
            <w:r>
              <w:rPr>
                <w:rStyle w:val="250"/>
              </w:rPr>
              <w:t>SA</w:t>
            </w:r>
            <w:r>
              <w:rPr>
                <w:rStyle w:val="249"/>
                <w:rFonts w:hint="default"/>
              </w:rPr>
              <w:t>、</w:t>
            </w:r>
            <w:r>
              <w:rPr>
                <w:rStyle w:val="250"/>
              </w:rPr>
              <w:t>SAm</w:t>
            </w:r>
            <w:r>
              <w:rPr>
                <w:rStyle w:val="251"/>
                <w:rFonts w:hint="default"/>
              </w:rPr>
              <w:t>）</w:t>
            </w:r>
            <w:r>
              <w:rPr>
                <w:rStyle w:val="249"/>
                <w:rFonts w:hint="default"/>
              </w:rPr>
              <w:t>级</w:t>
            </w:r>
          </w:p>
        </w:tc>
      </w:tr>
      <w:tr w14:paraId="13A659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4669FE76">
            <w:pPr>
              <w:pStyle w:val="179"/>
              <w:rPr>
                <w:rFonts w:hint="eastAsia"/>
              </w:rPr>
            </w:pPr>
          </w:p>
        </w:tc>
        <w:tc>
          <w:tcPr>
            <w:tcW w:w="1556" w:type="dxa"/>
            <w:vMerge w:val="continue"/>
            <w:shd w:val="clear" w:color="auto" w:fill="auto"/>
            <w:vAlign w:val="center"/>
          </w:tcPr>
          <w:p w14:paraId="6B53C650">
            <w:pPr>
              <w:pStyle w:val="179"/>
              <w:rPr>
                <w:rFonts w:hint="eastAsia"/>
              </w:rPr>
            </w:pPr>
          </w:p>
        </w:tc>
        <w:tc>
          <w:tcPr>
            <w:tcW w:w="1555" w:type="dxa"/>
            <w:shd w:val="clear" w:color="auto" w:fill="auto"/>
            <w:vAlign w:val="center"/>
          </w:tcPr>
          <w:p w14:paraId="07EBD5EA">
            <w:pPr>
              <w:pStyle w:val="179"/>
              <w:rPr>
                <w:rFonts w:hint="eastAsia"/>
              </w:rPr>
            </w:pPr>
            <w:r>
              <w:rPr>
                <w:rFonts w:hint="eastAsia"/>
              </w:rPr>
              <w:t>60</w:t>
            </w:r>
          </w:p>
        </w:tc>
        <w:tc>
          <w:tcPr>
            <w:tcW w:w="1555" w:type="dxa"/>
            <w:shd w:val="clear" w:color="auto" w:fill="auto"/>
            <w:vAlign w:val="center"/>
          </w:tcPr>
          <w:p w14:paraId="7D7A2661">
            <w:pPr>
              <w:pStyle w:val="179"/>
              <w:rPr>
                <w:rFonts w:hint="eastAsia"/>
              </w:rPr>
            </w:pPr>
            <w:r>
              <w:rPr>
                <w:rFonts w:hint="eastAsia"/>
              </w:rPr>
              <w:t>二（</w:t>
            </w:r>
            <w:r>
              <w:rPr>
                <w:rStyle w:val="250"/>
              </w:rPr>
              <w:t>B</w:t>
            </w:r>
            <w:r>
              <w:rPr>
                <w:rStyle w:val="249"/>
                <w:rFonts w:hint="default"/>
              </w:rPr>
              <w:t>、</w:t>
            </w:r>
            <w:r>
              <w:rPr>
                <w:rStyle w:val="250"/>
              </w:rPr>
              <w:t>Bm</w:t>
            </w:r>
            <w:r>
              <w:rPr>
                <w:rStyle w:val="251"/>
                <w:rFonts w:hint="default"/>
              </w:rPr>
              <w:t>）</w:t>
            </w:r>
            <w:r>
              <w:rPr>
                <w:rStyle w:val="249"/>
                <w:rFonts w:hint="default"/>
              </w:rPr>
              <w:t>级</w:t>
            </w:r>
          </w:p>
        </w:tc>
        <w:tc>
          <w:tcPr>
            <w:tcW w:w="1556" w:type="dxa"/>
            <w:shd w:val="clear" w:color="auto" w:fill="auto"/>
            <w:vAlign w:val="center"/>
          </w:tcPr>
          <w:p w14:paraId="521F562B">
            <w:pPr>
              <w:pStyle w:val="179"/>
              <w:rPr>
                <w:rFonts w:hint="eastAsia"/>
              </w:rPr>
            </w:pPr>
            <w:r>
              <w:rPr>
                <w:rFonts w:hint="eastAsia"/>
              </w:rPr>
              <w:t>三（</w:t>
            </w:r>
            <w:r>
              <w:t>A、Am）级</w:t>
            </w:r>
          </w:p>
        </w:tc>
        <w:tc>
          <w:tcPr>
            <w:tcW w:w="1556" w:type="dxa"/>
            <w:shd w:val="clear" w:color="auto" w:fill="auto"/>
            <w:vAlign w:val="center"/>
          </w:tcPr>
          <w:p w14:paraId="17397E13">
            <w:pPr>
              <w:pStyle w:val="179"/>
              <w:rPr>
                <w:rFonts w:hint="eastAsia"/>
              </w:rPr>
            </w:pPr>
            <w:r>
              <w:rPr>
                <w:rFonts w:hint="eastAsia"/>
              </w:rPr>
              <w:t>四（</w:t>
            </w:r>
            <w:r>
              <w:rPr>
                <w:rStyle w:val="250"/>
              </w:rPr>
              <w:t>SB</w:t>
            </w:r>
            <w:r>
              <w:rPr>
                <w:rStyle w:val="249"/>
                <w:rFonts w:hint="default"/>
              </w:rPr>
              <w:t>、</w:t>
            </w:r>
            <w:r>
              <w:rPr>
                <w:rStyle w:val="250"/>
              </w:rPr>
              <w:t>SBm</w:t>
            </w:r>
            <w:r>
              <w:rPr>
                <w:rStyle w:val="251"/>
                <w:rFonts w:hint="default"/>
              </w:rPr>
              <w:t>）</w:t>
            </w:r>
            <w:r>
              <w:rPr>
                <w:rStyle w:val="249"/>
                <w:rFonts w:hint="default"/>
              </w:rPr>
              <w:t>级</w:t>
            </w:r>
          </w:p>
        </w:tc>
      </w:tr>
      <w:tr w14:paraId="321356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56" w:type="dxa"/>
            <w:vMerge w:val="continue"/>
            <w:shd w:val="clear" w:color="auto" w:fill="auto"/>
            <w:vAlign w:val="center"/>
          </w:tcPr>
          <w:p w14:paraId="6FB8B924">
            <w:pPr>
              <w:pStyle w:val="179"/>
              <w:rPr>
                <w:rFonts w:hint="eastAsia"/>
              </w:rPr>
            </w:pPr>
          </w:p>
        </w:tc>
        <w:tc>
          <w:tcPr>
            <w:tcW w:w="1556" w:type="dxa"/>
            <w:shd w:val="clear" w:color="auto" w:fill="auto"/>
            <w:vAlign w:val="center"/>
          </w:tcPr>
          <w:p w14:paraId="1CA37C16">
            <w:pPr>
              <w:pStyle w:val="179"/>
              <w:rPr>
                <w:rFonts w:hint="eastAsia"/>
              </w:rPr>
            </w:pPr>
            <w:r>
              <w:rPr>
                <w:rFonts w:hint="eastAsia"/>
              </w:rPr>
              <w:t>整体式</w:t>
            </w:r>
            <w:r>
              <w:rPr>
                <w:rFonts w:hint="eastAsia"/>
              </w:rPr>
              <w:br w:type="textWrapping"/>
            </w:r>
            <w:r>
              <w:rPr>
                <w:rFonts w:hint="eastAsia"/>
              </w:rPr>
              <w:t>中央分隔带护栏</w:t>
            </w:r>
          </w:p>
        </w:tc>
        <w:tc>
          <w:tcPr>
            <w:tcW w:w="1555" w:type="dxa"/>
            <w:shd w:val="clear" w:color="auto" w:fill="auto"/>
            <w:vAlign w:val="center"/>
          </w:tcPr>
          <w:p w14:paraId="46DC21F2">
            <w:pPr>
              <w:pStyle w:val="179"/>
              <w:rPr>
                <w:rFonts w:hint="eastAsia"/>
              </w:rPr>
            </w:pPr>
            <w:r>
              <w:rPr>
                <w:rFonts w:hint="eastAsia"/>
              </w:rPr>
              <w:t>120、100、</w:t>
            </w:r>
            <w:r>
              <w:rPr>
                <w:rFonts w:hint="eastAsia"/>
              </w:rPr>
              <w:br w:type="textWrapping"/>
            </w:r>
            <w:r>
              <w:rPr>
                <w:rFonts w:hint="eastAsia"/>
              </w:rPr>
              <w:t>80、60</w:t>
            </w:r>
          </w:p>
        </w:tc>
        <w:tc>
          <w:tcPr>
            <w:tcW w:w="1555" w:type="dxa"/>
            <w:shd w:val="clear" w:color="auto" w:fill="auto"/>
            <w:vAlign w:val="center"/>
          </w:tcPr>
          <w:p w14:paraId="060F2579">
            <w:pPr>
              <w:pStyle w:val="179"/>
              <w:rPr>
                <w:rFonts w:hint="eastAsia"/>
              </w:rPr>
            </w:pPr>
            <w:r>
              <w:rPr>
                <w:rFonts w:hint="eastAsia"/>
              </w:rPr>
              <w:t>—</w:t>
            </w:r>
          </w:p>
        </w:tc>
        <w:tc>
          <w:tcPr>
            <w:tcW w:w="1556" w:type="dxa"/>
            <w:shd w:val="clear" w:color="auto" w:fill="auto"/>
            <w:vAlign w:val="center"/>
          </w:tcPr>
          <w:p w14:paraId="0E1D3D4B">
            <w:pPr>
              <w:pStyle w:val="179"/>
              <w:rPr>
                <w:rFonts w:hint="eastAsia"/>
              </w:rPr>
            </w:pPr>
            <w:r>
              <w:rPr>
                <w:rFonts w:hint="eastAsia"/>
              </w:rPr>
              <w:t>—</w:t>
            </w:r>
          </w:p>
        </w:tc>
        <w:tc>
          <w:tcPr>
            <w:tcW w:w="1556" w:type="dxa"/>
            <w:shd w:val="clear" w:color="auto" w:fill="auto"/>
            <w:vAlign w:val="center"/>
          </w:tcPr>
          <w:p w14:paraId="12C531C7">
            <w:pPr>
              <w:pStyle w:val="179"/>
              <w:rPr>
                <w:rFonts w:hint="eastAsia"/>
              </w:rPr>
            </w:pPr>
            <w:r>
              <w:rPr>
                <w:rFonts w:hint="eastAsia"/>
              </w:rPr>
              <w:t>五（</w:t>
            </w:r>
            <w:r>
              <w:rPr>
                <w:rStyle w:val="250"/>
              </w:rPr>
              <w:t>SAm</w:t>
            </w:r>
            <w:r>
              <w:rPr>
                <w:rStyle w:val="251"/>
                <w:rFonts w:hint="default"/>
              </w:rPr>
              <w:t>）</w:t>
            </w:r>
            <w:r>
              <w:rPr>
                <w:rStyle w:val="249"/>
                <w:rFonts w:hint="default"/>
              </w:rPr>
              <w:t>级</w:t>
            </w:r>
          </w:p>
        </w:tc>
      </w:tr>
    </w:tbl>
    <w:p w14:paraId="4B5F25BD">
      <w:pPr>
        <w:pStyle w:val="57"/>
        <w:ind w:firstLine="420"/>
        <w:rPr>
          <w:rFonts w:hint="eastAsia"/>
        </w:rPr>
      </w:pPr>
    </w:p>
    <w:p w14:paraId="0A142D18">
      <w:pPr>
        <w:pStyle w:val="166"/>
      </w:pPr>
      <w:r>
        <w:rPr>
          <w:rFonts w:hint="eastAsia"/>
        </w:rPr>
        <w:t>视线诱导设施应符合以下规定：</w:t>
      </w:r>
    </w:p>
    <w:p w14:paraId="4312B215">
      <w:pPr>
        <w:pStyle w:val="175"/>
        <w:numPr>
          <w:ilvl w:val="0"/>
          <w:numId w:val="70"/>
        </w:numPr>
        <w:rPr>
          <w:rFonts w:hint="eastAsia"/>
        </w:rPr>
      </w:pPr>
      <w:r>
        <w:rPr>
          <w:rFonts w:hint="eastAsia"/>
        </w:rPr>
        <w:t>主线及互通立交，服务区、停车区等处的进出匝道、连接道、中央分隔带开口以及避险车道等应连续设置轮廓标。</w:t>
      </w:r>
    </w:p>
    <w:p w14:paraId="3F46AA98">
      <w:pPr>
        <w:pStyle w:val="175"/>
      </w:pPr>
      <w:r>
        <w:rPr>
          <w:rFonts w:hint="eastAsia"/>
        </w:rPr>
        <w:t>在气候条件恶劣、线形条件复杂的路段，宜采用主动发光轮廓标。</w:t>
      </w:r>
    </w:p>
    <w:p w14:paraId="150B5054">
      <w:pPr>
        <w:pStyle w:val="175"/>
      </w:pPr>
      <w:r>
        <w:rPr>
          <w:rFonts w:hint="eastAsia"/>
        </w:rPr>
        <w:t>隧道内壁和检修道边缘应设置轮廓标，隧道内反光轮廓带应按300~500m间距设置。</w:t>
      </w:r>
    </w:p>
    <w:p w14:paraId="6E156873">
      <w:pPr>
        <w:pStyle w:val="166"/>
      </w:pPr>
      <w:r>
        <w:rPr>
          <w:rFonts w:hint="eastAsia"/>
        </w:rPr>
        <w:t>防眩设施应符合以下规定:</w:t>
      </w:r>
    </w:p>
    <w:p w14:paraId="4654FDFC">
      <w:pPr>
        <w:pStyle w:val="175"/>
        <w:numPr>
          <w:ilvl w:val="0"/>
          <w:numId w:val="71"/>
        </w:numPr>
      </w:pPr>
      <w:r>
        <w:rPr>
          <w:rFonts w:hint="eastAsia"/>
        </w:rPr>
        <w:t>选择防眩设施形式时，应针对公路的平纵线形、气候条件，充分比较各种防眩设施的性能，分析行驶安全感、压迫感、景观要求，并考虑与公路周围环境的协调，结合经济性、施工条件及养护维修等因素综合确定。</w:t>
      </w:r>
    </w:p>
    <w:p w14:paraId="45A09047">
      <w:pPr>
        <w:pStyle w:val="175"/>
        <w:rPr>
          <w:rFonts w:hint="eastAsia"/>
        </w:rPr>
      </w:pPr>
      <w:r>
        <w:rPr>
          <w:rFonts w:hint="eastAsia"/>
        </w:rPr>
        <w:t>防眩设施设置时不得影响公路的停车视距，防眩设施所用材料不得反光。防眩设施连续设置时应避免在两段防眩设施中间留有短距离间隙。</w:t>
      </w:r>
    </w:p>
    <w:p w14:paraId="3BCBC491">
      <w:pPr>
        <w:pStyle w:val="180"/>
      </w:pPr>
      <w:r>
        <w:rPr>
          <w:rFonts w:hint="eastAsia"/>
        </w:rPr>
        <w:t>防眩设施主要包括防眩板、防眩网、防眩格栅和植树防眩等形式。</w:t>
      </w:r>
    </w:p>
    <w:p w14:paraId="1340C12D">
      <w:pPr>
        <w:pStyle w:val="166"/>
        <w:rPr>
          <w:rFonts w:hint="eastAsia"/>
        </w:rPr>
      </w:pPr>
      <w:r>
        <w:rPr>
          <w:rFonts w:hint="eastAsia"/>
        </w:rPr>
        <w:t>高寒、冰冻、积雪路段安全设施应符合以下规定：</w:t>
      </w:r>
    </w:p>
    <w:p w14:paraId="363F8E4D">
      <w:pPr>
        <w:pStyle w:val="175"/>
        <w:numPr>
          <w:ilvl w:val="0"/>
          <w:numId w:val="72"/>
        </w:numPr>
        <w:rPr>
          <w:rFonts w:hint="eastAsia"/>
        </w:rPr>
      </w:pPr>
      <w:r>
        <w:t>应强化</w:t>
      </w:r>
      <w:r>
        <w:rPr>
          <w:rFonts w:hint="eastAsia"/>
        </w:rPr>
        <w:t>隧道口</w:t>
      </w:r>
      <w:r>
        <w:t>等营运环境突变处的安全设施针对性设计</w:t>
      </w:r>
      <w:r>
        <w:rPr>
          <w:rFonts w:hint="eastAsia"/>
        </w:rPr>
        <w:t>。</w:t>
      </w:r>
    </w:p>
    <w:p w14:paraId="3F42E73B">
      <w:pPr>
        <w:pStyle w:val="175"/>
      </w:pPr>
      <w:r>
        <w:t>一般路段不宜设置突起路标，隧道洞口、立交和服务区进出口等特殊路段，确需设置突起路标时，应考虑除雪、除冰的影响</w:t>
      </w:r>
      <w:r>
        <w:rPr>
          <w:rFonts w:hint="eastAsia"/>
        </w:rPr>
        <w:t>。</w:t>
      </w:r>
    </w:p>
    <w:p w14:paraId="04AD9250">
      <w:pPr>
        <w:pStyle w:val="175"/>
      </w:pPr>
      <w:r>
        <w:rPr>
          <w:rFonts w:hint="eastAsia"/>
        </w:rPr>
        <w:t>积雪路段路侧应考虑冬季除雪需要对护栏合理选型。路基段宜设置波形梁护栏，桥梁路段宜设置金属梁柱式护栏等通透性较好的半刚性护栏。</w:t>
      </w:r>
    </w:p>
    <w:p w14:paraId="11D2AC4E">
      <w:pPr>
        <w:pStyle w:val="175"/>
      </w:pPr>
      <w:r>
        <w:rPr>
          <w:rFonts w:hint="eastAsia"/>
        </w:rPr>
        <w:t>风雪害较严重路段，宜设置积雪标杆加强诱导，积雪标杆顶部应粘贴反光膜。</w:t>
      </w:r>
    </w:p>
    <w:p w14:paraId="5A28EA60">
      <w:pPr>
        <w:pStyle w:val="106"/>
        <w:spacing w:before="156" w:after="156"/>
      </w:pPr>
      <w:r>
        <w:t>管养设施及路段机电</w:t>
      </w:r>
    </w:p>
    <w:p w14:paraId="6EB44DFF">
      <w:pPr>
        <w:pStyle w:val="166"/>
      </w:pPr>
      <w:r>
        <w:rPr>
          <w:rFonts w:hint="eastAsia"/>
        </w:rPr>
        <w:t>支线高速公路沿线管养设施，宜采用依托主要站点布设的集中管理模式。</w:t>
      </w:r>
    </w:p>
    <w:p w14:paraId="162129C6">
      <w:pPr>
        <w:pStyle w:val="166"/>
        <w:rPr>
          <w:rFonts w:hint="eastAsia"/>
        </w:rPr>
      </w:pPr>
      <w:r>
        <w:rPr>
          <w:rFonts w:hint="eastAsia"/>
        </w:rPr>
        <w:t>养护工区用地规模宜按20亩设计。</w:t>
      </w:r>
    </w:p>
    <w:p w14:paraId="114C4768">
      <w:pPr>
        <w:pStyle w:val="180"/>
        <w:rPr>
          <w:rFonts w:hint="eastAsia"/>
        </w:rPr>
      </w:pPr>
      <w:r>
        <w:rPr>
          <w:rFonts w:hint="eastAsia"/>
        </w:rPr>
        <w:t>按《公路工程项目建设用地指标》表8.5.2，高速公路养护工区用地指标均为38亩，考虑到高原山区小交通量高速公路的实际情况，本处建议按20亩控制用地规模。</w:t>
      </w:r>
    </w:p>
    <w:p w14:paraId="365C1648">
      <w:pPr>
        <w:pStyle w:val="166"/>
        <w:rPr>
          <w:rFonts w:hint="eastAsia"/>
        </w:rPr>
      </w:pPr>
      <w:r>
        <w:rPr>
          <w:rFonts w:hint="eastAsia"/>
        </w:rPr>
        <w:t>道路监控设施应以立交区、长陡下坡、冰雪路段为布设重点；外场监控设施宜采用太阳能、风能互补方式供电。</w:t>
      </w:r>
    </w:p>
    <w:p w14:paraId="05CF9629">
      <w:pPr>
        <w:pStyle w:val="166"/>
        <w:rPr>
          <w:rFonts w:hint="eastAsia"/>
        </w:rPr>
      </w:pPr>
      <w:r>
        <w:rPr>
          <w:rFonts w:hint="eastAsia"/>
        </w:rPr>
        <w:t>通信设施应按全省高速公路通信专网相关规划进行设计，以满足道路相关数据和信息传输。</w:t>
      </w:r>
    </w:p>
    <w:p w14:paraId="07C059BF">
      <w:pPr>
        <w:pStyle w:val="166"/>
        <w:rPr>
          <w:rFonts w:hint="eastAsia"/>
        </w:rPr>
      </w:pPr>
      <w:r>
        <w:rPr>
          <w:rFonts w:hint="eastAsia"/>
        </w:rPr>
        <w:t>收费设施应控制建设规模，节约管理及营运成本，并应符合以下规定：</w:t>
      </w:r>
    </w:p>
    <w:p w14:paraId="793FA65C">
      <w:pPr>
        <w:pStyle w:val="175"/>
        <w:numPr>
          <w:ilvl w:val="0"/>
          <w:numId w:val="73"/>
        </w:numPr>
        <w:rPr>
          <w:rFonts w:hint="eastAsia"/>
        </w:rPr>
      </w:pPr>
      <w:r>
        <w:rPr>
          <w:rFonts w:hint="eastAsia"/>
        </w:rPr>
        <w:t>收费站宜采用大站带小站管理模式。</w:t>
      </w:r>
    </w:p>
    <w:p w14:paraId="19DE1D8C">
      <w:pPr>
        <w:pStyle w:val="175"/>
      </w:pPr>
      <w:r>
        <w:rPr>
          <w:rFonts w:hint="eastAsia"/>
        </w:rPr>
        <w:t>收费站宜采用窄岛化、无人化布设方案，减少收费广场占地；</w:t>
      </w:r>
    </w:p>
    <w:p w14:paraId="79203CBA">
      <w:pPr>
        <w:pStyle w:val="175"/>
      </w:pPr>
      <w:r>
        <w:rPr>
          <w:rFonts w:hint="eastAsia"/>
        </w:rPr>
        <w:t>交通量（D</w:t>
      </w:r>
      <w:r>
        <w:t>HV</w:t>
      </w:r>
      <w:r>
        <w:rPr>
          <w:rFonts w:hint="eastAsia"/>
        </w:rPr>
        <w:t>）不大于1</w:t>
      </w:r>
      <w:r>
        <w:t>000</w:t>
      </w:r>
      <w:r>
        <w:rPr>
          <w:rFonts w:hint="eastAsia"/>
        </w:rPr>
        <w:t>辆/小时的收费站，宜按2入2出规模设计；</w:t>
      </w:r>
    </w:p>
    <w:p w14:paraId="64C6A69A">
      <w:pPr>
        <w:pStyle w:val="175"/>
      </w:pPr>
      <w:r>
        <w:rPr>
          <w:rFonts w:hint="eastAsia"/>
        </w:rPr>
        <w:t>小站房建规模宜按3</w:t>
      </w:r>
      <w:r>
        <w:t>00</w:t>
      </w:r>
      <w:r>
        <w:rPr>
          <w:rFonts w:hint="eastAsia"/>
        </w:rPr>
        <w:t>～4</w:t>
      </w:r>
      <w:r>
        <w:t>00</w:t>
      </w:r>
      <w:r>
        <w:rPr>
          <w:rFonts w:hint="eastAsia"/>
        </w:rPr>
        <w:t>m</w:t>
      </w:r>
      <w:r>
        <w:rPr>
          <w:vertAlign w:val="superscript"/>
        </w:rPr>
        <w:t>2</w:t>
      </w:r>
      <w:r>
        <w:rPr>
          <w:rFonts w:hint="eastAsia"/>
        </w:rPr>
        <w:t>设置，站区用地规模不宜超过3亩。</w:t>
      </w:r>
    </w:p>
    <w:p w14:paraId="33F245AD">
      <w:pPr>
        <w:pStyle w:val="180"/>
      </w:pPr>
      <w:r>
        <w:rPr>
          <w:rFonts w:hint="eastAsia"/>
        </w:rPr>
        <w:t>收费站用地规模建议值为净用地面积，不含边坡、挡墙等用地。按《公路工程项目建设用地指标》表8.2.2，匝道收费站用地指标均为9亩，当采用大站带小站管理模式设计时，收费人员住宿、生活等均集中于大站，小站建筑规模仅需满足机电设施安装及人员休息需要即可。</w:t>
      </w:r>
    </w:p>
    <w:p w14:paraId="7067CE9E">
      <w:pPr>
        <w:pStyle w:val="106"/>
        <w:spacing w:before="156" w:after="156"/>
        <w:rPr>
          <w:rFonts w:hint="eastAsia"/>
        </w:rPr>
      </w:pPr>
      <w:r>
        <w:t>房建工程</w:t>
      </w:r>
    </w:p>
    <w:p w14:paraId="596E7C42">
      <w:pPr>
        <w:pStyle w:val="166"/>
      </w:pPr>
      <w:r>
        <w:rPr>
          <w:rFonts w:hint="eastAsia"/>
        </w:rPr>
        <w:t>房建工程应符合以下规定：</w:t>
      </w:r>
    </w:p>
    <w:p w14:paraId="7EA1C95D">
      <w:pPr>
        <w:pStyle w:val="175"/>
        <w:numPr>
          <w:ilvl w:val="0"/>
          <w:numId w:val="74"/>
        </w:numPr>
        <w:rPr>
          <w:rFonts w:hint="eastAsia"/>
        </w:rPr>
      </w:pPr>
      <w:r>
        <w:rPr>
          <w:rFonts w:hint="eastAsia"/>
        </w:rPr>
        <w:t>房建工程用地选址应</w:t>
      </w:r>
      <w:r>
        <w:t>避开地质灾害易发地段</w:t>
      </w:r>
      <w:r>
        <w:rPr>
          <w:rFonts w:hint="eastAsia"/>
        </w:rPr>
        <w:t>，并充分利用地形条件，控制房建设施土石方工程量。</w:t>
      </w:r>
    </w:p>
    <w:p w14:paraId="1FB6E960">
      <w:pPr>
        <w:pStyle w:val="175"/>
      </w:pPr>
      <w:r>
        <w:rPr>
          <w:rFonts w:hint="eastAsia"/>
        </w:rPr>
        <w:t>房建工程建设，建筑用电及采暖应充分利用太阳能、地热等新能源技术，如分布式光伏发电、分布式光伏发电及储能、太阳能热水系统等方式。</w:t>
      </w:r>
    </w:p>
    <w:p w14:paraId="4723D3A1">
      <w:pPr>
        <w:pStyle w:val="175"/>
        <w:rPr>
          <w:rFonts w:hint="eastAsia"/>
        </w:rPr>
      </w:pPr>
      <w:r>
        <w:rPr>
          <w:rFonts w:hint="eastAsia"/>
        </w:rPr>
        <w:t>房建工程的附属建筑宜采用装配式、集约化、一体化的方式进行建设，如装配式PC体系、钢结构体系、集装箱式体系等。</w:t>
      </w:r>
    </w:p>
    <w:p w14:paraId="447A9377">
      <w:pPr>
        <w:pStyle w:val="166"/>
        <w:rPr>
          <w:rFonts w:hint="eastAsia"/>
        </w:rPr>
      </w:pPr>
      <w:r>
        <w:rPr>
          <w:rFonts w:hint="eastAsia"/>
        </w:rPr>
        <w:t>房建工程中的服务设施应符合以下规定：</w:t>
      </w:r>
    </w:p>
    <w:p w14:paraId="2D781D1D">
      <w:pPr>
        <w:pStyle w:val="175"/>
        <w:numPr>
          <w:ilvl w:val="0"/>
          <w:numId w:val="75"/>
        </w:numPr>
        <w:rPr>
          <w:rFonts w:hint="eastAsia"/>
        </w:rPr>
      </w:pPr>
      <w:r>
        <w:rPr>
          <w:rFonts w:hint="eastAsia"/>
        </w:rPr>
        <w:t>服务设施划分为具备综合型服务设施的I型服务区，具备常规型服务设施的II型服务区两个等级。</w:t>
      </w:r>
    </w:p>
    <w:p w14:paraId="7401B60D">
      <w:pPr>
        <w:pStyle w:val="175"/>
      </w:pPr>
      <w:r>
        <w:rPr>
          <w:rFonts w:hint="eastAsia"/>
        </w:rPr>
        <w:t>新建的高速公路服务区设置类型应根据交通量及道路等级确定，并符合</w:t>
      </w:r>
      <w:r>
        <w:t>11.1.2</w:t>
      </w:r>
      <w:r>
        <w:rPr>
          <w:rFonts w:hint="eastAsia"/>
        </w:rPr>
        <w:t>的规定。部分车</w:t>
      </w:r>
      <w:r>
        <w:t>流</w:t>
      </w:r>
      <w:r>
        <w:rPr>
          <w:rFonts w:hint="eastAsia"/>
        </w:rPr>
        <w:t>量相对较大的路段，经主管部门批准后，可在I型服务区之间增设II型服务区。服务区平均间距不应大于80km。</w:t>
      </w:r>
    </w:p>
    <w:p w14:paraId="499F2D16">
      <w:pPr>
        <w:pStyle w:val="175"/>
        <w:rPr>
          <w:rFonts w:hint="eastAsia"/>
        </w:rPr>
      </w:pPr>
      <w:r>
        <w:rPr>
          <w:rFonts w:hint="eastAsia"/>
        </w:rPr>
        <w:t>服务设施用地选址应优先考虑临近</w:t>
      </w:r>
      <w:r>
        <w:t>旅游景</w:t>
      </w:r>
      <w:r>
        <w:rPr>
          <w:rFonts w:hint="eastAsia"/>
        </w:rPr>
        <w:t>区</w:t>
      </w:r>
      <w:r>
        <w:t>或景观较好的位置</w:t>
      </w:r>
      <w:r>
        <w:rPr>
          <w:rFonts w:hint="eastAsia"/>
        </w:rPr>
        <w:t>。</w:t>
      </w:r>
    </w:p>
    <w:p w14:paraId="7A9185F3">
      <w:pPr>
        <w:pStyle w:val="175"/>
      </w:pPr>
      <w:r>
        <w:rPr>
          <w:rFonts w:hint="eastAsia"/>
        </w:rPr>
        <w:t>服务设施用地应控制规模，I型、II型服务区用地规模应符合表2</w:t>
      </w:r>
      <w:r>
        <w:t>3</w:t>
      </w:r>
      <w:r>
        <w:rPr>
          <w:rFonts w:hint="eastAsia"/>
        </w:rPr>
        <w:t>的规定。</w:t>
      </w:r>
    </w:p>
    <w:p w14:paraId="32FAF403">
      <w:pPr>
        <w:pStyle w:val="175"/>
      </w:pPr>
      <w:r>
        <w:rPr>
          <w:rFonts w:hint="eastAsia"/>
        </w:rPr>
        <w:t>服务设施建设模式应因地制宜，合理利用土地。根据主线及用地环境情况可采用与管养设施、互通式立交、加油站合建模式或双侧共用服务楼、非对称设置、台地化布设等模式，如图5。</w:t>
      </w:r>
    </w:p>
    <w:p w14:paraId="6474B171">
      <w:pPr>
        <w:pStyle w:val="175"/>
        <w:rPr>
          <w:rFonts w:hint="eastAsia"/>
        </w:rPr>
      </w:pPr>
      <w:r>
        <w:rPr>
          <w:rFonts w:hint="eastAsia"/>
        </w:rPr>
        <w:t xml:space="preserve">服务设施停车场应设置新能源车位，预留建设安装条件的车位不宜低于小型客车停车位的10%。 </w:t>
      </w:r>
    </w:p>
    <w:p w14:paraId="6BC823F9">
      <w:pPr>
        <w:pStyle w:val="175"/>
        <w:rPr>
          <w:rFonts w:hint="eastAsia"/>
        </w:rPr>
      </w:pPr>
      <w:r>
        <w:rPr>
          <w:rFonts w:hint="eastAsia"/>
        </w:rPr>
        <w:t>服务设施综合楼应满足基础功能配置，按需设置拓展功能，其中基础功能中卫生间部分厕位可采用成品移动卫生间；超市可采用无人值守模式，设置远程设备系统进行监测及运营。</w:t>
      </w:r>
    </w:p>
    <w:p w14:paraId="37C54414">
      <w:pPr>
        <w:pStyle w:val="175"/>
      </w:pPr>
      <w:r>
        <w:rPr>
          <w:rFonts w:hint="eastAsia"/>
        </w:rPr>
        <w:t xml:space="preserve">服务设施综合楼功能配置及建筑规模应符合表24的规定。 </w:t>
      </w:r>
    </w:p>
    <w:p w14:paraId="3D49A551">
      <w:pPr>
        <w:pStyle w:val="175"/>
        <w:rPr>
          <w:rFonts w:hint="eastAsia"/>
        </w:rPr>
      </w:pPr>
      <w:r>
        <w:rPr>
          <w:rFonts w:hint="eastAsia"/>
        </w:rPr>
        <w:t>除医务室（含供氧站）外，服务设施宜考虑所在路段的海拔高度及地质灾害情况，根据场区实际情况设置一定的应急救援设施，如无人机起降点、直升机停机坪等。</w:t>
      </w:r>
    </w:p>
    <w:p w14:paraId="6E3C213D">
      <w:pPr>
        <w:pStyle w:val="175"/>
      </w:pPr>
      <w:r>
        <w:rPr>
          <w:rFonts w:hint="eastAsia"/>
        </w:rPr>
        <w:t>服务设施所在路段确有自然景观、历史文化、产业园等4A级以上旅游风景区资源的，可根据其所在区域的环境特色设置交旅融合的拓展功能区（如旅游接待、房车营地、观景台、历史文化博物馆、特产展厅等）。拓展功能区可根据实际情况适度扩大服务设施用地规模和建筑规模。</w:t>
      </w:r>
    </w:p>
    <w:p w14:paraId="2EC2CD50">
      <w:pPr>
        <w:pStyle w:val="180"/>
        <w:rPr>
          <w:rFonts w:hint="eastAsia"/>
        </w:rPr>
      </w:pPr>
      <w:r>
        <w:rPr>
          <w:rFonts w:hint="eastAsia"/>
        </w:rPr>
        <w:t xml:space="preserve"> 服务区间距参照了本文件10.4.1规定,参考了《高速公路交通工程及沿线设施设计通用规范》（JTG D80-2006）中6.2.2对于高速公路服务区间距的规定，并结合高原山区小交通量高速公路的特点，其间距最大值比普通高速公路服务区间距最大值上浮了约30%。</w:t>
      </w:r>
    </w:p>
    <w:p w14:paraId="7F212C0D">
      <w:pPr>
        <w:pStyle w:val="113"/>
        <w:spacing w:before="156" w:after="156"/>
        <w:rPr>
          <w:rFonts w:hint="eastAsia"/>
          <w:kern w:val="2"/>
          <w:sz w:val="22"/>
          <w:szCs w:val="22"/>
        </w:rPr>
      </w:pPr>
      <w:r>
        <w:t>服务</w:t>
      </w:r>
      <w:r>
        <w:rPr>
          <w:rFonts w:hint="eastAsia"/>
        </w:rPr>
        <w:t>设施</w:t>
      </w:r>
      <w:r>
        <w:t>用地规模</w:t>
      </w:r>
      <w:r>
        <w:rPr>
          <w:rFonts w:hint="eastAsia"/>
        </w:rPr>
        <w:t>表</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110"/>
        <w:gridCol w:w="3112"/>
        <w:gridCol w:w="3112"/>
      </w:tblGrid>
      <w:tr w14:paraId="60615F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3110" w:type="dxa"/>
            <w:tcBorders>
              <w:top w:val="single" w:color="auto" w:sz="8" w:space="0"/>
              <w:bottom w:val="single" w:color="auto" w:sz="8" w:space="0"/>
            </w:tcBorders>
            <w:shd w:val="clear" w:color="auto" w:fill="auto"/>
            <w:vAlign w:val="center"/>
          </w:tcPr>
          <w:p w14:paraId="2AE8E3C6">
            <w:pPr>
              <w:pStyle w:val="179"/>
            </w:pPr>
            <w:r>
              <w:rPr>
                <w:rFonts w:hint="eastAsia"/>
              </w:rPr>
              <w:t>服务设施等级</w:t>
            </w:r>
          </w:p>
        </w:tc>
        <w:tc>
          <w:tcPr>
            <w:tcW w:w="3112" w:type="dxa"/>
            <w:tcBorders>
              <w:top w:val="single" w:color="auto" w:sz="8" w:space="0"/>
              <w:bottom w:val="single" w:color="auto" w:sz="8" w:space="0"/>
            </w:tcBorders>
            <w:shd w:val="clear" w:color="auto" w:fill="auto"/>
            <w:vAlign w:val="center"/>
          </w:tcPr>
          <w:p w14:paraId="4376E1F2">
            <w:pPr>
              <w:pStyle w:val="179"/>
            </w:pPr>
            <w:r>
              <w:rPr>
                <w:rFonts w:hint="eastAsia"/>
              </w:rPr>
              <w:t>用地规模最小值（亩）</w:t>
            </w:r>
          </w:p>
        </w:tc>
        <w:tc>
          <w:tcPr>
            <w:tcW w:w="3112" w:type="dxa"/>
            <w:tcBorders>
              <w:top w:val="single" w:color="auto" w:sz="8" w:space="0"/>
              <w:bottom w:val="single" w:color="auto" w:sz="8" w:space="0"/>
            </w:tcBorders>
            <w:shd w:val="clear" w:color="auto" w:fill="auto"/>
            <w:vAlign w:val="center"/>
          </w:tcPr>
          <w:p w14:paraId="42C6D189">
            <w:pPr>
              <w:pStyle w:val="179"/>
            </w:pPr>
            <w:r>
              <w:rPr>
                <w:rFonts w:hint="eastAsia"/>
              </w:rPr>
              <w:t>备  注</w:t>
            </w:r>
          </w:p>
        </w:tc>
      </w:tr>
      <w:tr w14:paraId="1F2610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tcBorders>
              <w:top w:val="single" w:color="auto" w:sz="8" w:space="0"/>
            </w:tcBorders>
            <w:shd w:val="clear" w:color="auto" w:fill="auto"/>
            <w:vAlign w:val="center"/>
          </w:tcPr>
          <w:p w14:paraId="12A0EADC">
            <w:pPr>
              <w:pStyle w:val="179"/>
            </w:pPr>
            <w:r>
              <w:rPr>
                <w:rFonts w:hint="eastAsia"/>
              </w:rPr>
              <w:t>I型服务区</w:t>
            </w:r>
          </w:p>
        </w:tc>
        <w:tc>
          <w:tcPr>
            <w:tcW w:w="3112" w:type="dxa"/>
            <w:tcBorders>
              <w:top w:val="single" w:color="auto" w:sz="8" w:space="0"/>
            </w:tcBorders>
            <w:shd w:val="clear" w:color="auto" w:fill="auto"/>
            <w:vAlign w:val="center"/>
          </w:tcPr>
          <w:p w14:paraId="425EC06E">
            <w:pPr>
              <w:pStyle w:val="179"/>
            </w:pPr>
            <w:r>
              <w:rPr>
                <w:rFonts w:hint="eastAsia"/>
              </w:rPr>
              <w:t>20</w:t>
            </w:r>
          </w:p>
        </w:tc>
        <w:tc>
          <w:tcPr>
            <w:tcW w:w="3112" w:type="dxa"/>
            <w:vMerge w:val="restart"/>
            <w:tcBorders>
              <w:top w:val="single" w:color="auto" w:sz="8" w:space="0"/>
            </w:tcBorders>
            <w:shd w:val="clear" w:color="auto" w:fill="auto"/>
            <w:vAlign w:val="center"/>
          </w:tcPr>
          <w:p w14:paraId="5F93724E">
            <w:pPr>
              <w:pStyle w:val="179"/>
            </w:pPr>
            <w:r>
              <w:rPr>
                <w:rFonts w:hint="eastAsia"/>
              </w:rPr>
              <w:t>用地规模可根据路段交通量适当调整</w:t>
            </w:r>
          </w:p>
          <w:p w14:paraId="480912E1">
            <w:pPr>
              <w:pStyle w:val="179"/>
            </w:pPr>
          </w:p>
        </w:tc>
      </w:tr>
      <w:tr w14:paraId="10897E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110" w:type="dxa"/>
            <w:shd w:val="clear" w:color="auto" w:fill="auto"/>
            <w:vAlign w:val="center"/>
          </w:tcPr>
          <w:p w14:paraId="1247E219">
            <w:pPr>
              <w:pStyle w:val="179"/>
            </w:pPr>
            <w:r>
              <w:rPr>
                <w:rFonts w:hint="eastAsia"/>
              </w:rPr>
              <w:t>II型服务区</w:t>
            </w:r>
          </w:p>
        </w:tc>
        <w:tc>
          <w:tcPr>
            <w:tcW w:w="3112" w:type="dxa"/>
            <w:shd w:val="clear" w:color="auto" w:fill="auto"/>
            <w:vAlign w:val="center"/>
          </w:tcPr>
          <w:p w14:paraId="6AB998B2">
            <w:pPr>
              <w:pStyle w:val="179"/>
            </w:pPr>
            <w:r>
              <w:rPr>
                <w:rFonts w:hint="eastAsia"/>
              </w:rPr>
              <w:t>15</w:t>
            </w:r>
          </w:p>
        </w:tc>
        <w:tc>
          <w:tcPr>
            <w:tcW w:w="3112" w:type="dxa"/>
            <w:vMerge w:val="continue"/>
            <w:shd w:val="clear" w:color="auto" w:fill="auto"/>
            <w:vAlign w:val="center"/>
          </w:tcPr>
          <w:p w14:paraId="6D23C6AB">
            <w:pPr>
              <w:pStyle w:val="179"/>
            </w:pPr>
          </w:p>
        </w:tc>
      </w:tr>
      <w:tr w14:paraId="3ADEDB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3"/>
            <w:shd w:val="clear" w:color="auto" w:fill="auto"/>
            <w:vAlign w:val="center"/>
          </w:tcPr>
          <w:p w14:paraId="29ADEBC8">
            <w:pPr>
              <w:pStyle w:val="181"/>
              <w:numPr>
                <w:ilvl w:val="0"/>
                <w:numId w:val="76"/>
              </w:numPr>
            </w:pPr>
            <w:r>
              <w:rPr>
                <w:rFonts w:hint="eastAsia"/>
              </w:rPr>
              <w:t>本表中服务设施分为I型服务区、II型服务区。</w:t>
            </w:r>
          </w:p>
          <w:p w14:paraId="103B31B9">
            <w:pPr>
              <w:pStyle w:val="181"/>
              <w:rPr>
                <w:rFonts w:hint="eastAsia"/>
              </w:rPr>
            </w:pPr>
            <w:r>
              <w:rPr>
                <w:rFonts w:hint="eastAsia"/>
              </w:rPr>
              <w:t>本表中用地规模最小值为单侧服务区的用地面积，不含拓展功能用地及边坡、挡墙、驶入（出）车道用地，即服务设施净用地面积。</w:t>
            </w:r>
          </w:p>
          <w:p w14:paraId="058ADA21">
            <w:pPr>
              <w:pStyle w:val="181"/>
              <w:rPr>
                <w:rFonts w:hint="eastAsia"/>
              </w:rPr>
            </w:pPr>
            <w:r>
              <w:t>在确有旅游、文化等特殊资源的地区，根据交旅融合的功能需求，服务区的建设用地规模可参考《四川省高速公路服务区设计与建设标准》或据实调整，报请主管部门同意。</w:t>
            </w:r>
          </w:p>
        </w:tc>
      </w:tr>
    </w:tbl>
    <w:p w14:paraId="55717301">
      <w:pPr>
        <w:pStyle w:val="57"/>
        <w:ind w:firstLine="0" w:firstLineChars="0"/>
        <w:rPr>
          <w:rFonts w:hint="eastAsia"/>
        </w:rPr>
      </w:pPr>
    </w:p>
    <w:p w14:paraId="64B94218">
      <w:pPr>
        <w:pStyle w:val="57"/>
        <w:ind w:firstLine="420"/>
      </w:pPr>
      <w:r>
        <w:drawing>
          <wp:inline distT="0" distB="0" distL="0" distR="0">
            <wp:extent cx="2442845" cy="1270635"/>
            <wp:effectExtent l="0" t="0" r="0" b="5715"/>
            <wp:docPr id="6152450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4502"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54289" cy="1276894"/>
                    </a:xfrm>
                    <a:prstGeom prst="rect">
                      <a:avLst/>
                    </a:prstGeom>
                    <a:noFill/>
                    <a:ln>
                      <a:noFill/>
                    </a:ln>
                  </pic:spPr>
                </pic:pic>
              </a:graphicData>
            </a:graphic>
          </wp:inline>
        </w:drawing>
      </w:r>
      <w:r>
        <w:t xml:space="preserve"> </w:t>
      </w:r>
      <w:r>
        <w:drawing>
          <wp:inline distT="0" distB="0" distL="0" distR="0">
            <wp:extent cx="2012950" cy="1287145"/>
            <wp:effectExtent l="0" t="0" r="6350" b="8255"/>
            <wp:docPr id="19733080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30806" name="图片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022556" cy="1293841"/>
                    </a:xfrm>
                    <a:prstGeom prst="rect">
                      <a:avLst/>
                    </a:prstGeom>
                    <a:noFill/>
                    <a:ln>
                      <a:noFill/>
                    </a:ln>
                  </pic:spPr>
                </pic:pic>
              </a:graphicData>
            </a:graphic>
          </wp:inline>
        </w:drawing>
      </w:r>
    </w:p>
    <w:p w14:paraId="32298031">
      <w:pPr>
        <w:pStyle w:val="57"/>
        <w:ind w:firstLine="420"/>
      </w:pPr>
      <w:r>
        <w:rPr>
          <w:rFonts w:hint="eastAsia"/>
        </w:rPr>
        <w:t>（a）服务设施与管养设施合建                        （b）服务设施与互通合建</w:t>
      </w:r>
    </w:p>
    <w:p w14:paraId="7D27B0BD">
      <w:pPr>
        <w:pStyle w:val="57"/>
        <w:ind w:firstLine="420"/>
        <w:rPr>
          <w:rFonts w:hint="eastAsia"/>
        </w:rPr>
      </w:pPr>
      <w:r>
        <w:drawing>
          <wp:inline distT="0" distB="0" distL="0" distR="0">
            <wp:extent cx="2408555" cy="1203960"/>
            <wp:effectExtent l="0" t="0" r="0" b="0"/>
            <wp:docPr id="192619250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92500" name="图片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19253" cy="1209627"/>
                    </a:xfrm>
                    <a:prstGeom prst="rect">
                      <a:avLst/>
                    </a:prstGeom>
                    <a:noFill/>
                    <a:ln>
                      <a:noFill/>
                    </a:ln>
                  </pic:spPr>
                </pic:pic>
              </a:graphicData>
            </a:graphic>
          </wp:inline>
        </w:drawing>
      </w:r>
      <w:r>
        <w:rPr>
          <w:rFonts w:hint="eastAsia"/>
        </w:rPr>
        <w:t xml:space="preserve">   </w:t>
      </w:r>
      <w:r>
        <w:drawing>
          <wp:inline distT="0" distB="0" distL="0" distR="0">
            <wp:extent cx="2433320" cy="1282700"/>
            <wp:effectExtent l="0" t="0" r="5080" b="0"/>
            <wp:docPr id="2430777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077750" name="图片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37865" cy="1285269"/>
                    </a:xfrm>
                    <a:prstGeom prst="rect">
                      <a:avLst/>
                    </a:prstGeom>
                    <a:noFill/>
                    <a:ln>
                      <a:noFill/>
                    </a:ln>
                  </pic:spPr>
                </pic:pic>
              </a:graphicData>
            </a:graphic>
          </wp:inline>
        </w:drawing>
      </w:r>
    </w:p>
    <w:p w14:paraId="76B433CD">
      <w:pPr>
        <w:pStyle w:val="57"/>
        <w:ind w:firstLine="420"/>
      </w:pPr>
      <w:r>
        <w:rPr>
          <w:rFonts w:hint="eastAsia"/>
        </w:rPr>
        <w:t xml:space="preserve">（c）服务设施与加油站合建                          （d）双侧服务设施共用服务楼  </w:t>
      </w:r>
    </w:p>
    <w:p w14:paraId="24B64CF5">
      <w:pPr>
        <w:pStyle w:val="57"/>
        <w:ind w:firstLine="420"/>
        <w:rPr>
          <w:rFonts w:hint="eastAsia"/>
        </w:rPr>
      </w:pPr>
    </w:p>
    <w:p w14:paraId="1FCCBE55">
      <w:pPr>
        <w:pStyle w:val="115"/>
        <w:spacing w:before="156" w:after="156"/>
        <w:rPr>
          <w:rFonts w:hint="eastAsia"/>
        </w:rPr>
      </w:pPr>
      <w:r>
        <w:rPr>
          <w:rFonts w:hint="eastAsia"/>
        </w:rPr>
        <w:t>服务设施建设模式示意图</w:t>
      </w:r>
    </w:p>
    <w:p w14:paraId="615769F4">
      <w:pPr>
        <w:pStyle w:val="113"/>
        <w:spacing w:before="156" w:after="156"/>
      </w:pPr>
      <w:r>
        <w:rPr>
          <w:rFonts w:hint="eastAsia"/>
        </w:rPr>
        <w:t>服务设施综合楼功能配置及建筑规模建议值</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41"/>
        <w:gridCol w:w="992"/>
        <w:gridCol w:w="2552"/>
        <w:gridCol w:w="1275"/>
        <w:gridCol w:w="1276"/>
        <w:gridCol w:w="1276"/>
        <w:gridCol w:w="1122"/>
      </w:tblGrid>
      <w:tr w14:paraId="6262EA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833" w:type="dxa"/>
            <w:gridSpan w:val="2"/>
            <w:tcBorders>
              <w:top w:val="single" w:color="auto" w:sz="8" w:space="0"/>
              <w:bottom w:val="single" w:color="auto" w:sz="8" w:space="0"/>
            </w:tcBorders>
            <w:shd w:val="clear" w:color="auto" w:fill="auto"/>
            <w:vAlign w:val="center"/>
          </w:tcPr>
          <w:p w14:paraId="20F8F0EB">
            <w:pPr>
              <w:pStyle w:val="179"/>
              <w:rPr>
                <w:rFonts w:hint="eastAsia"/>
              </w:rPr>
            </w:pPr>
            <w:r>
              <w:rPr>
                <w:rFonts w:hint="eastAsia"/>
              </w:rPr>
              <w:t>功能配置</w:t>
            </w:r>
          </w:p>
        </w:tc>
        <w:tc>
          <w:tcPr>
            <w:tcW w:w="2552" w:type="dxa"/>
            <w:tcBorders>
              <w:top w:val="single" w:color="auto" w:sz="8" w:space="0"/>
              <w:bottom w:val="single" w:color="auto" w:sz="8" w:space="0"/>
            </w:tcBorders>
            <w:shd w:val="clear" w:color="auto" w:fill="auto"/>
            <w:vAlign w:val="center"/>
          </w:tcPr>
          <w:p w14:paraId="093F36E0">
            <w:pPr>
              <w:pStyle w:val="179"/>
              <w:rPr>
                <w:rFonts w:hint="eastAsia"/>
              </w:rPr>
            </w:pPr>
            <w:r>
              <w:rPr>
                <w:rFonts w:hint="eastAsia"/>
              </w:rPr>
              <w:t>设施配置</w:t>
            </w:r>
          </w:p>
        </w:tc>
        <w:tc>
          <w:tcPr>
            <w:tcW w:w="1275" w:type="dxa"/>
            <w:tcBorders>
              <w:top w:val="single" w:color="auto" w:sz="8" w:space="0"/>
              <w:bottom w:val="single" w:color="auto" w:sz="8" w:space="0"/>
            </w:tcBorders>
            <w:shd w:val="clear" w:color="auto" w:fill="auto"/>
            <w:vAlign w:val="center"/>
          </w:tcPr>
          <w:p w14:paraId="5928D823">
            <w:pPr>
              <w:pStyle w:val="179"/>
              <w:rPr>
                <w:rFonts w:hint="eastAsia"/>
              </w:rPr>
            </w:pPr>
            <w:r>
              <w:rPr>
                <w:rFonts w:hint="eastAsia"/>
              </w:rPr>
              <w:t>I型服务区</w:t>
            </w:r>
          </w:p>
        </w:tc>
        <w:tc>
          <w:tcPr>
            <w:tcW w:w="1276" w:type="dxa"/>
            <w:tcBorders>
              <w:top w:val="single" w:color="auto" w:sz="8" w:space="0"/>
              <w:bottom w:val="single" w:color="auto" w:sz="8" w:space="0"/>
            </w:tcBorders>
            <w:shd w:val="clear" w:color="auto" w:fill="auto"/>
            <w:vAlign w:val="center"/>
          </w:tcPr>
          <w:p w14:paraId="0EF8895D">
            <w:pPr>
              <w:pStyle w:val="179"/>
              <w:rPr>
                <w:rFonts w:hint="eastAsia"/>
              </w:rPr>
            </w:pPr>
            <w:r>
              <w:rPr>
                <w:rFonts w:hint="eastAsia"/>
              </w:rPr>
              <w:t>建筑规模（</w:t>
            </w:r>
            <w:r>
              <w:rPr>
                <w:rFonts w:ascii="Segoe UI Symbol" w:hAnsi="Segoe UI Symbol"/>
              </w:rPr>
              <w:t>㎡</w:t>
            </w:r>
            <w:r>
              <w:rPr>
                <w:rFonts w:hint="eastAsia"/>
              </w:rPr>
              <w:t>）</w:t>
            </w:r>
          </w:p>
        </w:tc>
        <w:tc>
          <w:tcPr>
            <w:tcW w:w="1276" w:type="dxa"/>
            <w:tcBorders>
              <w:top w:val="single" w:color="auto" w:sz="8" w:space="0"/>
              <w:bottom w:val="single" w:color="auto" w:sz="8" w:space="0"/>
            </w:tcBorders>
            <w:shd w:val="clear" w:color="auto" w:fill="auto"/>
            <w:vAlign w:val="center"/>
          </w:tcPr>
          <w:p w14:paraId="6FBA75AC">
            <w:pPr>
              <w:pStyle w:val="179"/>
              <w:rPr>
                <w:rFonts w:hint="eastAsia"/>
              </w:rPr>
            </w:pPr>
            <w:r>
              <w:rPr>
                <w:rFonts w:hint="eastAsia"/>
              </w:rPr>
              <w:t>II型服务区</w:t>
            </w:r>
          </w:p>
        </w:tc>
        <w:tc>
          <w:tcPr>
            <w:tcW w:w="1122" w:type="dxa"/>
            <w:tcBorders>
              <w:top w:val="single" w:color="auto" w:sz="8" w:space="0"/>
              <w:bottom w:val="single" w:color="auto" w:sz="8" w:space="0"/>
            </w:tcBorders>
            <w:shd w:val="clear" w:color="auto" w:fill="auto"/>
            <w:vAlign w:val="center"/>
          </w:tcPr>
          <w:p w14:paraId="2BEE6CF0">
            <w:pPr>
              <w:pStyle w:val="238"/>
              <w:rPr>
                <w:rFonts w:hint="eastAsia"/>
              </w:rPr>
            </w:pPr>
            <w:r>
              <w:rPr>
                <w:rFonts w:hint="eastAsia"/>
              </w:rPr>
              <w:t>建筑规模</w:t>
            </w:r>
          </w:p>
          <w:p w14:paraId="5F412CDC">
            <w:pPr>
              <w:pStyle w:val="179"/>
              <w:rPr>
                <w:rFonts w:hint="eastAsia"/>
              </w:rPr>
            </w:pPr>
            <w:r>
              <w:rPr>
                <w:rFonts w:hint="eastAsia"/>
              </w:rPr>
              <w:t>（</w:t>
            </w:r>
            <w:r>
              <w:rPr>
                <w:rFonts w:ascii="Segoe UI Symbol" w:hAnsi="Segoe UI Symbol"/>
              </w:rPr>
              <w:t>㎡</w:t>
            </w:r>
            <w:r>
              <w:rPr>
                <w:rFonts w:hint="eastAsia"/>
              </w:rPr>
              <w:t>）</w:t>
            </w:r>
          </w:p>
        </w:tc>
      </w:tr>
      <w:tr w14:paraId="6F1BC9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restart"/>
            <w:tcBorders>
              <w:top w:val="single" w:color="auto" w:sz="8" w:space="0"/>
            </w:tcBorders>
            <w:shd w:val="clear" w:color="auto" w:fill="auto"/>
            <w:vAlign w:val="center"/>
          </w:tcPr>
          <w:p w14:paraId="733EF609">
            <w:pPr>
              <w:pStyle w:val="179"/>
              <w:rPr>
                <w:bCs/>
              </w:rPr>
            </w:pPr>
            <w:r>
              <w:rPr>
                <w:rFonts w:hint="eastAsia"/>
                <w:bCs/>
              </w:rPr>
              <w:t>综</w:t>
            </w:r>
          </w:p>
          <w:p w14:paraId="5171B5BF">
            <w:pPr>
              <w:pStyle w:val="179"/>
              <w:rPr>
                <w:rFonts w:hint="eastAsia"/>
                <w:bCs/>
              </w:rPr>
            </w:pPr>
            <w:r>
              <w:rPr>
                <w:rFonts w:hint="eastAsia"/>
                <w:bCs/>
              </w:rPr>
              <w:t>合</w:t>
            </w:r>
          </w:p>
          <w:p w14:paraId="1256519B">
            <w:pPr>
              <w:pStyle w:val="179"/>
              <w:rPr>
                <w:rFonts w:hint="eastAsia"/>
                <w:bCs/>
              </w:rPr>
            </w:pPr>
            <w:r>
              <w:rPr>
                <w:rFonts w:hint="eastAsia"/>
                <w:bCs/>
              </w:rPr>
              <w:t>楼</w:t>
            </w:r>
          </w:p>
          <w:p w14:paraId="14856C65">
            <w:pPr>
              <w:pStyle w:val="179"/>
              <w:rPr>
                <w:rFonts w:hint="eastAsia"/>
                <w:bCs/>
              </w:rPr>
            </w:pPr>
            <w:r>
              <w:rPr>
                <w:rFonts w:hint="eastAsia"/>
                <w:bCs/>
              </w:rPr>
              <w:t>服</w:t>
            </w:r>
          </w:p>
          <w:p w14:paraId="5D9C244C">
            <w:pPr>
              <w:pStyle w:val="179"/>
              <w:rPr>
                <w:rFonts w:hint="eastAsia"/>
                <w:bCs/>
              </w:rPr>
            </w:pPr>
            <w:r>
              <w:rPr>
                <w:rFonts w:hint="eastAsia"/>
                <w:bCs/>
              </w:rPr>
              <w:t>务</w:t>
            </w:r>
          </w:p>
          <w:p w14:paraId="4A296DFF">
            <w:pPr>
              <w:pStyle w:val="179"/>
              <w:rPr>
                <w:rFonts w:hint="eastAsia"/>
                <w:bCs/>
              </w:rPr>
            </w:pPr>
            <w:r>
              <w:rPr>
                <w:rFonts w:hint="eastAsia"/>
                <w:bCs/>
              </w:rPr>
              <w:t>功</w:t>
            </w:r>
          </w:p>
          <w:p w14:paraId="326DA92D">
            <w:pPr>
              <w:pStyle w:val="179"/>
              <w:rPr>
                <w:rFonts w:hint="eastAsia"/>
              </w:rPr>
            </w:pPr>
            <w:r>
              <w:rPr>
                <w:rFonts w:hint="eastAsia"/>
              </w:rPr>
              <w:t>能</w:t>
            </w:r>
          </w:p>
          <w:p w14:paraId="07DD9114">
            <w:pPr>
              <w:pStyle w:val="179"/>
              <w:rPr>
                <w:rFonts w:hint="eastAsia"/>
              </w:rPr>
            </w:pPr>
          </w:p>
        </w:tc>
        <w:tc>
          <w:tcPr>
            <w:tcW w:w="992" w:type="dxa"/>
            <w:vMerge w:val="restart"/>
            <w:tcBorders>
              <w:top w:val="single" w:color="auto" w:sz="8" w:space="0"/>
            </w:tcBorders>
            <w:shd w:val="clear" w:color="auto" w:fill="auto"/>
            <w:vAlign w:val="center"/>
          </w:tcPr>
          <w:p w14:paraId="5A136356">
            <w:pPr>
              <w:pStyle w:val="179"/>
              <w:rPr>
                <w:rFonts w:hint="eastAsia"/>
              </w:rPr>
            </w:pPr>
            <w:r>
              <w:rPr>
                <w:rFonts w:hint="eastAsia"/>
              </w:rPr>
              <w:t>卫生间</w:t>
            </w:r>
          </w:p>
        </w:tc>
        <w:tc>
          <w:tcPr>
            <w:tcW w:w="2552" w:type="dxa"/>
            <w:tcBorders>
              <w:top w:val="single" w:color="auto" w:sz="8" w:space="0"/>
            </w:tcBorders>
            <w:shd w:val="clear" w:color="auto" w:fill="auto"/>
            <w:vAlign w:val="center"/>
          </w:tcPr>
          <w:p w14:paraId="34D6C77D">
            <w:pPr>
              <w:pStyle w:val="179"/>
              <w:rPr>
                <w:rFonts w:hint="eastAsia"/>
              </w:rPr>
            </w:pPr>
            <w:r>
              <w:rPr>
                <w:rFonts w:hint="eastAsia"/>
              </w:rPr>
              <w:t>男、女卫生间</w:t>
            </w:r>
          </w:p>
        </w:tc>
        <w:tc>
          <w:tcPr>
            <w:tcW w:w="1275" w:type="dxa"/>
            <w:tcBorders>
              <w:top w:val="single" w:color="auto" w:sz="8" w:space="0"/>
            </w:tcBorders>
            <w:shd w:val="clear" w:color="auto" w:fill="auto"/>
            <w:vAlign w:val="center"/>
          </w:tcPr>
          <w:p w14:paraId="2EAFD9CF">
            <w:pPr>
              <w:pStyle w:val="179"/>
              <w:rPr>
                <w:rFonts w:hint="eastAsia"/>
              </w:rPr>
            </w:pPr>
            <w:r>
              <w:rPr>
                <w:rFonts w:hint="eastAsia"/>
              </w:rPr>
              <w:t>●</w:t>
            </w:r>
          </w:p>
        </w:tc>
        <w:tc>
          <w:tcPr>
            <w:tcW w:w="1276" w:type="dxa"/>
            <w:vMerge w:val="restart"/>
            <w:tcBorders>
              <w:top w:val="single" w:color="auto" w:sz="8" w:space="0"/>
            </w:tcBorders>
            <w:shd w:val="clear" w:color="auto" w:fill="auto"/>
            <w:vAlign w:val="center"/>
          </w:tcPr>
          <w:p w14:paraId="2B43940C">
            <w:pPr>
              <w:pStyle w:val="179"/>
              <w:rPr>
                <w:rFonts w:hint="eastAsia"/>
              </w:rPr>
            </w:pPr>
            <w:r>
              <w:rPr>
                <w:rFonts w:hint="eastAsia"/>
              </w:rPr>
              <w:t>200</w:t>
            </w:r>
          </w:p>
        </w:tc>
        <w:tc>
          <w:tcPr>
            <w:tcW w:w="1276" w:type="dxa"/>
            <w:tcBorders>
              <w:top w:val="single" w:color="auto" w:sz="8" w:space="0"/>
            </w:tcBorders>
            <w:shd w:val="clear" w:color="auto" w:fill="auto"/>
            <w:vAlign w:val="center"/>
          </w:tcPr>
          <w:p w14:paraId="5A934C87">
            <w:pPr>
              <w:pStyle w:val="179"/>
              <w:rPr>
                <w:rFonts w:hint="eastAsia"/>
              </w:rPr>
            </w:pPr>
            <w:r>
              <w:rPr>
                <w:rFonts w:hint="eastAsia"/>
              </w:rPr>
              <w:t>●</w:t>
            </w:r>
          </w:p>
        </w:tc>
        <w:tc>
          <w:tcPr>
            <w:tcW w:w="1122" w:type="dxa"/>
            <w:vMerge w:val="restart"/>
            <w:tcBorders>
              <w:top w:val="single" w:color="auto" w:sz="8" w:space="0"/>
            </w:tcBorders>
            <w:shd w:val="clear" w:color="auto" w:fill="auto"/>
            <w:vAlign w:val="center"/>
          </w:tcPr>
          <w:p w14:paraId="5FEBAB69">
            <w:pPr>
              <w:pStyle w:val="179"/>
              <w:rPr>
                <w:rFonts w:hint="eastAsia"/>
              </w:rPr>
            </w:pPr>
            <w:r>
              <w:rPr>
                <w:rFonts w:hint="eastAsia"/>
              </w:rPr>
              <w:t>100</w:t>
            </w:r>
          </w:p>
        </w:tc>
      </w:tr>
      <w:tr w14:paraId="50C574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1803164E">
            <w:pPr>
              <w:pStyle w:val="179"/>
              <w:rPr>
                <w:rFonts w:hint="eastAsia"/>
              </w:rPr>
            </w:pPr>
          </w:p>
        </w:tc>
        <w:tc>
          <w:tcPr>
            <w:tcW w:w="992" w:type="dxa"/>
            <w:vMerge w:val="continue"/>
            <w:shd w:val="clear" w:color="auto" w:fill="auto"/>
            <w:vAlign w:val="center"/>
          </w:tcPr>
          <w:p w14:paraId="497B6136">
            <w:pPr>
              <w:pStyle w:val="179"/>
              <w:rPr>
                <w:rFonts w:hint="eastAsia"/>
              </w:rPr>
            </w:pPr>
          </w:p>
        </w:tc>
        <w:tc>
          <w:tcPr>
            <w:tcW w:w="2552" w:type="dxa"/>
            <w:shd w:val="clear" w:color="auto" w:fill="auto"/>
            <w:vAlign w:val="center"/>
          </w:tcPr>
          <w:p w14:paraId="1D4D3B45">
            <w:pPr>
              <w:pStyle w:val="179"/>
              <w:rPr>
                <w:rFonts w:hint="eastAsia"/>
              </w:rPr>
            </w:pPr>
            <w:r>
              <w:rPr>
                <w:rFonts w:hint="eastAsia"/>
              </w:rPr>
              <w:t>无障碍卫生间（无障碍厕位）</w:t>
            </w:r>
          </w:p>
        </w:tc>
        <w:tc>
          <w:tcPr>
            <w:tcW w:w="1275" w:type="dxa"/>
            <w:shd w:val="clear" w:color="auto" w:fill="auto"/>
            <w:vAlign w:val="center"/>
          </w:tcPr>
          <w:p w14:paraId="36E79A10">
            <w:pPr>
              <w:pStyle w:val="179"/>
              <w:rPr>
                <w:rFonts w:hint="eastAsia"/>
              </w:rPr>
            </w:pPr>
            <w:r>
              <w:rPr>
                <w:rFonts w:hint="eastAsia"/>
              </w:rPr>
              <w:t>●</w:t>
            </w:r>
          </w:p>
        </w:tc>
        <w:tc>
          <w:tcPr>
            <w:tcW w:w="1276" w:type="dxa"/>
            <w:vMerge w:val="continue"/>
            <w:shd w:val="clear" w:color="auto" w:fill="auto"/>
            <w:vAlign w:val="center"/>
          </w:tcPr>
          <w:p w14:paraId="6E0E230A">
            <w:pPr>
              <w:pStyle w:val="179"/>
              <w:rPr>
                <w:rFonts w:hint="eastAsia"/>
              </w:rPr>
            </w:pPr>
          </w:p>
        </w:tc>
        <w:tc>
          <w:tcPr>
            <w:tcW w:w="1276" w:type="dxa"/>
            <w:shd w:val="clear" w:color="auto" w:fill="auto"/>
            <w:vAlign w:val="center"/>
          </w:tcPr>
          <w:p w14:paraId="2F631E8F">
            <w:pPr>
              <w:pStyle w:val="179"/>
              <w:rPr>
                <w:rFonts w:hint="eastAsia"/>
              </w:rPr>
            </w:pPr>
            <w:r>
              <w:rPr>
                <w:rFonts w:hint="eastAsia"/>
              </w:rPr>
              <w:t>●</w:t>
            </w:r>
          </w:p>
        </w:tc>
        <w:tc>
          <w:tcPr>
            <w:tcW w:w="1122" w:type="dxa"/>
            <w:vMerge w:val="continue"/>
            <w:shd w:val="clear" w:color="auto" w:fill="auto"/>
            <w:vAlign w:val="center"/>
          </w:tcPr>
          <w:p w14:paraId="08982B65">
            <w:pPr>
              <w:pStyle w:val="179"/>
              <w:rPr>
                <w:rFonts w:hint="eastAsia"/>
              </w:rPr>
            </w:pPr>
          </w:p>
        </w:tc>
      </w:tr>
      <w:tr w14:paraId="77977A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420765F9">
            <w:pPr>
              <w:pStyle w:val="179"/>
              <w:rPr>
                <w:rFonts w:hint="eastAsia"/>
              </w:rPr>
            </w:pPr>
          </w:p>
        </w:tc>
        <w:tc>
          <w:tcPr>
            <w:tcW w:w="992" w:type="dxa"/>
            <w:vMerge w:val="continue"/>
            <w:shd w:val="clear" w:color="auto" w:fill="auto"/>
            <w:vAlign w:val="center"/>
          </w:tcPr>
          <w:p w14:paraId="30DFEA0F">
            <w:pPr>
              <w:pStyle w:val="179"/>
              <w:rPr>
                <w:rFonts w:hint="eastAsia"/>
              </w:rPr>
            </w:pPr>
          </w:p>
        </w:tc>
        <w:tc>
          <w:tcPr>
            <w:tcW w:w="2552" w:type="dxa"/>
            <w:shd w:val="clear" w:color="auto" w:fill="auto"/>
            <w:vAlign w:val="center"/>
          </w:tcPr>
          <w:p w14:paraId="19230ACF">
            <w:pPr>
              <w:pStyle w:val="179"/>
              <w:rPr>
                <w:rFonts w:hint="eastAsia"/>
              </w:rPr>
            </w:pPr>
            <w:r>
              <w:rPr>
                <w:rFonts w:hint="eastAsia"/>
              </w:rPr>
              <w:t>第三卫生间</w:t>
            </w:r>
          </w:p>
        </w:tc>
        <w:tc>
          <w:tcPr>
            <w:tcW w:w="1275" w:type="dxa"/>
            <w:shd w:val="clear" w:color="auto" w:fill="auto"/>
            <w:vAlign w:val="center"/>
          </w:tcPr>
          <w:p w14:paraId="70625401">
            <w:pPr>
              <w:pStyle w:val="179"/>
              <w:rPr>
                <w:rFonts w:hint="eastAsia"/>
              </w:rPr>
            </w:pPr>
            <w:r>
              <w:rPr>
                <w:rFonts w:hint="eastAsia"/>
              </w:rPr>
              <w:t>●</w:t>
            </w:r>
          </w:p>
        </w:tc>
        <w:tc>
          <w:tcPr>
            <w:tcW w:w="1276" w:type="dxa"/>
            <w:vMerge w:val="continue"/>
            <w:shd w:val="clear" w:color="auto" w:fill="auto"/>
            <w:vAlign w:val="center"/>
          </w:tcPr>
          <w:p w14:paraId="073D9C09">
            <w:pPr>
              <w:pStyle w:val="179"/>
              <w:rPr>
                <w:rFonts w:hint="eastAsia"/>
              </w:rPr>
            </w:pPr>
          </w:p>
        </w:tc>
        <w:tc>
          <w:tcPr>
            <w:tcW w:w="1276" w:type="dxa"/>
            <w:shd w:val="clear" w:color="auto" w:fill="auto"/>
            <w:vAlign w:val="center"/>
          </w:tcPr>
          <w:p w14:paraId="6197A783">
            <w:pPr>
              <w:pStyle w:val="179"/>
              <w:rPr>
                <w:rFonts w:hint="eastAsia"/>
              </w:rPr>
            </w:pPr>
            <w:r>
              <w:rPr>
                <w:rFonts w:hint="eastAsia"/>
              </w:rPr>
              <w:t>○</w:t>
            </w:r>
          </w:p>
        </w:tc>
        <w:tc>
          <w:tcPr>
            <w:tcW w:w="1122" w:type="dxa"/>
            <w:vMerge w:val="continue"/>
            <w:shd w:val="clear" w:color="auto" w:fill="auto"/>
            <w:vAlign w:val="center"/>
          </w:tcPr>
          <w:p w14:paraId="120226CE">
            <w:pPr>
              <w:pStyle w:val="179"/>
              <w:rPr>
                <w:rFonts w:hint="eastAsia"/>
              </w:rPr>
            </w:pPr>
          </w:p>
        </w:tc>
      </w:tr>
      <w:tr w14:paraId="60AAE71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095600B3">
            <w:pPr>
              <w:pStyle w:val="179"/>
              <w:rPr>
                <w:rFonts w:hint="eastAsia"/>
              </w:rPr>
            </w:pPr>
          </w:p>
        </w:tc>
        <w:tc>
          <w:tcPr>
            <w:tcW w:w="992" w:type="dxa"/>
            <w:vMerge w:val="restart"/>
            <w:shd w:val="clear" w:color="auto" w:fill="auto"/>
            <w:vAlign w:val="center"/>
          </w:tcPr>
          <w:p w14:paraId="43657CEA">
            <w:pPr>
              <w:pStyle w:val="179"/>
              <w:rPr>
                <w:rFonts w:hint="eastAsia"/>
              </w:rPr>
            </w:pPr>
            <w:r>
              <w:rPr>
                <w:rFonts w:hint="eastAsia"/>
              </w:rPr>
              <w:t>公共服务</w:t>
            </w:r>
          </w:p>
        </w:tc>
        <w:tc>
          <w:tcPr>
            <w:tcW w:w="2552" w:type="dxa"/>
            <w:shd w:val="clear" w:color="auto" w:fill="auto"/>
            <w:vAlign w:val="center"/>
          </w:tcPr>
          <w:p w14:paraId="2775E517">
            <w:pPr>
              <w:pStyle w:val="179"/>
              <w:rPr>
                <w:rFonts w:hint="eastAsia"/>
              </w:rPr>
            </w:pPr>
            <w:r>
              <w:rPr>
                <w:rFonts w:hint="eastAsia"/>
              </w:rPr>
              <w:t>开水间（可结合休息座椅）</w:t>
            </w:r>
          </w:p>
        </w:tc>
        <w:tc>
          <w:tcPr>
            <w:tcW w:w="1275" w:type="dxa"/>
            <w:shd w:val="clear" w:color="auto" w:fill="auto"/>
            <w:vAlign w:val="center"/>
          </w:tcPr>
          <w:p w14:paraId="70E27327">
            <w:pPr>
              <w:pStyle w:val="179"/>
              <w:rPr>
                <w:rFonts w:hint="eastAsia"/>
              </w:rPr>
            </w:pPr>
            <w:r>
              <w:rPr>
                <w:rFonts w:hint="eastAsia"/>
              </w:rPr>
              <w:t>●</w:t>
            </w:r>
          </w:p>
        </w:tc>
        <w:tc>
          <w:tcPr>
            <w:tcW w:w="1276" w:type="dxa"/>
            <w:vMerge w:val="restart"/>
            <w:shd w:val="clear" w:color="auto" w:fill="auto"/>
            <w:vAlign w:val="center"/>
          </w:tcPr>
          <w:p w14:paraId="3A688A2B">
            <w:pPr>
              <w:pStyle w:val="179"/>
              <w:rPr>
                <w:rFonts w:hint="eastAsia"/>
              </w:rPr>
            </w:pPr>
            <w:r>
              <w:rPr>
                <w:rFonts w:hint="eastAsia"/>
              </w:rPr>
              <w:t>150</w:t>
            </w:r>
          </w:p>
        </w:tc>
        <w:tc>
          <w:tcPr>
            <w:tcW w:w="1276" w:type="dxa"/>
            <w:shd w:val="clear" w:color="auto" w:fill="auto"/>
            <w:vAlign w:val="center"/>
          </w:tcPr>
          <w:p w14:paraId="578955C8">
            <w:pPr>
              <w:pStyle w:val="179"/>
              <w:rPr>
                <w:rFonts w:hint="eastAsia"/>
              </w:rPr>
            </w:pPr>
            <w:r>
              <w:rPr>
                <w:rFonts w:hint="eastAsia"/>
              </w:rPr>
              <w:t>●</w:t>
            </w:r>
          </w:p>
        </w:tc>
        <w:tc>
          <w:tcPr>
            <w:tcW w:w="1122" w:type="dxa"/>
            <w:vMerge w:val="restart"/>
            <w:shd w:val="clear" w:color="auto" w:fill="auto"/>
            <w:vAlign w:val="center"/>
          </w:tcPr>
          <w:p w14:paraId="4AACC268">
            <w:pPr>
              <w:pStyle w:val="179"/>
              <w:rPr>
                <w:rFonts w:hint="eastAsia"/>
              </w:rPr>
            </w:pPr>
            <w:r>
              <w:rPr>
                <w:rFonts w:hint="eastAsia"/>
              </w:rPr>
              <w:t>100</w:t>
            </w:r>
          </w:p>
        </w:tc>
      </w:tr>
      <w:tr w14:paraId="2B9654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176F8ED5">
            <w:pPr>
              <w:pStyle w:val="179"/>
              <w:rPr>
                <w:rFonts w:hint="eastAsia"/>
              </w:rPr>
            </w:pPr>
          </w:p>
        </w:tc>
        <w:tc>
          <w:tcPr>
            <w:tcW w:w="992" w:type="dxa"/>
            <w:vMerge w:val="continue"/>
            <w:shd w:val="clear" w:color="auto" w:fill="auto"/>
            <w:vAlign w:val="center"/>
          </w:tcPr>
          <w:p w14:paraId="2DC74D6F">
            <w:pPr>
              <w:pStyle w:val="179"/>
              <w:rPr>
                <w:rFonts w:hint="eastAsia"/>
              </w:rPr>
            </w:pPr>
          </w:p>
        </w:tc>
        <w:tc>
          <w:tcPr>
            <w:tcW w:w="2552" w:type="dxa"/>
            <w:shd w:val="clear" w:color="auto" w:fill="auto"/>
            <w:vAlign w:val="center"/>
          </w:tcPr>
          <w:p w14:paraId="51F25CD0">
            <w:pPr>
              <w:pStyle w:val="179"/>
              <w:rPr>
                <w:rFonts w:hint="eastAsia"/>
              </w:rPr>
            </w:pPr>
            <w:r>
              <w:rPr>
                <w:rFonts w:hint="eastAsia"/>
              </w:rPr>
              <w:t>母婴室</w:t>
            </w:r>
          </w:p>
        </w:tc>
        <w:tc>
          <w:tcPr>
            <w:tcW w:w="1275" w:type="dxa"/>
            <w:shd w:val="clear" w:color="auto" w:fill="auto"/>
            <w:vAlign w:val="center"/>
          </w:tcPr>
          <w:p w14:paraId="59DF67F6">
            <w:pPr>
              <w:pStyle w:val="179"/>
              <w:rPr>
                <w:rFonts w:hint="eastAsia"/>
              </w:rPr>
            </w:pPr>
            <w:r>
              <w:rPr>
                <w:rFonts w:hint="eastAsia"/>
              </w:rPr>
              <w:t>○</w:t>
            </w:r>
          </w:p>
        </w:tc>
        <w:tc>
          <w:tcPr>
            <w:tcW w:w="1276" w:type="dxa"/>
            <w:vMerge w:val="continue"/>
            <w:shd w:val="clear" w:color="auto" w:fill="auto"/>
            <w:vAlign w:val="center"/>
          </w:tcPr>
          <w:p w14:paraId="6AA41E62">
            <w:pPr>
              <w:pStyle w:val="179"/>
              <w:rPr>
                <w:rFonts w:hint="eastAsia"/>
              </w:rPr>
            </w:pPr>
          </w:p>
        </w:tc>
        <w:tc>
          <w:tcPr>
            <w:tcW w:w="1276" w:type="dxa"/>
            <w:shd w:val="clear" w:color="auto" w:fill="auto"/>
            <w:vAlign w:val="center"/>
          </w:tcPr>
          <w:p w14:paraId="352E8386">
            <w:pPr>
              <w:pStyle w:val="179"/>
              <w:rPr>
                <w:rFonts w:hint="eastAsia"/>
              </w:rPr>
            </w:pPr>
            <w:r>
              <w:rPr>
                <w:rFonts w:hint="eastAsia"/>
              </w:rPr>
              <w:t>○</w:t>
            </w:r>
          </w:p>
        </w:tc>
        <w:tc>
          <w:tcPr>
            <w:tcW w:w="1122" w:type="dxa"/>
            <w:vMerge w:val="continue"/>
            <w:shd w:val="clear" w:color="auto" w:fill="auto"/>
            <w:vAlign w:val="center"/>
          </w:tcPr>
          <w:p w14:paraId="54787110">
            <w:pPr>
              <w:pStyle w:val="179"/>
              <w:rPr>
                <w:rFonts w:hint="eastAsia"/>
              </w:rPr>
            </w:pPr>
          </w:p>
        </w:tc>
      </w:tr>
      <w:tr w14:paraId="3F9CC1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412CA726">
            <w:pPr>
              <w:pStyle w:val="179"/>
              <w:rPr>
                <w:rFonts w:hint="eastAsia"/>
              </w:rPr>
            </w:pPr>
          </w:p>
        </w:tc>
        <w:tc>
          <w:tcPr>
            <w:tcW w:w="992" w:type="dxa"/>
            <w:vMerge w:val="continue"/>
            <w:shd w:val="clear" w:color="auto" w:fill="auto"/>
            <w:vAlign w:val="center"/>
          </w:tcPr>
          <w:p w14:paraId="691537D7">
            <w:pPr>
              <w:pStyle w:val="179"/>
              <w:rPr>
                <w:rFonts w:hint="eastAsia"/>
              </w:rPr>
            </w:pPr>
          </w:p>
        </w:tc>
        <w:tc>
          <w:tcPr>
            <w:tcW w:w="2552" w:type="dxa"/>
            <w:shd w:val="clear" w:color="auto" w:fill="auto"/>
            <w:vAlign w:val="center"/>
          </w:tcPr>
          <w:p w14:paraId="6E0C278B">
            <w:pPr>
              <w:pStyle w:val="179"/>
              <w:rPr>
                <w:rFonts w:hint="eastAsia"/>
              </w:rPr>
            </w:pPr>
            <w:r>
              <w:rPr>
                <w:rFonts w:hint="eastAsia"/>
              </w:rPr>
              <w:t>暖心之家</w:t>
            </w:r>
          </w:p>
        </w:tc>
        <w:tc>
          <w:tcPr>
            <w:tcW w:w="1275" w:type="dxa"/>
            <w:shd w:val="clear" w:color="auto" w:fill="auto"/>
            <w:vAlign w:val="center"/>
          </w:tcPr>
          <w:p w14:paraId="6355E3AC">
            <w:pPr>
              <w:pStyle w:val="179"/>
              <w:rPr>
                <w:rFonts w:hint="eastAsia"/>
              </w:rPr>
            </w:pPr>
            <w:r>
              <w:rPr>
                <w:rFonts w:hint="eastAsia"/>
              </w:rPr>
              <w:t>○</w:t>
            </w:r>
          </w:p>
        </w:tc>
        <w:tc>
          <w:tcPr>
            <w:tcW w:w="1276" w:type="dxa"/>
            <w:vMerge w:val="continue"/>
            <w:shd w:val="clear" w:color="auto" w:fill="auto"/>
            <w:vAlign w:val="center"/>
          </w:tcPr>
          <w:p w14:paraId="710C3824">
            <w:pPr>
              <w:pStyle w:val="179"/>
              <w:rPr>
                <w:rFonts w:hint="eastAsia"/>
              </w:rPr>
            </w:pPr>
          </w:p>
        </w:tc>
        <w:tc>
          <w:tcPr>
            <w:tcW w:w="1276" w:type="dxa"/>
            <w:shd w:val="clear" w:color="auto" w:fill="auto"/>
            <w:vAlign w:val="center"/>
          </w:tcPr>
          <w:p w14:paraId="7CD2A42D">
            <w:pPr>
              <w:pStyle w:val="179"/>
              <w:rPr>
                <w:rFonts w:hint="eastAsia"/>
              </w:rPr>
            </w:pPr>
            <w:r>
              <w:rPr>
                <w:rFonts w:hint="eastAsia"/>
              </w:rPr>
              <w:t>○</w:t>
            </w:r>
          </w:p>
        </w:tc>
        <w:tc>
          <w:tcPr>
            <w:tcW w:w="1122" w:type="dxa"/>
            <w:vMerge w:val="continue"/>
            <w:shd w:val="clear" w:color="auto" w:fill="auto"/>
            <w:vAlign w:val="center"/>
          </w:tcPr>
          <w:p w14:paraId="37F15027">
            <w:pPr>
              <w:pStyle w:val="179"/>
              <w:rPr>
                <w:rFonts w:hint="eastAsia"/>
              </w:rPr>
            </w:pPr>
          </w:p>
        </w:tc>
      </w:tr>
      <w:tr w14:paraId="080FF5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7BA919F2">
            <w:pPr>
              <w:pStyle w:val="179"/>
              <w:rPr>
                <w:rFonts w:hint="eastAsia"/>
              </w:rPr>
            </w:pPr>
          </w:p>
        </w:tc>
        <w:tc>
          <w:tcPr>
            <w:tcW w:w="992" w:type="dxa"/>
            <w:vMerge w:val="continue"/>
            <w:shd w:val="clear" w:color="auto" w:fill="auto"/>
            <w:vAlign w:val="center"/>
          </w:tcPr>
          <w:p w14:paraId="215563C2">
            <w:pPr>
              <w:pStyle w:val="179"/>
              <w:rPr>
                <w:rFonts w:hint="eastAsia"/>
              </w:rPr>
            </w:pPr>
          </w:p>
        </w:tc>
        <w:tc>
          <w:tcPr>
            <w:tcW w:w="2552" w:type="dxa"/>
            <w:shd w:val="clear" w:color="auto" w:fill="auto"/>
            <w:vAlign w:val="center"/>
          </w:tcPr>
          <w:p w14:paraId="63E0D347">
            <w:pPr>
              <w:pStyle w:val="179"/>
              <w:rPr>
                <w:rFonts w:hint="eastAsia"/>
              </w:rPr>
            </w:pPr>
            <w:r>
              <w:rPr>
                <w:rFonts w:hint="eastAsia"/>
              </w:rPr>
              <w:t>餐厅</w:t>
            </w:r>
          </w:p>
        </w:tc>
        <w:tc>
          <w:tcPr>
            <w:tcW w:w="1275" w:type="dxa"/>
            <w:shd w:val="clear" w:color="auto" w:fill="auto"/>
            <w:vAlign w:val="center"/>
          </w:tcPr>
          <w:p w14:paraId="431647C6">
            <w:pPr>
              <w:pStyle w:val="179"/>
              <w:rPr>
                <w:rFonts w:hint="eastAsia"/>
              </w:rPr>
            </w:pPr>
            <w:r>
              <w:rPr>
                <w:rFonts w:hint="eastAsia"/>
              </w:rPr>
              <w:t>○</w:t>
            </w:r>
          </w:p>
        </w:tc>
        <w:tc>
          <w:tcPr>
            <w:tcW w:w="1276" w:type="dxa"/>
            <w:vMerge w:val="continue"/>
            <w:shd w:val="clear" w:color="auto" w:fill="auto"/>
            <w:vAlign w:val="center"/>
          </w:tcPr>
          <w:p w14:paraId="48CC4FDF">
            <w:pPr>
              <w:pStyle w:val="179"/>
              <w:rPr>
                <w:rFonts w:hint="eastAsia"/>
              </w:rPr>
            </w:pPr>
          </w:p>
        </w:tc>
        <w:tc>
          <w:tcPr>
            <w:tcW w:w="1276" w:type="dxa"/>
            <w:shd w:val="clear" w:color="auto" w:fill="auto"/>
            <w:vAlign w:val="center"/>
          </w:tcPr>
          <w:p w14:paraId="6120E8CA">
            <w:pPr>
              <w:pStyle w:val="179"/>
              <w:rPr>
                <w:rFonts w:hint="eastAsia"/>
              </w:rPr>
            </w:pPr>
            <w:r>
              <w:rPr>
                <w:rFonts w:hint="eastAsia"/>
              </w:rPr>
              <w:t>○</w:t>
            </w:r>
          </w:p>
        </w:tc>
        <w:tc>
          <w:tcPr>
            <w:tcW w:w="1122" w:type="dxa"/>
            <w:vMerge w:val="continue"/>
            <w:shd w:val="clear" w:color="auto" w:fill="auto"/>
            <w:vAlign w:val="center"/>
          </w:tcPr>
          <w:p w14:paraId="468F71DD">
            <w:pPr>
              <w:pStyle w:val="179"/>
              <w:rPr>
                <w:rFonts w:hint="eastAsia"/>
              </w:rPr>
            </w:pPr>
          </w:p>
        </w:tc>
      </w:tr>
      <w:tr w14:paraId="368BFF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67376A1A">
            <w:pPr>
              <w:pStyle w:val="179"/>
              <w:rPr>
                <w:rFonts w:hint="eastAsia"/>
              </w:rPr>
            </w:pPr>
          </w:p>
        </w:tc>
        <w:tc>
          <w:tcPr>
            <w:tcW w:w="992" w:type="dxa"/>
            <w:vMerge w:val="continue"/>
            <w:shd w:val="clear" w:color="auto" w:fill="auto"/>
            <w:vAlign w:val="center"/>
          </w:tcPr>
          <w:p w14:paraId="53EE4481">
            <w:pPr>
              <w:pStyle w:val="179"/>
              <w:rPr>
                <w:rFonts w:hint="eastAsia"/>
              </w:rPr>
            </w:pPr>
          </w:p>
        </w:tc>
        <w:tc>
          <w:tcPr>
            <w:tcW w:w="2552" w:type="dxa"/>
            <w:shd w:val="clear" w:color="auto" w:fill="auto"/>
            <w:vAlign w:val="center"/>
          </w:tcPr>
          <w:p w14:paraId="76C6F9A1">
            <w:pPr>
              <w:pStyle w:val="179"/>
              <w:rPr>
                <w:rFonts w:hint="eastAsia"/>
              </w:rPr>
            </w:pPr>
            <w:r>
              <w:rPr>
                <w:rFonts w:hint="eastAsia"/>
              </w:rPr>
              <w:t>医务室（含供氧站）</w:t>
            </w:r>
          </w:p>
        </w:tc>
        <w:tc>
          <w:tcPr>
            <w:tcW w:w="1275" w:type="dxa"/>
            <w:shd w:val="clear" w:color="auto" w:fill="auto"/>
            <w:vAlign w:val="center"/>
          </w:tcPr>
          <w:p w14:paraId="4A637D7D">
            <w:pPr>
              <w:pStyle w:val="179"/>
              <w:rPr>
                <w:rFonts w:hint="eastAsia"/>
              </w:rPr>
            </w:pPr>
            <w:r>
              <w:rPr>
                <w:rFonts w:hint="eastAsia"/>
              </w:rPr>
              <w:t>●</w:t>
            </w:r>
          </w:p>
        </w:tc>
        <w:tc>
          <w:tcPr>
            <w:tcW w:w="1276" w:type="dxa"/>
            <w:vMerge w:val="continue"/>
            <w:shd w:val="clear" w:color="auto" w:fill="auto"/>
            <w:vAlign w:val="center"/>
          </w:tcPr>
          <w:p w14:paraId="65D202BE">
            <w:pPr>
              <w:pStyle w:val="179"/>
              <w:rPr>
                <w:rFonts w:hint="eastAsia"/>
              </w:rPr>
            </w:pPr>
          </w:p>
        </w:tc>
        <w:tc>
          <w:tcPr>
            <w:tcW w:w="1276" w:type="dxa"/>
            <w:shd w:val="clear" w:color="auto" w:fill="auto"/>
            <w:vAlign w:val="center"/>
          </w:tcPr>
          <w:p w14:paraId="44C0272A">
            <w:pPr>
              <w:pStyle w:val="179"/>
              <w:rPr>
                <w:rFonts w:hint="eastAsia"/>
              </w:rPr>
            </w:pPr>
            <w:r>
              <w:rPr>
                <w:rFonts w:hint="eastAsia"/>
              </w:rPr>
              <w:t>○</w:t>
            </w:r>
          </w:p>
        </w:tc>
        <w:tc>
          <w:tcPr>
            <w:tcW w:w="1122" w:type="dxa"/>
            <w:vMerge w:val="continue"/>
            <w:shd w:val="clear" w:color="auto" w:fill="auto"/>
            <w:vAlign w:val="center"/>
          </w:tcPr>
          <w:p w14:paraId="1AAB3E91">
            <w:pPr>
              <w:pStyle w:val="179"/>
              <w:rPr>
                <w:rFonts w:hint="eastAsia"/>
              </w:rPr>
            </w:pPr>
          </w:p>
        </w:tc>
      </w:tr>
      <w:tr w14:paraId="2786AB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33C31B17">
            <w:pPr>
              <w:pStyle w:val="179"/>
              <w:rPr>
                <w:rFonts w:hint="eastAsia"/>
              </w:rPr>
            </w:pPr>
          </w:p>
        </w:tc>
        <w:tc>
          <w:tcPr>
            <w:tcW w:w="992" w:type="dxa"/>
            <w:vMerge w:val="restart"/>
            <w:shd w:val="clear" w:color="auto" w:fill="auto"/>
            <w:vAlign w:val="center"/>
          </w:tcPr>
          <w:p w14:paraId="5EF304A4">
            <w:pPr>
              <w:pStyle w:val="179"/>
              <w:rPr>
                <w:rFonts w:hint="eastAsia"/>
              </w:rPr>
            </w:pPr>
            <w:r>
              <w:rPr>
                <w:rFonts w:hint="eastAsia"/>
              </w:rPr>
              <w:t>餐饮</w:t>
            </w:r>
          </w:p>
        </w:tc>
        <w:tc>
          <w:tcPr>
            <w:tcW w:w="2552" w:type="dxa"/>
            <w:shd w:val="clear" w:color="auto" w:fill="auto"/>
            <w:vAlign w:val="center"/>
          </w:tcPr>
          <w:p w14:paraId="2C05E5C4">
            <w:pPr>
              <w:pStyle w:val="179"/>
              <w:rPr>
                <w:rFonts w:hint="eastAsia"/>
              </w:rPr>
            </w:pPr>
            <w:r>
              <w:rPr>
                <w:rFonts w:hint="eastAsia"/>
              </w:rPr>
              <w:t>餐饮摊点</w:t>
            </w:r>
          </w:p>
        </w:tc>
        <w:tc>
          <w:tcPr>
            <w:tcW w:w="1275" w:type="dxa"/>
            <w:shd w:val="clear" w:color="auto" w:fill="auto"/>
            <w:vAlign w:val="center"/>
          </w:tcPr>
          <w:p w14:paraId="794C500A">
            <w:pPr>
              <w:pStyle w:val="179"/>
              <w:rPr>
                <w:rFonts w:hint="eastAsia"/>
              </w:rPr>
            </w:pPr>
            <w:r>
              <w:rPr>
                <w:rFonts w:hint="eastAsia"/>
              </w:rPr>
              <w:t>●</w:t>
            </w:r>
          </w:p>
        </w:tc>
        <w:tc>
          <w:tcPr>
            <w:tcW w:w="1276" w:type="dxa"/>
            <w:vMerge w:val="restart"/>
            <w:shd w:val="clear" w:color="auto" w:fill="auto"/>
            <w:vAlign w:val="center"/>
          </w:tcPr>
          <w:p w14:paraId="7FA7868A">
            <w:pPr>
              <w:pStyle w:val="179"/>
              <w:rPr>
                <w:rFonts w:hint="eastAsia"/>
              </w:rPr>
            </w:pPr>
            <w:r>
              <w:rPr>
                <w:rFonts w:hint="eastAsia"/>
              </w:rPr>
              <w:t>200</w:t>
            </w:r>
          </w:p>
        </w:tc>
        <w:tc>
          <w:tcPr>
            <w:tcW w:w="1276" w:type="dxa"/>
            <w:shd w:val="clear" w:color="auto" w:fill="auto"/>
            <w:vAlign w:val="center"/>
          </w:tcPr>
          <w:p w14:paraId="58E16686">
            <w:pPr>
              <w:pStyle w:val="179"/>
              <w:rPr>
                <w:rFonts w:hint="eastAsia"/>
              </w:rPr>
            </w:pPr>
          </w:p>
        </w:tc>
        <w:tc>
          <w:tcPr>
            <w:tcW w:w="1122" w:type="dxa"/>
            <w:vMerge w:val="restart"/>
            <w:shd w:val="clear" w:color="auto" w:fill="auto"/>
            <w:vAlign w:val="center"/>
          </w:tcPr>
          <w:p w14:paraId="5A270F66">
            <w:pPr>
              <w:pStyle w:val="179"/>
              <w:rPr>
                <w:rFonts w:hint="eastAsia"/>
              </w:rPr>
            </w:pPr>
            <w:r>
              <w:rPr>
                <w:rFonts w:hint="eastAsia"/>
              </w:rPr>
              <w:t>150</w:t>
            </w:r>
          </w:p>
        </w:tc>
      </w:tr>
      <w:tr w14:paraId="7FEAE1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746A3EBE">
            <w:pPr>
              <w:pStyle w:val="179"/>
              <w:rPr>
                <w:rFonts w:hint="eastAsia"/>
              </w:rPr>
            </w:pPr>
          </w:p>
        </w:tc>
        <w:tc>
          <w:tcPr>
            <w:tcW w:w="992" w:type="dxa"/>
            <w:vMerge w:val="continue"/>
            <w:shd w:val="clear" w:color="auto" w:fill="auto"/>
            <w:vAlign w:val="center"/>
          </w:tcPr>
          <w:p w14:paraId="2AF6054C">
            <w:pPr>
              <w:pStyle w:val="179"/>
              <w:rPr>
                <w:rFonts w:hint="eastAsia"/>
              </w:rPr>
            </w:pPr>
          </w:p>
        </w:tc>
        <w:tc>
          <w:tcPr>
            <w:tcW w:w="2552" w:type="dxa"/>
            <w:shd w:val="clear" w:color="auto" w:fill="auto"/>
            <w:vAlign w:val="center"/>
          </w:tcPr>
          <w:p w14:paraId="3B35FB44">
            <w:pPr>
              <w:pStyle w:val="179"/>
              <w:rPr>
                <w:rFonts w:hint="eastAsia"/>
              </w:rPr>
            </w:pPr>
            <w:r>
              <w:rPr>
                <w:rFonts w:hint="eastAsia"/>
              </w:rPr>
              <w:t>超市</w:t>
            </w:r>
          </w:p>
        </w:tc>
        <w:tc>
          <w:tcPr>
            <w:tcW w:w="1275" w:type="dxa"/>
            <w:shd w:val="clear" w:color="auto" w:fill="auto"/>
            <w:vAlign w:val="center"/>
          </w:tcPr>
          <w:p w14:paraId="20F5448F">
            <w:pPr>
              <w:pStyle w:val="179"/>
              <w:rPr>
                <w:rFonts w:hint="eastAsia"/>
              </w:rPr>
            </w:pPr>
            <w:r>
              <w:rPr>
                <w:rFonts w:hint="eastAsia"/>
              </w:rPr>
              <w:t>●</w:t>
            </w:r>
          </w:p>
        </w:tc>
        <w:tc>
          <w:tcPr>
            <w:tcW w:w="1276" w:type="dxa"/>
            <w:vMerge w:val="continue"/>
            <w:shd w:val="clear" w:color="auto" w:fill="auto"/>
            <w:vAlign w:val="center"/>
          </w:tcPr>
          <w:p w14:paraId="7C53E827">
            <w:pPr>
              <w:pStyle w:val="179"/>
              <w:rPr>
                <w:rFonts w:hint="eastAsia"/>
              </w:rPr>
            </w:pPr>
          </w:p>
        </w:tc>
        <w:tc>
          <w:tcPr>
            <w:tcW w:w="1276" w:type="dxa"/>
            <w:shd w:val="clear" w:color="auto" w:fill="auto"/>
            <w:vAlign w:val="center"/>
          </w:tcPr>
          <w:p w14:paraId="39FE27F0">
            <w:pPr>
              <w:pStyle w:val="179"/>
              <w:rPr>
                <w:rFonts w:hint="eastAsia"/>
              </w:rPr>
            </w:pPr>
            <w:r>
              <w:rPr>
                <w:rFonts w:hint="eastAsia"/>
              </w:rPr>
              <w:t>○</w:t>
            </w:r>
          </w:p>
        </w:tc>
        <w:tc>
          <w:tcPr>
            <w:tcW w:w="1122" w:type="dxa"/>
            <w:vMerge w:val="continue"/>
            <w:shd w:val="clear" w:color="auto" w:fill="auto"/>
            <w:vAlign w:val="center"/>
          </w:tcPr>
          <w:p w14:paraId="664F011F">
            <w:pPr>
              <w:pStyle w:val="179"/>
              <w:rPr>
                <w:rFonts w:hint="eastAsia"/>
              </w:rPr>
            </w:pPr>
          </w:p>
        </w:tc>
      </w:tr>
      <w:tr w14:paraId="416196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70D6B9EF">
            <w:pPr>
              <w:pStyle w:val="179"/>
              <w:rPr>
                <w:rFonts w:hint="eastAsia"/>
              </w:rPr>
            </w:pPr>
          </w:p>
        </w:tc>
        <w:tc>
          <w:tcPr>
            <w:tcW w:w="992" w:type="dxa"/>
            <w:vMerge w:val="restart"/>
            <w:shd w:val="clear" w:color="auto" w:fill="auto"/>
            <w:vAlign w:val="center"/>
          </w:tcPr>
          <w:p w14:paraId="78A7ED99">
            <w:pPr>
              <w:pStyle w:val="179"/>
              <w:rPr>
                <w:rFonts w:hint="eastAsia"/>
              </w:rPr>
            </w:pPr>
            <w:r>
              <w:rPr>
                <w:rFonts w:hint="eastAsia"/>
              </w:rPr>
              <w:t>购物</w:t>
            </w:r>
          </w:p>
        </w:tc>
        <w:tc>
          <w:tcPr>
            <w:tcW w:w="2552" w:type="dxa"/>
            <w:shd w:val="clear" w:color="auto" w:fill="auto"/>
            <w:vAlign w:val="center"/>
          </w:tcPr>
          <w:p w14:paraId="5D52F673">
            <w:pPr>
              <w:pStyle w:val="179"/>
              <w:rPr>
                <w:rFonts w:hint="eastAsia"/>
              </w:rPr>
            </w:pPr>
            <w:r>
              <w:rPr>
                <w:rFonts w:hint="eastAsia"/>
              </w:rPr>
              <w:t>零售摊点</w:t>
            </w:r>
          </w:p>
        </w:tc>
        <w:tc>
          <w:tcPr>
            <w:tcW w:w="1275" w:type="dxa"/>
            <w:shd w:val="clear" w:color="auto" w:fill="auto"/>
            <w:vAlign w:val="center"/>
          </w:tcPr>
          <w:p w14:paraId="52C57AF5">
            <w:pPr>
              <w:pStyle w:val="179"/>
              <w:rPr>
                <w:rFonts w:hint="eastAsia"/>
              </w:rPr>
            </w:pPr>
            <w:r>
              <w:rPr>
                <w:rFonts w:hint="eastAsia"/>
              </w:rPr>
              <w:t>○</w:t>
            </w:r>
          </w:p>
        </w:tc>
        <w:tc>
          <w:tcPr>
            <w:tcW w:w="1276" w:type="dxa"/>
            <w:vMerge w:val="restart"/>
            <w:shd w:val="clear" w:color="auto" w:fill="auto"/>
            <w:vAlign w:val="center"/>
          </w:tcPr>
          <w:p w14:paraId="7D0AF965">
            <w:pPr>
              <w:pStyle w:val="179"/>
              <w:rPr>
                <w:rFonts w:hint="eastAsia"/>
              </w:rPr>
            </w:pPr>
            <w:r>
              <w:rPr>
                <w:rFonts w:hint="eastAsia"/>
              </w:rPr>
              <w:t>200</w:t>
            </w:r>
          </w:p>
        </w:tc>
        <w:tc>
          <w:tcPr>
            <w:tcW w:w="1276" w:type="dxa"/>
            <w:shd w:val="clear" w:color="auto" w:fill="auto"/>
            <w:vAlign w:val="center"/>
          </w:tcPr>
          <w:p w14:paraId="290E8337">
            <w:pPr>
              <w:pStyle w:val="179"/>
              <w:rPr>
                <w:rFonts w:hint="eastAsia"/>
              </w:rPr>
            </w:pPr>
          </w:p>
        </w:tc>
        <w:tc>
          <w:tcPr>
            <w:tcW w:w="1122" w:type="dxa"/>
            <w:vMerge w:val="restart"/>
            <w:shd w:val="clear" w:color="auto" w:fill="auto"/>
            <w:vAlign w:val="center"/>
          </w:tcPr>
          <w:p w14:paraId="2CCCA1A2">
            <w:pPr>
              <w:pStyle w:val="179"/>
              <w:rPr>
                <w:rFonts w:hint="eastAsia"/>
              </w:rPr>
            </w:pPr>
            <w:r>
              <w:rPr>
                <w:rFonts w:hint="eastAsia"/>
              </w:rPr>
              <w:t>150</w:t>
            </w:r>
          </w:p>
        </w:tc>
      </w:tr>
      <w:tr w14:paraId="57DE6D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57E00D00">
            <w:pPr>
              <w:pStyle w:val="179"/>
              <w:rPr>
                <w:rFonts w:hint="eastAsia"/>
              </w:rPr>
            </w:pPr>
          </w:p>
        </w:tc>
        <w:tc>
          <w:tcPr>
            <w:tcW w:w="992" w:type="dxa"/>
            <w:vMerge w:val="continue"/>
            <w:shd w:val="clear" w:color="auto" w:fill="auto"/>
            <w:vAlign w:val="center"/>
          </w:tcPr>
          <w:p w14:paraId="495F9204">
            <w:pPr>
              <w:pStyle w:val="179"/>
              <w:rPr>
                <w:rFonts w:hint="eastAsia"/>
              </w:rPr>
            </w:pPr>
          </w:p>
        </w:tc>
        <w:tc>
          <w:tcPr>
            <w:tcW w:w="2552" w:type="dxa"/>
            <w:shd w:val="clear" w:color="auto" w:fill="auto"/>
            <w:vAlign w:val="center"/>
          </w:tcPr>
          <w:p w14:paraId="72717532">
            <w:pPr>
              <w:pStyle w:val="179"/>
              <w:rPr>
                <w:rFonts w:hint="eastAsia"/>
              </w:rPr>
            </w:pPr>
            <w:r>
              <w:rPr>
                <w:rFonts w:hint="eastAsia"/>
              </w:rPr>
              <w:t>路网查询</w:t>
            </w:r>
          </w:p>
        </w:tc>
        <w:tc>
          <w:tcPr>
            <w:tcW w:w="1275" w:type="dxa"/>
            <w:shd w:val="clear" w:color="auto" w:fill="auto"/>
            <w:vAlign w:val="center"/>
          </w:tcPr>
          <w:p w14:paraId="05AA05E4">
            <w:pPr>
              <w:pStyle w:val="179"/>
              <w:rPr>
                <w:rFonts w:hint="eastAsia"/>
              </w:rPr>
            </w:pPr>
            <w:r>
              <w:rPr>
                <w:rFonts w:hint="eastAsia"/>
              </w:rPr>
              <w:t>●</w:t>
            </w:r>
          </w:p>
        </w:tc>
        <w:tc>
          <w:tcPr>
            <w:tcW w:w="1276" w:type="dxa"/>
            <w:vMerge w:val="continue"/>
            <w:shd w:val="clear" w:color="auto" w:fill="auto"/>
            <w:vAlign w:val="center"/>
          </w:tcPr>
          <w:p w14:paraId="66B09FB7">
            <w:pPr>
              <w:pStyle w:val="179"/>
              <w:rPr>
                <w:rFonts w:hint="eastAsia"/>
              </w:rPr>
            </w:pPr>
          </w:p>
        </w:tc>
        <w:tc>
          <w:tcPr>
            <w:tcW w:w="1276" w:type="dxa"/>
            <w:shd w:val="clear" w:color="auto" w:fill="auto"/>
            <w:vAlign w:val="center"/>
          </w:tcPr>
          <w:p w14:paraId="20EC2FE9">
            <w:pPr>
              <w:pStyle w:val="179"/>
              <w:rPr>
                <w:rFonts w:hint="eastAsia"/>
              </w:rPr>
            </w:pPr>
            <w:r>
              <w:rPr>
                <w:rFonts w:hint="eastAsia"/>
              </w:rPr>
              <w:t>○</w:t>
            </w:r>
          </w:p>
        </w:tc>
        <w:tc>
          <w:tcPr>
            <w:tcW w:w="1122" w:type="dxa"/>
            <w:vMerge w:val="continue"/>
            <w:shd w:val="clear" w:color="auto" w:fill="auto"/>
            <w:vAlign w:val="center"/>
          </w:tcPr>
          <w:p w14:paraId="1FF6BDDC">
            <w:pPr>
              <w:pStyle w:val="179"/>
              <w:rPr>
                <w:rFonts w:hint="eastAsia"/>
              </w:rPr>
            </w:pPr>
          </w:p>
        </w:tc>
      </w:tr>
      <w:tr w14:paraId="5B8E6B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0B2CD2A1">
            <w:pPr>
              <w:pStyle w:val="179"/>
              <w:rPr>
                <w:rFonts w:hint="eastAsia"/>
              </w:rPr>
            </w:pPr>
          </w:p>
        </w:tc>
        <w:tc>
          <w:tcPr>
            <w:tcW w:w="992" w:type="dxa"/>
            <w:vMerge w:val="restart"/>
            <w:shd w:val="clear" w:color="auto" w:fill="auto"/>
            <w:vAlign w:val="center"/>
          </w:tcPr>
          <w:p w14:paraId="51992BAD">
            <w:pPr>
              <w:pStyle w:val="179"/>
              <w:rPr>
                <w:rFonts w:hint="eastAsia"/>
              </w:rPr>
            </w:pPr>
            <w:r>
              <w:rPr>
                <w:rFonts w:hint="eastAsia"/>
              </w:rPr>
              <w:t>智能服务</w:t>
            </w:r>
          </w:p>
        </w:tc>
        <w:tc>
          <w:tcPr>
            <w:tcW w:w="2552" w:type="dxa"/>
            <w:shd w:val="clear" w:color="auto" w:fill="auto"/>
            <w:vAlign w:val="center"/>
          </w:tcPr>
          <w:p w14:paraId="7C2D66BB">
            <w:pPr>
              <w:pStyle w:val="179"/>
              <w:rPr>
                <w:rFonts w:hint="eastAsia"/>
              </w:rPr>
            </w:pPr>
            <w:r>
              <w:rPr>
                <w:rFonts w:hint="eastAsia"/>
              </w:rPr>
              <w:t>手机充电装置</w:t>
            </w:r>
          </w:p>
        </w:tc>
        <w:tc>
          <w:tcPr>
            <w:tcW w:w="1275" w:type="dxa"/>
            <w:shd w:val="clear" w:color="auto" w:fill="auto"/>
            <w:vAlign w:val="center"/>
          </w:tcPr>
          <w:p w14:paraId="74CB20CC">
            <w:pPr>
              <w:pStyle w:val="179"/>
              <w:rPr>
                <w:rFonts w:hint="eastAsia"/>
              </w:rPr>
            </w:pPr>
            <w:r>
              <w:rPr>
                <w:rFonts w:hint="eastAsia"/>
              </w:rPr>
              <w:t>●</w:t>
            </w:r>
          </w:p>
        </w:tc>
        <w:tc>
          <w:tcPr>
            <w:tcW w:w="1276" w:type="dxa"/>
            <w:vMerge w:val="restart"/>
            <w:shd w:val="clear" w:color="auto" w:fill="auto"/>
            <w:vAlign w:val="center"/>
          </w:tcPr>
          <w:p w14:paraId="2FB61E88">
            <w:pPr>
              <w:pStyle w:val="179"/>
              <w:rPr>
                <w:rFonts w:hint="eastAsia"/>
              </w:rPr>
            </w:pPr>
          </w:p>
        </w:tc>
        <w:tc>
          <w:tcPr>
            <w:tcW w:w="1276" w:type="dxa"/>
            <w:shd w:val="clear" w:color="auto" w:fill="auto"/>
            <w:vAlign w:val="center"/>
          </w:tcPr>
          <w:p w14:paraId="78BE1AF3">
            <w:pPr>
              <w:pStyle w:val="179"/>
              <w:rPr>
                <w:rFonts w:hint="eastAsia"/>
              </w:rPr>
            </w:pPr>
            <w:r>
              <w:rPr>
                <w:rFonts w:hint="eastAsia"/>
              </w:rPr>
              <w:t>●</w:t>
            </w:r>
          </w:p>
        </w:tc>
        <w:tc>
          <w:tcPr>
            <w:tcW w:w="1122" w:type="dxa"/>
            <w:vMerge w:val="restart"/>
            <w:shd w:val="clear" w:color="auto" w:fill="auto"/>
            <w:vAlign w:val="center"/>
          </w:tcPr>
          <w:p w14:paraId="301CCA6C">
            <w:pPr>
              <w:pStyle w:val="179"/>
              <w:rPr>
                <w:rFonts w:hint="eastAsia"/>
              </w:rPr>
            </w:pPr>
            <w:r>
              <w:rPr>
                <w:rFonts w:hint="eastAsia"/>
              </w:rPr>
              <w:t>—</w:t>
            </w:r>
          </w:p>
        </w:tc>
      </w:tr>
      <w:tr w14:paraId="695898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01C5888B">
            <w:pPr>
              <w:pStyle w:val="179"/>
              <w:rPr>
                <w:rFonts w:hint="eastAsia"/>
              </w:rPr>
            </w:pPr>
          </w:p>
        </w:tc>
        <w:tc>
          <w:tcPr>
            <w:tcW w:w="992" w:type="dxa"/>
            <w:vMerge w:val="continue"/>
            <w:shd w:val="clear" w:color="auto" w:fill="auto"/>
            <w:vAlign w:val="center"/>
          </w:tcPr>
          <w:p w14:paraId="1213F4EC">
            <w:pPr>
              <w:pStyle w:val="179"/>
              <w:jc w:val="both"/>
              <w:rPr>
                <w:rFonts w:hint="eastAsia"/>
              </w:rPr>
            </w:pPr>
          </w:p>
        </w:tc>
        <w:tc>
          <w:tcPr>
            <w:tcW w:w="2552" w:type="dxa"/>
            <w:shd w:val="clear" w:color="auto" w:fill="auto"/>
            <w:vAlign w:val="center"/>
          </w:tcPr>
          <w:p w14:paraId="22A7AC99">
            <w:pPr>
              <w:pStyle w:val="179"/>
              <w:rPr>
                <w:rFonts w:hint="eastAsia"/>
              </w:rPr>
            </w:pPr>
            <w:r>
              <w:rPr>
                <w:rFonts w:hint="eastAsia"/>
              </w:rPr>
              <w:t>Wifi覆盖设施</w:t>
            </w:r>
          </w:p>
        </w:tc>
        <w:tc>
          <w:tcPr>
            <w:tcW w:w="1275" w:type="dxa"/>
            <w:shd w:val="clear" w:color="auto" w:fill="auto"/>
            <w:vAlign w:val="center"/>
          </w:tcPr>
          <w:p w14:paraId="1595302B">
            <w:pPr>
              <w:pStyle w:val="179"/>
              <w:rPr>
                <w:rFonts w:hint="eastAsia"/>
              </w:rPr>
            </w:pPr>
            <w:r>
              <w:rPr>
                <w:rFonts w:hint="eastAsia"/>
              </w:rPr>
              <w:t>○</w:t>
            </w:r>
          </w:p>
        </w:tc>
        <w:tc>
          <w:tcPr>
            <w:tcW w:w="1276" w:type="dxa"/>
            <w:vMerge w:val="continue"/>
            <w:shd w:val="clear" w:color="auto" w:fill="auto"/>
            <w:vAlign w:val="center"/>
          </w:tcPr>
          <w:p w14:paraId="17659925">
            <w:pPr>
              <w:pStyle w:val="179"/>
              <w:rPr>
                <w:rFonts w:hint="eastAsia"/>
              </w:rPr>
            </w:pPr>
          </w:p>
        </w:tc>
        <w:tc>
          <w:tcPr>
            <w:tcW w:w="1276" w:type="dxa"/>
            <w:shd w:val="clear" w:color="auto" w:fill="auto"/>
            <w:vAlign w:val="center"/>
          </w:tcPr>
          <w:p w14:paraId="2FB0EAC6">
            <w:pPr>
              <w:pStyle w:val="179"/>
              <w:rPr>
                <w:rFonts w:hint="eastAsia"/>
              </w:rPr>
            </w:pPr>
            <w:r>
              <w:rPr>
                <w:rFonts w:hint="eastAsia"/>
              </w:rPr>
              <w:t>○</w:t>
            </w:r>
          </w:p>
        </w:tc>
        <w:tc>
          <w:tcPr>
            <w:tcW w:w="1122" w:type="dxa"/>
            <w:vMerge w:val="continue"/>
            <w:shd w:val="clear" w:color="auto" w:fill="auto"/>
            <w:vAlign w:val="center"/>
          </w:tcPr>
          <w:p w14:paraId="312B689A">
            <w:pPr>
              <w:pStyle w:val="179"/>
              <w:rPr>
                <w:rFonts w:hint="eastAsia"/>
              </w:rPr>
            </w:pPr>
          </w:p>
        </w:tc>
      </w:tr>
      <w:tr w14:paraId="4BBF1E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841" w:type="dxa"/>
            <w:vMerge w:val="continue"/>
            <w:shd w:val="clear" w:color="auto" w:fill="auto"/>
            <w:vAlign w:val="center"/>
          </w:tcPr>
          <w:p w14:paraId="06CD850A">
            <w:pPr>
              <w:pStyle w:val="179"/>
              <w:rPr>
                <w:rFonts w:hint="eastAsia"/>
              </w:rPr>
            </w:pPr>
          </w:p>
        </w:tc>
        <w:tc>
          <w:tcPr>
            <w:tcW w:w="992" w:type="dxa"/>
            <w:vMerge w:val="continue"/>
            <w:shd w:val="clear" w:color="auto" w:fill="auto"/>
            <w:vAlign w:val="center"/>
          </w:tcPr>
          <w:p w14:paraId="1575761A">
            <w:pPr>
              <w:pStyle w:val="179"/>
              <w:rPr>
                <w:rFonts w:hint="eastAsia"/>
              </w:rPr>
            </w:pPr>
          </w:p>
        </w:tc>
        <w:tc>
          <w:tcPr>
            <w:tcW w:w="2552" w:type="dxa"/>
            <w:shd w:val="clear" w:color="auto" w:fill="auto"/>
            <w:vAlign w:val="center"/>
          </w:tcPr>
          <w:p w14:paraId="56407007">
            <w:pPr>
              <w:pStyle w:val="179"/>
              <w:rPr>
                <w:rFonts w:hint="eastAsia"/>
              </w:rPr>
            </w:pPr>
            <w:r>
              <w:rPr>
                <w:rFonts w:hint="eastAsia"/>
              </w:rPr>
              <w:t>厕位显示系统</w:t>
            </w:r>
          </w:p>
        </w:tc>
        <w:tc>
          <w:tcPr>
            <w:tcW w:w="1275" w:type="dxa"/>
            <w:shd w:val="clear" w:color="auto" w:fill="auto"/>
            <w:vAlign w:val="center"/>
          </w:tcPr>
          <w:p w14:paraId="0116994F">
            <w:pPr>
              <w:pStyle w:val="179"/>
              <w:rPr>
                <w:rFonts w:hint="eastAsia"/>
              </w:rPr>
            </w:pPr>
            <w:r>
              <w:rPr>
                <w:rFonts w:hint="eastAsia"/>
              </w:rPr>
              <w:t>○</w:t>
            </w:r>
          </w:p>
        </w:tc>
        <w:tc>
          <w:tcPr>
            <w:tcW w:w="1276" w:type="dxa"/>
            <w:vMerge w:val="continue"/>
            <w:shd w:val="clear" w:color="auto" w:fill="auto"/>
            <w:vAlign w:val="center"/>
          </w:tcPr>
          <w:p w14:paraId="5B041A3A">
            <w:pPr>
              <w:pStyle w:val="179"/>
              <w:rPr>
                <w:rFonts w:hint="eastAsia"/>
              </w:rPr>
            </w:pPr>
          </w:p>
        </w:tc>
        <w:tc>
          <w:tcPr>
            <w:tcW w:w="1276" w:type="dxa"/>
            <w:shd w:val="clear" w:color="auto" w:fill="auto"/>
            <w:vAlign w:val="center"/>
          </w:tcPr>
          <w:p w14:paraId="476F1B8E">
            <w:pPr>
              <w:pStyle w:val="179"/>
              <w:rPr>
                <w:rFonts w:hint="eastAsia"/>
              </w:rPr>
            </w:pPr>
            <w:r>
              <w:rPr>
                <w:rFonts w:hint="eastAsia"/>
              </w:rPr>
              <w:t>—</w:t>
            </w:r>
          </w:p>
        </w:tc>
        <w:tc>
          <w:tcPr>
            <w:tcW w:w="1122" w:type="dxa"/>
            <w:vMerge w:val="continue"/>
            <w:shd w:val="clear" w:color="auto" w:fill="auto"/>
            <w:vAlign w:val="center"/>
          </w:tcPr>
          <w:p w14:paraId="0C80FEE4">
            <w:pPr>
              <w:pStyle w:val="179"/>
              <w:rPr>
                <w:rFonts w:hint="eastAsia"/>
              </w:rPr>
            </w:pPr>
          </w:p>
        </w:tc>
      </w:tr>
      <w:tr w14:paraId="145EDC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833" w:type="dxa"/>
            <w:gridSpan w:val="2"/>
            <w:shd w:val="clear" w:color="auto" w:fill="auto"/>
            <w:vAlign w:val="center"/>
          </w:tcPr>
          <w:p w14:paraId="12E68CDE">
            <w:pPr>
              <w:pStyle w:val="179"/>
              <w:rPr>
                <w:rFonts w:hint="eastAsia"/>
              </w:rPr>
            </w:pPr>
            <w:r>
              <w:rPr>
                <w:rFonts w:hint="eastAsia"/>
              </w:rPr>
              <w:t>合计</w:t>
            </w:r>
          </w:p>
        </w:tc>
        <w:tc>
          <w:tcPr>
            <w:tcW w:w="2552" w:type="dxa"/>
            <w:shd w:val="clear" w:color="auto" w:fill="auto"/>
            <w:vAlign w:val="center"/>
          </w:tcPr>
          <w:p w14:paraId="31B6D0FA">
            <w:pPr>
              <w:pStyle w:val="179"/>
              <w:rPr>
                <w:rFonts w:hint="eastAsia"/>
              </w:rPr>
            </w:pPr>
          </w:p>
        </w:tc>
        <w:tc>
          <w:tcPr>
            <w:tcW w:w="1275" w:type="dxa"/>
            <w:shd w:val="clear" w:color="auto" w:fill="auto"/>
            <w:vAlign w:val="center"/>
          </w:tcPr>
          <w:p w14:paraId="4D7BE6BA">
            <w:pPr>
              <w:pStyle w:val="179"/>
              <w:rPr>
                <w:rFonts w:hint="eastAsia"/>
              </w:rPr>
            </w:pPr>
          </w:p>
        </w:tc>
        <w:tc>
          <w:tcPr>
            <w:tcW w:w="1276" w:type="dxa"/>
            <w:shd w:val="clear" w:color="auto" w:fill="auto"/>
            <w:vAlign w:val="center"/>
          </w:tcPr>
          <w:p w14:paraId="254F5A98">
            <w:pPr>
              <w:pStyle w:val="179"/>
              <w:rPr>
                <w:rFonts w:hint="eastAsia"/>
              </w:rPr>
            </w:pPr>
            <w:r>
              <w:rPr>
                <w:rFonts w:hint="eastAsia"/>
              </w:rPr>
              <w:t>750</w:t>
            </w:r>
          </w:p>
        </w:tc>
        <w:tc>
          <w:tcPr>
            <w:tcW w:w="1276" w:type="dxa"/>
            <w:shd w:val="clear" w:color="auto" w:fill="auto"/>
            <w:vAlign w:val="center"/>
          </w:tcPr>
          <w:p w14:paraId="705337B5">
            <w:pPr>
              <w:pStyle w:val="179"/>
              <w:rPr>
                <w:rFonts w:hint="eastAsia"/>
              </w:rPr>
            </w:pPr>
          </w:p>
        </w:tc>
        <w:tc>
          <w:tcPr>
            <w:tcW w:w="1122" w:type="dxa"/>
            <w:shd w:val="clear" w:color="auto" w:fill="auto"/>
            <w:vAlign w:val="center"/>
          </w:tcPr>
          <w:p w14:paraId="438D0753">
            <w:pPr>
              <w:pStyle w:val="179"/>
              <w:rPr>
                <w:rFonts w:hint="eastAsia"/>
              </w:rPr>
            </w:pPr>
            <w:r>
              <w:rPr>
                <w:rFonts w:hint="eastAsia"/>
              </w:rPr>
              <w:t>500</w:t>
            </w:r>
          </w:p>
        </w:tc>
      </w:tr>
      <w:tr w14:paraId="713CC0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7"/>
            <w:shd w:val="clear" w:color="auto" w:fill="auto"/>
            <w:vAlign w:val="center"/>
          </w:tcPr>
          <w:p w14:paraId="630EDE8C">
            <w:pPr>
              <w:pStyle w:val="181"/>
              <w:numPr>
                <w:ilvl w:val="0"/>
                <w:numId w:val="77"/>
              </w:numPr>
              <w:rPr>
                <w:szCs w:val="20"/>
              </w:rPr>
            </w:pPr>
            <w:r>
              <w:rPr>
                <w:rFonts w:hint="eastAsia"/>
              </w:rPr>
              <w:t>本表的综合楼服务功能分为必设功能和拓展功能：●为基础功能；○为拓展功能</w:t>
            </w:r>
            <w:r>
              <w:rPr>
                <w:rFonts w:hint="eastAsia"/>
                <w:szCs w:val="20"/>
              </w:rPr>
              <w:t>。</w:t>
            </w:r>
          </w:p>
          <w:p w14:paraId="4C7C9812">
            <w:pPr>
              <w:pStyle w:val="181"/>
              <w:rPr>
                <w:rFonts w:hint="eastAsia"/>
              </w:rPr>
            </w:pPr>
            <w:r>
              <w:rPr>
                <w:rFonts w:hint="eastAsia"/>
              </w:rPr>
              <w:t xml:space="preserve">本表中建筑规模为建议值，可根据实际情况浮动±10%。该建筑规模不含附属建筑。  </w:t>
            </w:r>
          </w:p>
          <w:p w14:paraId="62E2C400">
            <w:pPr>
              <w:pStyle w:val="181"/>
              <w:rPr>
                <w:rFonts w:hint="eastAsia"/>
              </w:rPr>
            </w:pPr>
            <w:r>
              <w:rPr>
                <w:rFonts w:hint="eastAsia"/>
              </w:rPr>
              <w:t>综合楼卫生间平面功能布局宜按“潮汐”式分区布局，路段交通量高峰季运营，低峰季可独立关停，节省运营成本。</w:t>
            </w:r>
          </w:p>
          <w:p w14:paraId="30862F8F">
            <w:pPr>
              <w:pStyle w:val="181"/>
              <w:rPr>
                <w:rFonts w:hint="eastAsia"/>
              </w:rPr>
            </w:pPr>
            <w:r>
              <w:rPr>
                <w:rFonts w:hint="eastAsia"/>
              </w:rPr>
              <w:t>本表中I型、II型服务区建筑规模是针对高原山区交通量较小的实际情况设置的建议值，该建议值小于《四川省高速公路服务区设计与建设标准》（DBJ51/T154-2020）中的规定，其目的是为了在满足基本出行服务功能的前提下尽量节能、节地、节材，降低工程造价。</w:t>
            </w:r>
          </w:p>
          <w:p w14:paraId="2396F4DE">
            <w:pPr>
              <w:pStyle w:val="179"/>
              <w:rPr>
                <w:rFonts w:hint="eastAsia"/>
              </w:rPr>
            </w:pPr>
          </w:p>
        </w:tc>
      </w:tr>
    </w:tbl>
    <w:p w14:paraId="1E53921F">
      <w:pPr>
        <w:pStyle w:val="57"/>
        <w:ind w:firstLine="420"/>
        <w:rPr>
          <w:rFonts w:hint="eastAsia"/>
        </w:rPr>
      </w:pPr>
    </w:p>
    <w:p w14:paraId="4EC1F449">
      <w:pPr>
        <w:pStyle w:val="57"/>
        <w:ind w:firstLine="420"/>
        <w:rPr>
          <w:rFonts w:hint="eastAsia"/>
        </w:rPr>
      </w:pPr>
    </w:p>
    <w:p w14:paraId="12D2FC3B">
      <w:pPr>
        <w:pStyle w:val="57"/>
        <w:ind w:firstLine="420"/>
        <w:sectPr>
          <w:pgSz w:w="11906" w:h="16838"/>
          <w:pgMar w:top="1928" w:right="1134" w:bottom="1134" w:left="1134" w:header="1418" w:footer="1134" w:gutter="284"/>
          <w:pgNumType w:start="1"/>
          <w:cols w:space="425" w:num="1"/>
          <w:formProt w:val="0"/>
          <w:docGrid w:type="lines" w:linePitch="312" w:charSpace="0"/>
        </w:sectPr>
      </w:pPr>
    </w:p>
    <w:bookmarkEnd w:id="24"/>
    <w:p w14:paraId="0C0F98A0">
      <w:pPr>
        <w:pStyle w:val="199"/>
        <w:rPr>
          <w:rFonts w:hint="eastAsia"/>
          <w:vanish w:val="0"/>
        </w:rPr>
      </w:pPr>
      <w:bookmarkStart w:id="259" w:name="BookMark5"/>
    </w:p>
    <w:p w14:paraId="22E35CA1">
      <w:pPr>
        <w:pStyle w:val="200"/>
        <w:rPr>
          <w:rFonts w:hint="eastAsia"/>
          <w:vanish w:val="0"/>
        </w:rPr>
      </w:pPr>
    </w:p>
    <w:p w14:paraId="02976058">
      <w:pPr>
        <w:pStyle w:val="77"/>
        <w:spacing w:after="156"/>
        <w:rPr>
          <w:rFonts w:hint="eastAsia"/>
        </w:rPr>
      </w:pPr>
      <w:r>
        <w:br w:type="textWrapping"/>
      </w:r>
      <w:r>
        <w:rPr>
          <w:rFonts w:hint="eastAsia"/>
        </w:rPr>
        <w:t>（资料性）</w:t>
      </w:r>
      <w:r>
        <w:br w:type="textWrapping"/>
      </w:r>
      <w:r>
        <w:rPr>
          <w:rFonts w:hint="eastAsia"/>
        </w:rPr>
        <w:t>四川高原山区高速公路建设分区图</w:t>
      </w:r>
    </w:p>
    <w:p w14:paraId="7ECAC66F">
      <w:pPr>
        <w:pStyle w:val="212"/>
      </w:pPr>
      <w:r>
        <w:rPr>
          <w:rFonts w:hint="eastAsia"/>
        </w:rPr>
        <w:t>四川高原山区高速公路建设分区图详见图A.1。</w:t>
      </w:r>
    </w:p>
    <w:p w14:paraId="751778B8">
      <w:pPr>
        <w:pStyle w:val="57"/>
        <w:ind w:firstLine="420"/>
        <w:rPr>
          <w:rFonts w:hint="eastAsia"/>
        </w:rPr>
      </w:pPr>
    </w:p>
    <w:p w14:paraId="0D23E16A">
      <w:pPr>
        <w:pStyle w:val="57"/>
        <w:ind w:firstLine="420"/>
      </w:pPr>
      <w:r>
        <w:drawing>
          <wp:inline distT="0" distB="0" distL="0" distR="0">
            <wp:extent cx="5267325" cy="5876925"/>
            <wp:effectExtent l="0" t="0" r="9525" b="9525"/>
            <wp:docPr id="18639473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47352" name="图片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67325" cy="5876925"/>
                    </a:xfrm>
                    <a:prstGeom prst="rect">
                      <a:avLst/>
                    </a:prstGeom>
                    <a:noFill/>
                    <a:ln>
                      <a:noFill/>
                    </a:ln>
                  </pic:spPr>
                </pic:pic>
              </a:graphicData>
            </a:graphic>
          </wp:inline>
        </w:drawing>
      </w:r>
    </w:p>
    <w:p w14:paraId="3DA70BFC">
      <w:pPr>
        <w:pStyle w:val="199"/>
        <w:rPr>
          <w:kern w:val="2"/>
          <w:sz w:val="22"/>
          <w:szCs w:val="22"/>
        </w:rPr>
      </w:pPr>
      <w:r>
        <w:rPr>
          <w:rFonts w:hint="eastAsia"/>
        </w:rPr>
        <w:t>四川高原山区高速公路建设分区图</w:t>
      </w:r>
    </w:p>
    <w:p w14:paraId="30BE30EB">
      <w:pPr>
        <w:pStyle w:val="199"/>
        <w:rPr>
          <w:kern w:val="2"/>
          <w:sz w:val="22"/>
          <w:szCs w:val="22"/>
        </w:rPr>
      </w:pPr>
      <w:r>
        <w:rPr>
          <w:rFonts w:hint="eastAsia"/>
        </w:rPr>
        <w:t>四川高原山区高速公路建设分区图</w:t>
      </w:r>
    </w:p>
    <w:p w14:paraId="13A657F1">
      <w:pPr>
        <w:pStyle w:val="199"/>
        <w:rPr>
          <w:kern w:val="2"/>
          <w:sz w:val="22"/>
          <w:szCs w:val="22"/>
        </w:rPr>
      </w:pPr>
      <w:r>
        <w:rPr>
          <w:rFonts w:hint="eastAsia"/>
        </w:rPr>
        <w:t>四川高原山区高速公路建设分区图</w:t>
      </w:r>
    </w:p>
    <w:p w14:paraId="08E61F4E">
      <w:pPr>
        <w:pStyle w:val="199"/>
        <w:rPr>
          <w:kern w:val="2"/>
          <w:sz w:val="22"/>
          <w:szCs w:val="22"/>
        </w:rPr>
      </w:pPr>
      <w:r>
        <w:rPr>
          <w:rFonts w:hint="eastAsia"/>
        </w:rPr>
        <w:t>四川高原山区高速公路建设分区图</w:t>
      </w:r>
    </w:p>
    <w:p w14:paraId="409A3A7B">
      <w:pPr>
        <w:pStyle w:val="78"/>
        <w:spacing w:before="156" w:after="156"/>
        <w:rPr>
          <w:rFonts w:hint="eastAsia"/>
        </w:rPr>
      </w:pPr>
      <w:r>
        <w:rPr>
          <w:rFonts w:hint="eastAsia"/>
        </w:rPr>
        <w:t>四川高原山区高速公路建设分区图</w:t>
      </w:r>
    </w:p>
    <w:p w14:paraId="0BEA18BD">
      <w:pPr>
        <w:pStyle w:val="200"/>
        <w:rPr>
          <w:kern w:val="2"/>
          <w:sz w:val="22"/>
          <w:szCs w:val="22"/>
        </w:rPr>
      </w:pPr>
      <w:r>
        <w:rPr>
          <w:rFonts w:hint="eastAsia"/>
        </w:rPr>
        <w:t>四川高原山区高速公路建设分区图</w:t>
      </w:r>
    </w:p>
    <w:p w14:paraId="6C8DE7A2">
      <w:pPr>
        <w:pStyle w:val="200"/>
        <w:rPr>
          <w:kern w:val="2"/>
          <w:sz w:val="22"/>
          <w:szCs w:val="22"/>
        </w:rPr>
      </w:pPr>
      <w:r>
        <w:rPr>
          <w:rFonts w:hint="eastAsia"/>
        </w:rPr>
        <w:t>四川高原山区高速公路建设分区图</w:t>
      </w:r>
    </w:p>
    <w:p w14:paraId="7C2381CA">
      <w:pPr>
        <w:pStyle w:val="200"/>
        <w:rPr>
          <w:rStyle w:val="249"/>
          <w:rFonts w:hint="default"/>
          <w:kern w:val="2"/>
          <w:sz w:val="18"/>
          <w:szCs w:val="18"/>
        </w:rPr>
      </w:pPr>
      <w:r>
        <w:rPr>
          <w:rFonts w:hint="eastAsia"/>
        </w:rPr>
        <w:t>四川高原山区高速公路建设分区图</w:t>
      </w:r>
    </w:p>
    <w:p w14:paraId="512FE49C">
      <w:pPr>
        <w:pStyle w:val="57"/>
        <w:ind w:firstLine="420"/>
        <w:rPr>
          <w:rFonts w:hint="eastAsia"/>
        </w:rPr>
      </w:pPr>
    </w:p>
    <w:p w14:paraId="3C2FBAAD">
      <w:pPr>
        <w:pStyle w:val="57"/>
        <w:ind w:firstLine="420"/>
        <w:sectPr>
          <w:pgSz w:w="11906" w:h="16838"/>
          <w:pgMar w:top="1928" w:right="1134" w:bottom="1134" w:left="1134" w:header="1418" w:footer="1134" w:gutter="284"/>
          <w:cols w:space="425" w:num="1"/>
          <w:formProt w:val="0"/>
          <w:docGrid w:type="lines" w:linePitch="312" w:charSpace="0"/>
        </w:sectPr>
      </w:pPr>
    </w:p>
    <w:p w14:paraId="268EF2F4">
      <w:pPr>
        <w:pStyle w:val="199"/>
        <w:rPr>
          <w:rFonts w:hint="eastAsia"/>
          <w:vanish w:val="0"/>
        </w:rPr>
      </w:pPr>
    </w:p>
    <w:p w14:paraId="443D8AC5">
      <w:pPr>
        <w:pStyle w:val="200"/>
        <w:rPr>
          <w:rFonts w:hint="eastAsia"/>
          <w:vanish w:val="0"/>
        </w:rPr>
      </w:pPr>
    </w:p>
    <w:p w14:paraId="5EF56129">
      <w:pPr>
        <w:pStyle w:val="77"/>
        <w:spacing w:after="156"/>
        <w:rPr>
          <w:rFonts w:hint="eastAsia"/>
        </w:rPr>
      </w:pPr>
      <w:r>
        <w:br w:type="textWrapping"/>
      </w:r>
      <w:r>
        <w:rPr>
          <w:rFonts w:hint="eastAsia"/>
        </w:rPr>
        <w:t>（资料性）</w:t>
      </w:r>
      <w:r>
        <w:br w:type="textWrapping"/>
      </w:r>
      <w:r>
        <w:rPr>
          <w:rFonts w:hint="eastAsia"/>
        </w:rPr>
        <w:t>高原山区小交通量高速公路参考断面组成</w:t>
      </w:r>
    </w:p>
    <w:p w14:paraId="630CB6C7">
      <w:pPr>
        <w:pStyle w:val="212"/>
      </w:pPr>
      <w:r>
        <w:rPr>
          <w:rFonts w:hint="eastAsia"/>
        </w:rPr>
        <w:t>当为干线高速或支线高速，交通量介于25000～30000 pcu/d，设计速度采用100km/h时,采用21.5m最小断面路幅宽度布设方案，如下图B.1所示。</w:t>
      </w:r>
    </w:p>
    <w:p w14:paraId="79CCD12C">
      <w:pPr>
        <w:pStyle w:val="57"/>
        <w:ind w:firstLine="420"/>
        <w:rPr>
          <w:rFonts w:hint="eastAsia"/>
        </w:rPr>
      </w:pPr>
      <w:r>
        <w:drawing>
          <wp:inline distT="0" distB="0" distL="0" distR="0">
            <wp:extent cx="5547360" cy="1548765"/>
            <wp:effectExtent l="0" t="0" r="0" b="0"/>
            <wp:docPr id="161212616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126163" name="图片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561273" cy="1552923"/>
                    </a:xfrm>
                    <a:prstGeom prst="rect">
                      <a:avLst/>
                    </a:prstGeom>
                    <a:noFill/>
                    <a:ln>
                      <a:noFill/>
                    </a:ln>
                  </pic:spPr>
                </pic:pic>
              </a:graphicData>
            </a:graphic>
          </wp:inline>
        </w:drawing>
      </w:r>
      <w:r>
        <w:t xml:space="preserve"> </w:t>
      </w:r>
    </w:p>
    <w:p w14:paraId="41817FDE">
      <w:pPr>
        <w:pStyle w:val="84"/>
        <w:numPr>
          <w:ilvl w:val="0"/>
          <w:numId w:val="0"/>
        </w:numPr>
        <w:spacing w:before="156" w:after="156"/>
      </w:pPr>
      <w:r>
        <w:rPr>
          <w:rFonts w:hint="eastAsia"/>
        </w:rPr>
        <w:t>图B.1 高原山区小交通量高速公路断面布设方案一（四车道21.5m）</w:t>
      </w:r>
    </w:p>
    <w:p w14:paraId="20133D4B">
      <w:pPr>
        <w:pStyle w:val="212"/>
        <w:rPr>
          <w:rFonts w:hint="eastAsia"/>
        </w:rPr>
      </w:pPr>
      <w:r>
        <w:rPr>
          <w:rFonts w:hint="eastAsia"/>
        </w:rPr>
        <w:t>当为支线高速，交通量小于等于25000 pcu/d，设计速度采用100km/h时,采用21m最小断面路幅宽度布设方案，如下图B.2所示。</w:t>
      </w:r>
    </w:p>
    <w:p w14:paraId="1D233154">
      <w:pPr>
        <w:pStyle w:val="57"/>
        <w:ind w:firstLine="420"/>
        <w:rPr>
          <w:rFonts w:hint="eastAsia"/>
        </w:rPr>
      </w:pPr>
      <w:r>
        <w:drawing>
          <wp:inline distT="0" distB="0" distL="0" distR="0">
            <wp:extent cx="5363210" cy="1513840"/>
            <wp:effectExtent l="0" t="0" r="8890" b="0"/>
            <wp:docPr id="16232091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09133" name="图片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386293" cy="1520325"/>
                    </a:xfrm>
                    <a:prstGeom prst="rect">
                      <a:avLst/>
                    </a:prstGeom>
                    <a:noFill/>
                    <a:ln>
                      <a:noFill/>
                    </a:ln>
                  </pic:spPr>
                </pic:pic>
              </a:graphicData>
            </a:graphic>
          </wp:inline>
        </w:drawing>
      </w:r>
      <w:r>
        <w:t xml:space="preserve"> </w:t>
      </w:r>
    </w:p>
    <w:p w14:paraId="6A281724">
      <w:pPr>
        <w:pStyle w:val="84"/>
        <w:numPr>
          <w:ilvl w:val="0"/>
          <w:numId w:val="0"/>
        </w:numPr>
        <w:spacing w:before="156" w:after="156"/>
      </w:pPr>
      <w:r>
        <w:rPr>
          <w:rFonts w:hint="eastAsia"/>
        </w:rPr>
        <w:t>图 B.2 高原山区小交通量高速公路断面布设方案二（四车道21m）</w:t>
      </w:r>
    </w:p>
    <w:p w14:paraId="1F0C9FB0">
      <w:pPr>
        <w:pStyle w:val="212"/>
        <w:rPr>
          <w:rFonts w:hint="eastAsia"/>
        </w:rPr>
      </w:pPr>
      <w:r>
        <w:rPr>
          <w:rFonts w:hint="eastAsia"/>
        </w:rPr>
        <w:t>当为干线高速或支线高速，设计速度采用80km/h时,采用19.5m最小断面路幅宽度布设方案如，下图B.3所示，</w:t>
      </w:r>
      <w:r>
        <w:rPr>
          <w:rFonts w:hint="eastAsia"/>
          <w:kern w:val="0"/>
        </w:rPr>
        <w:t>中间带宽度系按护栏宽50cm计算，各项目护栏型式的宽度有变化时，路幅宽度值应据实调整。</w:t>
      </w:r>
    </w:p>
    <w:p w14:paraId="4256F416">
      <w:pPr>
        <w:pStyle w:val="57"/>
        <w:ind w:firstLine="420"/>
        <w:rPr>
          <w:rFonts w:hint="eastAsia"/>
        </w:rPr>
      </w:pPr>
      <w:r>
        <w:drawing>
          <wp:inline distT="0" distB="0" distL="0" distR="0">
            <wp:extent cx="5097145" cy="1541145"/>
            <wp:effectExtent l="0" t="0" r="8255" b="1905"/>
            <wp:docPr id="20130281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28184" name="图片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15683" cy="1547010"/>
                    </a:xfrm>
                    <a:prstGeom prst="rect">
                      <a:avLst/>
                    </a:prstGeom>
                    <a:noFill/>
                    <a:ln>
                      <a:noFill/>
                    </a:ln>
                  </pic:spPr>
                </pic:pic>
              </a:graphicData>
            </a:graphic>
          </wp:inline>
        </w:drawing>
      </w:r>
      <w:r>
        <w:t xml:space="preserve"> </w:t>
      </w:r>
    </w:p>
    <w:p w14:paraId="1CDEBEF8">
      <w:pPr>
        <w:pStyle w:val="84"/>
        <w:numPr>
          <w:ilvl w:val="0"/>
          <w:numId w:val="0"/>
        </w:numPr>
        <w:spacing w:before="156" w:after="156"/>
      </w:pPr>
      <w:r>
        <w:rPr>
          <w:rFonts w:hint="eastAsia"/>
        </w:rPr>
        <w:t>图 B.3 高原山区小交通量高速公路断面布设方案三（四车道19.5m）</w:t>
      </w:r>
    </w:p>
    <w:p w14:paraId="6C0ADED2">
      <w:pPr>
        <w:pStyle w:val="57"/>
        <w:ind w:firstLine="0" w:firstLineChars="0"/>
        <w:rPr>
          <w:rFonts w:hint="eastAsia"/>
        </w:rPr>
        <w:sectPr>
          <w:pgSz w:w="11906" w:h="16838"/>
          <w:pgMar w:top="1928" w:right="1134" w:bottom="1134" w:left="1134" w:header="1418" w:footer="1134" w:gutter="284"/>
          <w:cols w:space="425" w:num="1"/>
          <w:formProt w:val="0"/>
          <w:docGrid w:type="lines" w:linePitch="312" w:charSpace="0"/>
        </w:sectPr>
      </w:pPr>
    </w:p>
    <w:p w14:paraId="2AE4CDD4">
      <w:pPr>
        <w:pStyle w:val="199"/>
        <w:rPr>
          <w:rFonts w:hint="eastAsia"/>
          <w:vanish w:val="0"/>
        </w:rPr>
      </w:pPr>
    </w:p>
    <w:p w14:paraId="18D03F5C">
      <w:pPr>
        <w:pStyle w:val="200"/>
        <w:rPr>
          <w:rFonts w:hint="eastAsia"/>
          <w:vanish w:val="0"/>
        </w:rPr>
      </w:pPr>
    </w:p>
    <w:p w14:paraId="1BBD823E">
      <w:pPr>
        <w:pStyle w:val="77"/>
        <w:spacing w:after="156"/>
        <w:rPr>
          <w:rFonts w:hint="eastAsia"/>
        </w:rPr>
      </w:pPr>
      <w:r>
        <w:br w:type="textWrapping"/>
      </w:r>
      <w:r>
        <w:rPr>
          <w:rFonts w:hint="eastAsia"/>
        </w:rPr>
        <w:t>（资料性）</w:t>
      </w:r>
      <w:r>
        <w:br w:type="textWrapping"/>
      </w:r>
      <w:r>
        <w:rPr>
          <w:rFonts w:hint="eastAsia"/>
        </w:rPr>
        <w:t>高原山区小交通量高速公路隧道参考断面组成</w:t>
      </w:r>
    </w:p>
    <w:p w14:paraId="4509AC52">
      <w:pPr>
        <w:pStyle w:val="212"/>
        <w:rPr>
          <w:rStyle w:val="249"/>
          <w:rFonts w:hint="default"/>
        </w:rPr>
      </w:pPr>
      <w:r>
        <w:rPr>
          <w:rFonts w:hint="eastAsia"/>
        </w:rPr>
        <w:t>当干线高速或支线高速，交通量介于25000～30000pcu/d、设计速度采用100km/h时,对应21.5m最小断面路幅宽度布设，单洞隧道建筑限界宽度不小于10.75m，如图C.1所示。</w:t>
      </w:r>
    </w:p>
    <w:p w14:paraId="1F24AF5E">
      <w:pPr>
        <w:pStyle w:val="57"/>
        <w:ind w:firstLine="420"/>
        <w:rPr>
          <w:sz w:val="22"/>
          <w:szCs w:val="22"/>
        </w:rPr>
      </w:pPr>
      <w:r>
        <w:drawing>
          <wp:inline distT="0" distB="0" distL="0" distR="0">
            <wp:extent cx="4639945" cy="2734945"/>
            <wp:effectExtent l="0" t="0" r="8255" b="8255"/>
            <wp:docPr id="21111208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20825" name="图片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643927" cy="2737404"/>
                    </a:xfrm>
                    <a:prstGeom prst="rect">
                      <a:avLst/>
                    </a:prstGeom>
                    <a:noFill/>
                    <a:ln>
                      <a:noFill/>
                    </a:ln>
                  </pic:spPr>
                </pic:pic>
              </a:graphicData>
            </a:graphic>
          </wp:inline>
        </w:drawing>
      </w:r>
    </w:p>
    <w:p w14:paraId="5D685A00">
      <w:pPr>
        <w:pStyle w:val="84"/>
        <w:numPr>
          <w:ilvl w:val="0"/>
          <w:numId w:val="0"/>
        </w:numPr>
        <w:spacing w:before="156" w:after="156"/>
        <w:rPr>
          <w:rFonts w:hint="eastAsia" w:hAnsi="宋体"/>
        </w:rPr>
      </w:pPr>
      <w:r>
        <w:rPr>
          <w:rFonts w:hint="eastAsia"/>
        </w:rPr>
        <w:t>图 C.1 隧道建筑限界图布设方案一（两车道10.75m）</w:t>
      </w:r>
    </w:p>
    <w:p w14:paraId="07519C54">
      <w:pPr>
        <w:pStyle w:val="212"/>
        <w:rPr>
          <w:rFonts w:hint="eastAsia"/>
        </w:rPr>
      </w:pPr>
      <w:r>
        <w:rPr>
          <w:rFonts w:hint="eastAsia"/>
        </w:rPr>
        <w:t>当支线高速，交通量小于等于25000pcu/d、设计速度采用100km/h时,对应21m最小断面路幅宽度布设，单洞隧道建筑限界宽度不小于10.5m，如图C.2所示。</w:t>
      </w:r>
    </w:p>
    <w:p w14:paraId="60E6EC53">
      <w:pPr>
        <w:pStyle w:val="57"/>
        <w:ind w:firstLine="420"/>
        <w:rPr>
          <w:rFonts w:hint="eastAsia" w:hAnsi="宋体"/>
          <w:kern w:val="2"/>
          <w:sz w:val="24"/>
          <w:szCs w:val="24"/>
        </w:rPr>
      </w:pPr>
      <w:r>
        <w:drawing>
          <wp:inline distT="0" distB="0" distL="0" distR="0">
            <wp:extent cx="4954270" cy="3002280"/>
            <wp:effectExtent l="0" t="0" r="0" b="7620"/>
            <wp:docPr id="51809292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092920" name="图片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954270" cy="3002280"/>
                    </a:xfrm>
                    <a:prstGeom prst="rect">
                      <a:avLst/>
                    </a:prstGeom>
                    <a:noFill/>
                    <a:ln>
                      <a:noFill/>
                    </a:ln>
                  </pic:spPr>
                </pic:pic>
              </a:graphicData>
            </a:graphic>
          </wp:inline>
        </w:drawing>
      </w:r>
    </w:p>
    <w:p w14:paraId="160513A2">
      <w:pPr>
        <w:pStyle w:val="84"/>
        <w:numPr>
          <w:ilvl w:val="0"/>
          <w:numId w:val="0"/>
        </w:numPr>
        <w:spacing w:before="156" w:after="156"/>
        <w:rPr>
          <w:rFonts w:hint="eastAsia"/>
        </w:rPr>
      </w:pPr>
      <w:r>
        <w:rPr>
          <w:rFonts w:hint="eastAsia"/>
        </w:rPr>
        <w:t xml:space="preserve">图 C.2 隧道建筑限界图布设方案二（两车道10.5m） </w:t>
      </w:r>
    </w:p>
    <w:p w14:paraId="5BCEDB68">
      <w:pPr>
        <w:pStyle w:val="57"/>
        <w:ind w:firstLine="420"/>
        <w:rPr>
          <w:rFonts w:hint="eastAsia"/>
        </w:rPr>
      </w:pPr>
      <w:r>
        <w:rPr>
          <w:rFonts w:hint="eastAsia"/>
        </w:rPr>
        <w:t xml:space="preserve"> </w:t>
      </w:r>
    </w:p>
    <w:p w14:paraId="29C40F68">
      <w:pPr>
        <w:pStyle w:val="212"/>
        <w:rPr>
          <w:rFonts w:hint="eastAsia"/>
        </w:rPr>
      </w:pPr>
      <w:r>
        <w:rPr>
          <w:rFonts w:hint="eastAsia"/>
        </w:rPr>
        <w:t>当为干线高速或支线高速，设计速度采用80km/h时,对应19.5m最小断面路幅宽度布设，单洞隧道建筑限界宽度不小于9.75m，如图C.3所示。</w:t>
      </w:r>
    </w:p>
    <w:p w14:paraId="618FCE76">
      <w:pPr>
        <w:pStyle w:val="57"/>
        <w:ind w:firstLine="420"/>
        <w:rPr>
          <w:rStyle w:val="249"/>
          <w:color w:val="auto"/>
        </w:rPr>
      </w:pPr>
      <w:r>
        <w:drawing>
          <wp:inline distT="0" distB="0" distL="0" distR="0">
            <wp:extent cx="4756150" cy="3173095"/>
            <wp:effectExtent l="0" t="0" r="6350" b="8255"/>
            <wp:docPr id="147806730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67301" name="图片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756150" cy="3173095"/>
                    </a:xfrm>
                    <a:prstGeom prst="rect">
                      <a:avLst/>
                    </a:prstGeom>
                    <a:noFill/>
                    <a:ln>
                      <a:noFill/>
                    </a:ln>
                  </pic:spPr>
                </pic:pic>
              </a:graphicData>
            </a:graphic>
          </wp:inline>
        </w:drawing>
      </w:r>
      <w:r>
        <w:rPr>
          <w:rStyle w:val="249"/>
          <w:rFonts w:hint="default"/>
        </w:rPr>
        <w:t xml:space="preserve"> </w:t>
      </w:r>
    </w:p>
    <w:p w14:paraId="5C7EE389">
      <w:pPr>
        <w:pStyle w:val="84"/>
        <w:numPr>
          <w:ilvl w:val="0"/>
          <w:numId w:val="0"/>
        </w:numPr>
        <w:spacing w:before="156" w:after="156"/>
      </w:pPr>
      <w:r>
        <w:rPr>
          <w:rFonts w:hint="eastAsia"/>
        </w:rPr>
        <w:t>图 C.3 隧道建筑限界图布设方案三（两车道9.75m）</w:t>
      </w:r>
    </w:p>
    <w:p w14:paraId="5DBDB4ED">
      <w:pPr>
        <w:pStyle w:val="57"/>
        <w:ind w:firstLine="420"/>
        <w:rPr>
          <w:rFonts w:hint="eastAsia"/>
        </w:rPr>
      </w:pPr>
    </w:p>
    <w:p w14:paraId="468EE74B">
      <w:pPr>
        <w:pStyle w:val="57"/>
        <w:ind w:firstLine="420"/>
        <w:rPr>
          <w:rFonts w:hint="eastAsia"/>
        </w:rPr>
      </w:pPr>
    </w:p>
    <w:p w14:paraId="26E51595">
      <w:pPr>
        <w:pStyle w:val="57"/>
        <w:ind w:firstLine="420"/>
        <w:rPr>
          <w:rFonts w:hint="eastAsia"/>
        </w:rPr>
      </w:pPr>
    </w:p>
    <w:p w14:paraId="57242C94">
      <w:pPr>
        <w:pStyle w:val="57"/>
        <w:ind w:firstLine="420"/>
        <w:rPr>
          <w:rFonts w:hint="eastAsia"/>
        </w:rPr>
      </w:pPr>
    </w:p>
    <w:p w14:paraId="4EB86CB5">
      <w:pPr>
        <w:pStyle w:val="57"/>
        <w:ind w:firstLine="420"/>
        <w:sectPr>
          <w:pgSz w:w="11906" w:h="16838"/>
          <w:pgMar w:top="1928" w:right="1134" w:bottom="1134" w:left="1134" w:header="1418" w:footer="1134" w:gutter="284"/>
          <w:cols w:space="425" w:num="1"/>
          <w:formProt w:val="0"/>
          <w:docGrid w:type="lines" w:linePitch="312" w:charSpace="0"/>
        </w:sectPr>
      </w:pPr>
    </w:p>
    <w:p w14:paraId="46F7B9BE">
      <w:pPr>
        <w:pStyle w:val="199"/>
        <w:rPr>
          <w:rFonts w:hint="eastAsia"/>
          <w:vanish w:val="0"/>
        </w:rPr>
      </w:pPr>
    </w:p>
    <w:p w14:paraId="6065B6D4">
      <w:pPr>
        <w:pStyle w:val="200"/>
        <w:rPr>
          <w:rFonts w:hint="eastAsia"/>
          <w:vanish w:val="0"/>
        </w:rPr>
      </w:pPr>
    </w:p>
    <w:p w14:paraId="1825F011">
      <w:pPr>
        <w:pStyle w:val="77"/>
        <w:spacing w:after="156"/>
        <w:rPr>
          <w:rFonts w:hint="eastAsia"/>
        </w:rPr>
      </w:pPr>
      <w:r>
        <w:br w:type="textWrapping"/>
      </w:r>
      <w:r>
        <w:rPr>
          <w:rFonts w:hint="eastAsia"/>
        </w:rPr>
        <w:t>（资料性）</w:t>
      </w:r>
      <w:r>
        <w:br w:type="textWrapping"/>
      </w:r>
      <w:r>
        <w:rPr>
          <w:rFonts w:hint="eastAsia"/>
        </w:rPr>
        <w:t>高原山区小交通量高速公路动物通道示意图</w:t>
      </w:r>
    </w:p>
    <w:p w14:paraId="4C45F78A">
      <w:pPr>
        <w:pStyle w:val="57"/>
        <w:ind w:firstLine="420"/>
        <w:rPr>
          <w:rFonts w:hint="eastAsia"/>
        </w:rPr>
      </w:pPr>
      <w:r>
        <w:rPr>
          <w:rFonts w:hint="eastAsia"/>
        </w:rPr>
        <w:t>高原山区小交通量高速公路动物通道示意图，如下图D.1、D.2所示。</w:t>
      </w:r>
    </w:p>
    <w:p w14:paraId="275BE20D">
      <w:pPr>
        <w:pStyle w:val="57"/>
        <w:ind w:firstLine="420"/>
      </w:pPr>
      <w:r>
        <w:drawing>
          <wp:inline distT="0" distB="0" distL="0" distR="0">
            <wp:extent cx="4940300" cy="2656840"/>
            <wp:effectExtent l="0" t="0" r="0" b="0"/>
            <wp:docPr id="35634088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40883" name="图片 4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50185" cy="2662418"/>
                    </a:xfrm>
                    <a:prstGeom prst="rect">
                      <a:avLst/>
                    </a:prstGeom>
                    <a:noFill/>
                    <a:ln>
                      <a:noFill/>
                    </a:ln>
                  </pic:spPr>
                </pic:pic>
              </a:graphicData>
            </a:graphic>
          </wp:inline>
        </w:drawing>
      </w:r>
    </w:p>
    <w:p w14:paraId="32BB7689">
      <w:pPr>
        <w:pStyle w:val="84"/>
        <w:numPr>
          <w:ilvl w:val="0"/>
          <w:numId w:val="0"/>
        </w:numPr>
        <w:spacing w:before="156" w:after="156"/>
      </w:pPr>
      <w:r>
        <w:rPr>
          <w:rFonts w:hint="eastAsia"/>
        </w:rPr>
        <w:t>图 D.1 动物通道下穿式示意图</w:t>
      </w:r>
    </w:p>
    <w:p w14:paraId="248A55CB">
      <w:pPr>
        <w:pStyle w:val="84"/>
        <w:numPr>
          <w:ilvl w:val="0"/>
          <w:numId w:val="0"/>
        </w:numPr>
        <w:spacing w:before="156" w:after="156"/>
        <w:jc w:val="both"/>
        <w:rPr>
          <w:rFonts w:hint="eastAsia"/>
        </w:rPr>
      </w:pPr>
    </w:p>
    <w:p w14:paraId="4D49AB49">
      <w:pPr>
        <w:pStyle w:val="57"/>
        <w:ind w:firstLine="420"/>
      </w:pPr>
      <w:r>
        <w:drawing>
          <wp:inline distT="0" distB="0" distL="0" distR="0">
            <wp:extent cx="4994910" cy="2913380"/>
            <wp:effectExtent l="0" t="0" r="0" b="1270"/>
            <wp:docPr id="35166026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660268" name="图片 4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002039" cy="2917856"/>
                    </a:xfrm>
                    <a:prstGeom prst="rect">
                      <a:avLst/>
                    </a:prstGeom>
                    <a:noFill/>
                    <a:ln>
                      <a:noFill/>
                    </a:ln>
                  </pic:spPr>
                </pic:pic>
              </a:graphicData>
            </a:graphic>
          </wp:inline>
        </w:drawing>
      </w:r>
    </w:p>
    <w:p w14:paraId="49D96B91">
      <w:pPr>
        <w:pStyle w:val="84"/>
        <w:numPr>
          <w:ilvl w:val="0"/>
          <w:numId w:val="0"/>
        </w:numPr>
        <w:spacing w:before="156" w:after="156"/>
      </w:pPr>
      <w:r>
        <w:rPr>
          <w:rFonts w:hint="eastAsia"/>
        </w:rPr>
        <w:t>图 D.2 动物通道上跨式示意图</w:t>
      </w:r>
    </w:p>
    <w:p w14:paraId="35ED3EDE">
      <w:pPr>
        <w:pStyle w:val="57"/>
        <w:ind w:firstLine="420"/>
        <w:rPr>
          <w:rFonts w:hint="eastAsia"/>
        </w:rPr>
      </w:pPr>
    </w:p>
    <w:bookmarkEnd w:id="259"/>
    <w:p w14:paraId="6F3AFACA">
      <w:pPr>
        <w:pStyle w:val="57"/>
        <w:ind w:firstLine="0" w:firstLineChars="0"/>
        <w:rPr>
          <w:rFonts w:hint="eastAsia"/>
        </w:rPr>
        <w:sectPr>
          <w:pgSz w:w="11906" w:h="16838"/>
          <w:pgMar w:top="1928" w:right="1134" w:bottom="1134" w:left="1134" w:header="1418" w:footer="1134" w:gutter="284"/>
          <w:cols w:space="425" w:num="1"/>
          <w:formProt w:val="0"/>
          <w:docGrid w:type="lines" w:linePitch="312" w:charSpace="0"/>
        </w:sectPr>
      </w:pPr>
      <w:bookmarkStart w:id="260" w:name="BookMark6"/>
    </w:p>
    <w:p w14:paraId="579C2152">
      <w:pPr>
        <w:pStyle w:val="64"/>
        <w:spacing w:after="156"/>
        <w:rPr>
          <w:rFonts w:hint="eastAsia"/>
        </w:rPr>
      </w:pPr>
      <w:r>
        <w:rPr>
          <w:rFonts w:hint="eastAsia"/>
          <w:spacing w:val="105"/>
        </w:rPr>
        <w:t>参考文</w:t>
      </w:r>
      <w:r>
        <w:rPr>
          <w:rFonts w:hint="eastAsia"/>
        </w:rPr>
        <w:t>献</w:t>
      </w:r>
    </w:p>
    <w:p w14:paraId="18697F16">
      <w:pPr>
        <w:pStyle w:val="57"/>
        <w:ind w:firstLine="420"/>
      </w:pPr>
      <w:r>
        <w:rPr>
          <w:rFonts w:hint="eastAsia"/>
        </w:rPr>
        <w:t>[1]  JTG B01 《公路工程技术标准》</w:t>
      </w:r>
    </w:p>
    <w:p w14:paraId="223D27F1">
      <w:pPr>
        <w:pStyle w:val="57"/>
        <w:ind w:firstLine="420"/>
        <w:rPr>
          <w:rFonts w:hint="eastAsia"/>
        </w:rPr>
      </w:pPr>
      <w:r>
        <w:rPr>
          <w:rFonts w:hint="eastAsia"/>
        </w:rPr>
        <w:t xml:space="preserve">[2]  JTG D20 《公路路线设计规范》 </w:t>
      </w:r>
    </w:p>
    <w:p w14:paraId="1F31FDD4">
      <w:pPr>
        <w:pStyle w:val="57"/>
        <w:ind w:firstLine="420"/>
        <w:rPr>
          <w:rFonts w:hint="eastAsia"/>
        </w:rPr>
      </w:pPr>
      <w:r>
        <w:rPr>
          <w:rFonts w:hint="eastAsia"/>
        </w:rPr>
        <w:t>[3]  JTG D30 《公路路基设计规范》</w:t>
      </w:r>
    </w:p>
    <w:p w14:paraId="5BE3671C">
      <w:pPr>
        <w:pStyle w:val="57"/>
        <w:ind w:firstLine="420"/>
        <w:rPr>
          <w:rFonts w:hint="eastAsia"/>
        </w:rPr>
      </w:pPr>
      <w:r>
        <w:rPr>
          <w:rFonts w:hint="eastAsia"/>
        </w:rPr>
        <w:t>[4]  JTG D60 《公路桥涵设计通用规范》</w:t>
      </w:r>
    </w:p>
    <w:p w14:paraId="3DF786BF">
      <w:pPr>
        <w:pStyle w:val="57"/>
        <w:ind w:firstLine="420"/>
        <w:rPr>
          <w:rFonts w:hint="eastAsia"/>
        </w:rPr>
      </w:pPr>
      <w:r>
        <w:rPr>
          <w:rFonts w:hint="eastAsia"/>
        </w:rPr>
        <w:t>[5]  JTG 3370.1 《公路隧道设计规范 第一册 土建工程》</w:t>
      </w:r>
    </w:p>
    <w:p w14:paraId="5BF9249A">
      <w:pPr>
        <w:pStyle w:val="57"/>
        <w:ind w:firstLine="420"/>
        <w:rPr>
          <w:rFonts w:hint="eastAsia"/>
        </w:rPr>
      </w:pPr>
      <w:r>
        <w:rPr>
          <w:rFonts w:hint="eastAsia"/>
        </w:rPr>
        <w:t xml:space="preserve">[6]  JTG D70/2 《公路隧道设计规范 第二册 交通工程与附属设施》 </w:t>
      </w:r>
    </w:p>
    <w:p w14:paraId="7FFE1244">
      <w:pPr>
        <w:pStyle w:val="57"/>
        <w:ind w:firstLine="420"/>
        <w:rPr>
          <w:rFonts w:hint="eastAsia"/>
        </w:rPr>
      </w:pPr>
      <w:r>
        <w:rPr>
          <w:rFonts w:hint="eastAsia"/>
        </w:rPr>
        <w:t xml:space="preserve">[7]  JTG D81 《公路交通安全设施设计规范》 </w:t>
      </w:r>
    </w:p>
    <w:p w14:paraId="510FB13D">
      <w:pPr>
        <w:pStyle w:val="57"/>
        <w:ind w:firstLine="420"/>
        <w:rPr>
          <w:rFonts w:hint="eastAsia"/>
        </w:rPr>
      </w:pPr>
      <w:r>
        <w:rPr>
          <w:rFonts w:hint="eastAsia"/>
        </w:rPr>
        <w:t>[8]  JTG/T 3381 《公路限速标志设计规范》</w:t>
      </w:r>
    </w:p>
    <w:p w14:paraId="620F58C9">
      <w:pPr>
        <w:pStyle w:val="57"/>
        <w:ind w:firstLine="420"/>
        <w:rPr>
          <w:rFonts w:hint="eastAsia"/>
        </w:rPr>
      </w:pPr>
      <w:r>
        <w:rPr>
          <w:rFonts w:hint="eastAsia"/>
        </w:rPr>
        <w:t xml:space="preserve">[9]  JTG/T D21 《公路立体交叉设计细则》 </w:t>
      </w:r>
    </w:p>
    <w:p w14:paraId="01CDF8E1">
      <w:pPr>
        <w:pStyle w:val="57"/>
        <w:ind w:firstLine="420"/>
        <w:rPr>
          <w:rFonts w:hint="eastAsia"/>
        </w:rPr>
      </w:pPr>
      <w:r>
        <w:rPr>
          <w:rFonts w:hint="eastAsia"/>
        </w:rPr>
        <w:t>[10]  JTG/T D70 《公路隧道通风设计细则》</w:t>
      </w:r>
    </w:p>
    <w:p w14:paraId="55D18BC1">
      <w:pPr>
        <w:pStyle w:val="57"/>
        <w:ind w:firstLine="420"/>
        <w:rPr>
          <w:rFonts w:hint="eastAsia"/>
        </w:rPr>
      </w:pPr>
      <w:r>
        <w:rPr>
          <w:rFonts w:hint="eastAsia"/>
        </w:rPr>
        <w:t>[11]  JTG/T D81 《公路交通安全设施设计细则》</w:t>
      </w:r>
    </w:p>
    <w:p w14:paraId="62EB57E9">
      <w:pPr>
        <w:pStyle w:val="57"/>
        <w:ind w:firstLine="420"/>
        <w:rPr>
          <w:rFonts w:hint="eastAsia"/>
        </w:rPr>
      </w:pPr>
      <w:r>
        <w:rPr>
          <w:rFonts w:hint="eastAsia"/>
        </w:rPr>
        <w:t>[12]  JTJ 003 《公路自然区划标准》</w:t>
      </w:r>
    </w:p>
    <w:p w14:paraId="79986C98">
      <w:pPr>
        <w:pStyle w:val="57"/>
        <w:ind w:firstLine="420"/>
        <w:rPr>
          <w:rFonts w:hint="eastAsia"/>
        </w:rPr>
      </w:pPr>
      <w:r>
        <w:rPr>
          <w:rFonts w:hint="eastAsia"/>
        </w:rPr>
        <w:t>[13] 四川省交通运输厅.四川省交通运输厅关于印发《四川高原山区小交通量高速公路技术规范指导意见（试行）》的通知(川交函〔2024〕374 号)[Z].2024 年 8 月 15 日</w:t>
      </w:r>
    </w:p>
    <w:p w14:paraId="57151C50">
      <w:pPr>
        <w:pStyle w:val="57"/>
        <w:ind w:firstLine="420"/>
        <w:rPr>
          <w:rFonts w:hint="eastAsia"/>
        </w:rPr>
      </w:pPr>
    </w:p>
    <w:p w14:paraId="17FBFB4E">
      <w:pPr>
        <w:pStyle w:val="57"/>
        <w:ind w:firstLine="420"/>
        <w:rPr>
          <w:rFonts w:hint="eastAsia"/>
        </w:rPr>
      </w:pPr>
    </w:p>
    <w:p w14:paraId="08657A11">
      <w:pPr>
        <w:pStyle w:val="57"/>
        <w:ind w:firstLine="420"/>
        <w:rPr>
          <w:rFonts w:hint="eastAsia"/>
        </w:rPr>
      </w:pPr>
    </w:p>
    <w:p w14:paraId="1870A998">
      <w:pPr>
        <w:pStyle w:val="57"/>
        <w:ind w:firstLine="420"/>
        <w:rPr>
          <w:rFonts w:hint="eastAsia"/>
        </w:rPr>
      </w:pPr>
    </w:p>
    <w:bookmarkEnd w:id="260"/>
    <w:p w14:paraId="6C73B0F3">
      <w:pPr>
        <w:pStyle w:val="57"/>
        <w:ind w:firstLine="0" w:firstLineChars="0"/>
        <w:jc w:val="center"/>
        <w:rPr>
          <w:rFonts w:hint="eastAsia"/>
        </w:rPr>
      </w:pPr>
      <w:bookmarkStart w:id="261" w:name="BookMark8"/>
      <w:r>
        <w:rPr>
          <w:rFonts w:hint="eastAsia"/>
        </w:rPr>
        <w:drawing>
          <wp:inline distT="0" distB="0" distL="0" distR="0">
            <wp:extent cx="1485900" cy="317500"/>
            <wp:effectExtent l="0" t="0" r="0" b="6350"/>
            <wp:docPr id="1066429503" name="图片 48"/>
            <wp:cNvGraphicFramePr/>
            <a:graphic xmlns:a="http://schemas.openxmlformats.org/drawingml/2006/main">
              <a:graphicData uri="http://schemas.openxmlformats.org/drawingml/2006/picture">
                <pic:pic xmlns:pic="http://schemas.openxmlformats.org/drawingml/2006/picture">
                  <pic:nvPicPr>
                    <pic:cNvPr id="1066429503" name="图片 48"/>
                    <pic:cNvPicPr/>
                  </pic:nvPicPr>
                  <pic:blipFill>
                    <a:blip r:embed="rId3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61"/>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395EA1">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12960">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3DE73">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0EE57">
    <w:pPr>
      <w:pStyle w:val="53"/>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D098A">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E54952">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790E8">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C713A">
    <w:pPr>
      <w:pStyle w:val="62"/>
      <w:rPr>
        <w:rFonts w:hint="eastAsia"/>
      </w:rPr>
    </w:pPr>
    <w:r>
      <w:fldChar w:fldCharType="begin"/>
    </w:r>
    <w:r>
      <w:instrText xml:space="preserve"> STYLEREF  标准文件_文件编号  \* MERGEFORMAT </w:instrText>
    </w:r>
    <w:r>
      <w:fldChar w:fldCharType="separate"/>
    </w:r>
    <w:r>
      <w:t>DB 51/T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030EA">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51/T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color w:val="FF000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1"/>
      <w:suff w:val="nothing"/>
      <w:lvlText w:val="%10.%2 "/>
      <w:lvlJc w:val="left"/>
      <w:pPr>
        <w:ind w:left="0" w:firstLine="0"/>
      </w:pPr>
      <w:rPr>
        <w:rFonts w:hint="eastAsia" w:ascii="黑体" w:eastAsia="黑体" w:hAnsiTheme="minorHAnsi"/>
        <w:b w:val="0"/>
        <w:i w:val="0"/>
        <w:sz w:val="21"/>
      </w:rPr>
    </w:lvl>
    <w:lvl w:ilvl="2" w:tentative="0">
      <w:start w:val="1"/>
      <w:numFmt w:val="decimal"/>
      <w:pStyle w:val="202"/>
      <w:suff w:val="nothing"/>
      <w:lvlText w:val="%10.%2.%3 "/>
      <w:lvlJc w:val="left"/>
      <w:pPr>
        <w:ind w:left="0" w:firstLine="0"/>
      </w:pPr>
      <w:rPr>
        <w:rFonts w:hint="eastAsia" w:ascii="黑体" w:eastAsia="黑体" w:hAnsiTheme="minorHAnsi"/>
        <w:b w:val="0"/>
        <w:i w:val="0"/>
        <w:sz w:val="21"/>
      </w:rPr>
    </w:lvl>
    <w:lvl w:ilvl="3" w:tentative="0">
      <w:start w:val="1"/>
      <w:numFmt w:val="decimal"/>
      <w:pStyle w:val="203"/>
      <w:suff w:val="nothing"/>
      <w:lvlText w:val="%10.%2.%3.%4 "/>
      <w:lvlJc w:val="left"/>
      <w:pPr>
        <w:ind w:left="0" w:firstLine="0"/>
      </w:pPr>
      <w:rPr>
        <w:rFonts w:hint="eastAsia" w:ascii="黑体" w:eastAsia="黑体" w:hAnsiTheme="minorHAnsi"/>
        <w:b w:val="0"/>
        <w:i w:val="0"/>
        <w:sz w:val="21"/>
      </w:rPr>
    </w:lvl>
    <w:lvl w:ilvl="4" w:tentative="0">
      <w:start w:val="1"/>
      <w:numFmt w:val="decimal"/>
      <w:pStyle w:val="204"/>
      <w:suff w:val="nothing"/>
      <w:lvlText w:val="%10.%2.%3.%4.%5 "/>
      <w:lvlJc w:val="left"/>
      <w:pPr>
        <w:ind w:left="0" w:firstLine="0"/>
      </w:pPr>
      <w:rPr>
        <w:rFonts w:hint="eastAsia" w:ascii="黑体" w:eastAsia="黑体" w:hAnsiTheme="minorHAnsi"/>
        <w:b w:val="0"/>
        <w:i w:val="0"/>
        <w:sz w:val="21"/>
      </w:rPr>
    </w:lvl>
    <w:lvl w:ilvl="5" w:tentative="0">
      <w:start w:val="1"/>
      <w:numFmt w:val="decimal"/>
      <w:pStyle w:val="20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8422620"/>
    <w:multiLevelType w:val="multilevel"/>
    <w:tmpl w:val="28422620"/>
    <w:lvl w:ilvl="0" w:tentative="0">
      <w:start w:val="1"/>
      <w:numFmt w:val="lowerLetter"/>
      <w:lvlText w:val="%1注："/>
      <w:lvlJc w:val="left"/>
      <w:pPr>
        <w:ind w:left="737" w:hanging="374"/>
      </w:pPr>
      <w:rPr>
        <w:rFonts w:hint="default" w:ascii="黑体" w:hAnsi="Times New Roman" w:eastAsia="黑体" w:cs="黑体"/>
        <w:b w:val="0"/>
        <w:i w:val="0"/>
        <w:sz w:val="18"/>
      </w:rPr>
    </w:lvl>
    <w:lvl w:ilvl="1" w:tentative="0">
      <w:start w:val="1"/>
      <w:numFmt w:val="lowerLetter"/>
      <w:lvlText w:val="%2)"/>
      <w:lvlJc w:val="left"/>
      <w:pPr>
        <w:tabs>
          <w:tab w:val="left" w:pos="652"/>
        </w:tabs>
        <w:ind w:left="652" w:hanging="289"/>
      </w:pPr>
      <w:rPr>
        <w:rFonts w:hint="default"/>
        <w:b w:val="0"/>
        <w:bCs w:val="0"/>
      </w:r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11">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8"/>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color w:val="FF0000"/>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199"/>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0"/>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7"/>
      <w:suff w:val="nothing"/>
      <w:lvlText w:val="附录%1"/>
      <w:lvlJc w:val="left"/>
      <w:pPr>
        <w:ind w:left="0"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0" w:firstLine="0"/>
      </w:pPr>
      <w:rPr>
        <w:rFonts w:hint="eastAsia" w:ascii="黑体" w:eastAsia="黑体"/>
        <w:b w:val="0"/>
        <w:i w:val="0"/>
        <w:sz w:val="21"/>
      </w:rPr>
    </w:lvl>
    <w:lvl w:ilvl="3" w:tentative="0">
      <w:start w:val="1"/>
      <w:numFmt w:val="decimal"/>
      <w:pStyle w:val="82"/>
      <w:suff w:val="nothing"/>
      <w:lvlText w:val="%1.%2.%3.%4　"/>
      <w:lvlJc w:val="left"/>
      <w:pPr>
        <w:ind w:left="0" w:firstLine="0"/>
      </w:pPr>
      <w:rPr>
        <w:rFonts w:hint="eastAsia" w:ascii="黑体" w:eastAsia="黑体"/>
        <w:b w:val="0"/>
        <w:i w:val="0"/>
        <w:sz w:val="21"/>
      </w:rPr>
    </w:lvl>
    <w:lvl w:ilvl="4" w:tentative="0">
      <w:start w:val="1"/>
      <w:numFmt w:val="decimal"/>
      <w:pStyle w:val="83"/>
      <w:suff w:val="nothing"/>
      <w:lvlText w:val="%1.%2.%3.%4.%5　"/>
      <w:lvlJc w:val="left"/>
      <w:pPr>
        <w:ind w:left="0"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8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2"/>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1"/>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num>
  <w:num w:numId="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attachedTemplate r:id="rId1"/>
  <w:documentProtection w:edit="forms" w:enforcement="1" w:cryptProviderType="rsaAES" w:cryptAlgorithmClass="hash" w:cryptAlgorithmType="typeAny" w:cryptAlgorithmSid="14" w:cryptSpinCount="100000" w:hash="uXEXcok5jXJmQwIaU/e8LJK1MbnPsM1K3r/AT85XszkV/Lcw0xYcY0e19s/VW+BvtVvkXj6Xuj+IbXT1vTOeWA==" w:salt="uSOWfVF9gQ3zG7Y1n2naww=="/>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3C0"/>
    <w:rsid w:val="0000040A"/>
    <w:rsid w:val="00000A94"/>
    <w:rsid w:val="000013C0"/>
    <w:rsid w:val="00001972"/>
    <w:rsid w:val="00001D9A"/>
    <w:rsid w:val="000064EF"/>
    <w:rsid w:val="00007B3A"/>
    <w:rsid w:val="000107E0"/>
    <w:rsid w:val="00011FDE"/>
    <w:rsid w:val="00012FFD"/>
    <w:rsid w:val="00014162"/>
    <w:rsid w:val="00014340"/>
    <w:rsid w:val="000166BF"/>
    <w:rsid w:val="00016A9C"/>
    <w:rsid w:val="00022184"/>
    <w:rsid w:val="00022762"/>
    <w:rsid w:val="000238E0"/>
    <w:rsid w:val="000249DB"/>
    <w:rsid w:val="0002595E"/>
    <w:rsid w:val="000303C3"/>
    <w:rsid w:val="00031CA9"/>
    <w:rsid w:val="000331D3"/>
    <w:rsid w:val="000346A5"/>
    <w:rsid w:val="000359C3"/>
    <w:rsid w:val="00035A7D"/>
    <w:rsid w:val="000365ED"/>
    <w:rsid w:val="00040E6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36E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13A"/>
    <w:rsid w:val="000D1795"/>
    <w:rsid w:val="000D329A"/>
    <w:rsid w:val="000D4B9C"/>
    <w:rsid w:val="000D4EB6"/>
    <w:rsid w:val="000D753B"/>
    <w:rsid w:val="000E4C9E"/>
    <w:rsid w:val="000E6FD7"/>
    <w:rsid w:val="000F06E1"/>
    <w:rsid w:val="000F0E3C"/>
    <w:rsid w:val="000F19D5"/>
    <w:rsid w:val="000F3D09"/>
    <w:rsid w:val="000F4AEA"/>
    <w:rsid w:val="000F633F"/>
    <w:rsid w:val="000F67E9"/>
    <w:rsid w:val="00104926"/>
    <w:rsid w:val="00113B1E"/>
    <w:rsid w:val="0011711C"/>
    <w:rsid w:val="0012059C"/>
    <w:rsid w:val="00124E4F"/>
    <w:rsid w:val="001260B7"/>
    <w:rsid w:val="001265CB"/>
    <w:rsid w:val="001321C6"/>
    <w:rsid w:val="001325C4"/>
    <w:rsid w:val="00132B38"/>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1F63"/>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77582"/>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0722"/>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2D01"/>
    <w:rsid w:val="00233D64"/>
    <w:rsid w:val="0023482A"/>
    <w:rsid w:val="002359CB"/>
    <w:rsid w:val="00243540"/>
    <w:rsid w:val="00243731"/>
    <w:rsid w:val="0024497B"/>
    <w:rsid w:val="0024515B"/>
    <w:rsid w:val="00246021"/>
    <w:rsid w:val="0024666E"/>
    <w:rsid w:val="00247F52"/>
    <w:rsid w:val="00250B25"/>
    <w:rsid w:val="00250BBE"/>
    <w:rsid w:val="002515C2"/>
    <w:rsid w:val="0025194F"/>
    <w:rsid w:val="002604C8"/>
    <w:rsid w:val="0026148A"/>
    <w:rsid w:val="00262696"/>
    <w:rsid w:val="0026317A"/>
    <w:rsid w:val="00263D25"/>
    <w:rsid w:val="002643C3"/>
    <w:rsid w:val="00264A0C"/>
    <w:rsid w:val="00266EEB"/>
    <w:rsid w:val="00267EF4"/>
    <w:rsid w:val="00270CB8"/>
    <w:rsid w:val="00272B08"/>
    <w:rsid w:val="002771AC"/>
    <w:rsid w:val="00281BB8"/>
    <w:rsid w:val="00281E9E"/>
    <w:rsid w:val="00282405"/>
    <w:rsid w:val="00285170"/>
    <w:rsid w:val="00285361"/>
    <w:rsid w:val="00290FC7"/>
    <w:rsid w:val="00292D60"/>
    <w:rsid w:val="00293B30"/>
    <w:rsid w:val="00294D34"/>
    <w:rsid w:val="00294E3B"/>
    <w:rsid w:val="00296193"/>
    <w:rsid w:val="00296C66"/>
    <w:rsid w:val="00296EBE"/>
    <w:rsid w:val="00296EE9"/>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6910"/>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0DAA"/>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4FFC"/>
    <w:rsid w:val="00395700"/>
    <w:rsid w:val="003974EB"/>
    <w:rsid w:val="00397CC5"/>
    <w:rsid w:val="003A1582"/>
    <w:rsid w:val="003A2266"/>
    <w:rsid w:val="003A4077"/>
    <w:rsid w:val="003A46CF"/>
    <w:rsid w:val="003B09AD"/>
    <w:rsid w:val="003B1F18"/>
    <w:rsid w:val="003B5BF0"/>
    <w:rsid w:val="003B60BF"/>
    <w:rsid w:val="003B6BE3"/>
    <w:rsid w:val="003C010C"/>
    <w:rsid w:val="003C0A6C"/>
    <w:rsid w:val="003C1353"/>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122C"/>
    <w:rsid w:val="00452D6B"/>
    <w:rsid w:val="00454484"/>
    <w:rsid w:val="0045517B"/>
    <w:rsid w:val="00461CBB"/>
    <w:rsid w:val="00463B77"/>
    <w:rsid w:val="00463C7B"/>
    <w:rsid w:val="004644A6"/>
    <w:rsid w:val="004659BD"/>
    <w:rsid w:val="00470775"/>
    <w:rsid w:val="00471D40"/>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5F1"/>
    <w:rsid w:val="004E2B06"/>
    <w:rsid w:val="004E30C5"/>
    <w:rsid w:val="004E4AA5"/>
    <w:rsid w:val="004E4AEE"/>
    <w:rsid w:val="004E59E3"/>
    <w:rsid w:val="004E615F"/>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2DF"/>
    <w:rsid w:val="00525B16"/>
    <w:rsid w:val="0052639A"/>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33F8"/>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0C17"/>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4F0"/>
    <w:rsid w:val="006F2ACA"/>
    <w:rsid w:val="006F2ADC"/>
    <w:rsid w:val="006F2BFE"/>
    <w:rsid w:val="006F31E9"/>
    <w:rsid w:val="006F492F"/>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1E1C"/>
    <w:rsid w:val="007322D9"/>
    <w:rsid w:val="00732BC0"/>
    <w:rsid w:val="0073720F"/>
    <w:rsid w:val="00737796"/>
    <w:rsid w:val="0074165C"/>
    <w:rsid w:val="00742C35"/>
    <w:rsid w:val="007432CA"/>
    <w:rsid w:val="007439EB"/>
    <w:rsid w:val="00743CB4"/>
    <w:rsid w:val="00743F0A"/>
    <w:rsid w:val="007444E8"/>
    <w:rsid w:val="007445F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964DF"/>
    <w:rsid w:val="007A0521"/>
    <w:rsid w:val="007A2E12"/>
    <w:rsid w:val="007A3475"/>
    <w:rsid w:val="007A41C8"/>
    <w:rsid w:val="007A54CE"/>
    <w:rsid w:val="007A6FD9"/>
    <w:rsid w:val="007A7FFA"/>
    <w:rsid w:val="007B04EB"/>
    <w:rsid w:val="007B0D4F"/>
    <w:rsid w:val="007B5A3D"/>
    <w:rsid w:val="007B5B95"/>
    <w:rsid w:val="007B68EA"/>
    <w:rsid w:val="007B7453"/>
    <w:rsid w:val="007C106C"/>
    <w:rsid w:val="007C1E8B"/>
    <w:rsid w:val="007C2D89"/>
    <w:rsid w:val="007C4593"/>
    <w:rsid w:val="007C5309"/>
    <w:rsid w:val="007C6069"/>
    <w:rsid w:val="007D06C4"/>
    <w:rsid w:val="007D1352"/>
    <w:rsid w:val="007D2508"/>
    <w:rsid w:val="007D346A"/>
    <w:rsid w:val="007D6518"/>
    <w:rsid w:val="007D76BD"/>
    <w:rsid w:val="007E0BF1"/>
    <w:rsid w:val="007F0BE1"/>
    <w:rsid w:val="007F0BFF"/>
    <w:rsid w:val="007F0ED8"/>
    <w:rsid w:val="007F0F63"/>
    <w:rsid w:val="007F75CE"/>
    <w:rsid w:val="008013A4"/>
    <w:rsid w:val="008027CE"/>
    <w:rsid w:val="00802F42"/>
    <w:rsid w:val="00804383"/>
    <w:rsid w:val="00804BB7"/>
    <w:rsid w:val="00804D41"/>
    <w:rsid w:val="00810257"/>
    <w:rsid w:val="008104F5"/>
    <w:rsid w:val="00811072"/>
    <w:rsid w:val="00811369"/>
    <w:rsid w:val="00813B7B"/>
    <w:rsid w:val="00815419"/>
    <w:rsid w:val="008163C8"/>
    <w:rsid w:val="008164A1"/>
    <w:rsid w:val="00817325"/>
    <w:rsid w:val="008209E6"/>
    <w:rsid w:val="00823303"/>
    <w:rsid w:val="008233B2"/>
    <w:rsid w:val="00823A9F"/>
    <w:rsid w:val="00823C85"/>
    <w:rsid w:val="00825138"/>
    <w:rsid w:val="008269DD"/>
    <w:rsid w:val="00830621"/>
    <w:rsid w:val="0083348C"/>
    <w:rsid w:val="00834AA5"/>
    <w:rsid w:val="008373D3"/>
    <w:rsid w:val="00840617"/>
    <w:rsid w:val="00840F84"/>
    <w:rsid w:val="00842A47"/>
    <w:rsid w:val="00843C13"/>
    <w:rsid w:val="00844AF4"/>
    <w:rsid w:val="008454F8"/>
    <w:rsid w:val="0085173A"/>
    <w:rsid w:val="00856316"/>
    <w:rsid w:val="008603CE"/>
    <w:rsid w:val="008620FC"/>
    <w:rsid w:val="008627A5"/>
    <w:rsid w:val="00863E05"/>
    <w:rsid w:val="00865ACA"/>
    <w:rsid w:val="00865D28"/>
    <w:rsid w:val="00865F85"/>
    <w:rsid w:val="00867C10"/>
    <w:rsid w:val="00867DF6"/>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29DE"/>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83675"/>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2D7A"/>
    <w:rsid w:val="009B46F9"/>
    <w:rsid w:val="009B6029"/>
    <w:rsid w:val="009B6971"/>
    <w:rsid w:val="009C27F1"/>
    <w:rsid w:val="009C3152"/>
    <w:rsid w:val="009C4CFA"/>
    <w:rsid w:val="009C5070"/>
    <w:rsid w:val="009D112C"/>
    <w:rsid w:val="009D47FA"/>
    <w:rsid w:val="009D4C5B"/>
    <w:rsid w:val="009D50D2"/>
    <w:rsid w:val="009D6BCA"/>
    <w:rsid w:val="009E0F62"/>
    <w:rsid w:val="009E1E34"/>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5721E"/>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C5FA0"/>
    <w:rsid w:val="00AD0AEF"/>
    <w:rsid w:val="00AD11B7"/>
    <w:rsid w:val="00AD1A94"/>
    <w:rsid w:val="00AD1C05"/>
    <w:rsid w:val="00AD4126"/>
    <w:rsid w:val="00AD421C"/>
    <w:rsid w:val="00AD44FA"/>
    <w:rsid w:val="00AE070A"/>
    <w:rsid w:val="00AE101C"/>
    <w:rsid w:val="00AE37E5"/>
    <w:rsid w:val="00AE5EB4"/>
    <w:rsid w:val="00AF0C18"/>
    <w:rsid w:val="00AF4463"/>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36D"/>
    <w:rsid w:val="00B60ACF"/>
    <w:rsid w:val="00B62B58"/>
    <w:rsid w:val="00B65149"/>
    <w:rsid w:val="00B66567"/>
    <w:rsid w:val="00B66F52"/>
    <w:rsid w:val="00B66FE5"/>
    <w:rsid w:val="00B72880"/>
    <w:rsid w:val="00B758BF"/>
    <w:rsid w:val="00B77EC8"/>
    <w:rsid w:val="00B827A6"/>
    <w:rsid w:val="00B831CE"/>
    <w:rsid w:val="00B846AF"/>
    <w:rsid w:val="00B86677"/>
    <w:rsid w:val="00B87131"/>
    <w:rsid w:val="00B939B1"/>
    <w:rsid w:val="00B96D40"/>
    <w:rsid w:val="00B97386"/>
    <w:rsid w:val="00BA263B"/>
    <w:rsid w:val="00BA42B2"/>
    <w:rsid w:val="00BA58D4"/>
    <w:rsid w:val="00BA5B9E"/>
    <w:rsid w:val="00BA5C3A"/>
    <w:rsid w:val="00BA7C9A"/>
    <w:rsid w:val="00BB203B"/>
    <w:rsid w:val="00BB5F8F"/>
    <w:rsid w:val="00BB657A"/>
    <w:rsid w:val="00BC1A4E"/>
    <w:rsid w:val="00BC4790"/>
    <w:rsid w:val="00BC5DC7"/>
    <w:rsid w:val="00BC6B8B"/>
    <w:rsid w:val="00BC73D8"/>
    <w:rsid w:val="00BD4EE7"/>
    <w:rsid w:val="00BD52D7"/>
    <w:rsid w:val="00BD5AD2"/>
    <w:rsid w:val="00BE22F3"/>
    <w:rsid w:val="00BE5B52"/>
    <w:rsid w:val="00BE6392"/>
    <w:rsid w:val="00BE7B8D"/>
    <w:rsid w:val="00BF0993"/>
    <w:rsid w:val="00BF10A9"/>
    <w:rsid w:val="00BF1703"/>
    <w:rsid w:val="00BF231C"/>
    <w:rsid w:val="00BF51E5"/>
    <w:rsid w:val="00BF74A6"/>
    <w:rsid w:val="00C013AD"/>
    <w:rsid w:val="00C04904"/>
    <w:rsid w:val="00C056B3"/>
    <w:rsid w:val="00C103E5"/>
    <w:rsid w:val="00C11D27"/>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1D82"/>
    <w:rsid w:val="00C72410"/>
    <w:rsid w:val="00C7287F"/>
    <w:rsid w:val="00C80CB8"/>
    <w:rsid w:val="00C819F8"/>
    <w:rsid w:val="00C8248C"/>
    <w:rsid w:val="00C84E33"/>
    <w:rsid w:val="00C86D6F"/>
    <w:rsid w:val="00C905FC"/>
    <w:rsid w:val="00C92D03"/>
    <w:rsid w:val="00C9319C"/>
    <w:rsid w:val="00C9435D"/>
    <w:rsid w:val="00C94DF2"/>
    <w:rsid w:val="00C96741"/>
    <w:rsid w:val="00CA1626"/>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16B"/>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336D"/>
    <w:rsid w:val="00D77031"/>
    <w:rsid w:val="00D83038"/>
    <w:rsid w:val="00D84941"/>
    <w:rsid w:val="00D84FA1"/>
    <w:rsid w:val="00D851F0"/>
    <w:rsid w:val="00D86DB7"/>
    <w:rsid w:val="00D926D0"/>
    <w:rsid w:val="00D93030"/>
    <w:rsid w:val="00D950E1"/>
    <w:rsid w:val="00D952A6"/>
    <w:rsid w:val="00D97F99"/>
    <w:rsid w:val="00DA1E08"/>
    <w:rsid w:val="00DA24F8"/>
    <w:rsid w:val="00DA26CC"/>
    <w:rsid w:val="00DA28E8"/>
    <w:rsid w:val="00DA38D3"/>
    <w:rsid w:val="00DA3932"/>
    <w:rsid w:val="00DA3AFC"/>
    <w:rsid w:val="00DA5191"/>
    <w:rsid w:val="00DA64F8"/>
    <w:rsid w:val="00DA68ED"/>
    <w:rsid w:val="00DA6C15"/>
    <w:rsid w:val="00DB0258"/>
    <w:rsid w:val="00DB38EE"/>
    <w:rsid w:val="00DB498B"/>
    <w:rsid w:val="00DB66CA"/>
    <w:rsid w:val="00DB6BCA"/>
    <w:rsid w:val="00DB73F7"/>
    <w:rsid w:val="00DC0321"/>
    <w:rsid w:val="00DC3067"/>
    <w:rsid w:val="00DC370B"/>
    <w:rsid w:val="00DC5375"/>
    <w:rsid w:val="00DC5B90"/>
    <w:rsid w:val="00DD00FF"/>
    <w:rsid w:val="00DD0619"/>
    <w:rsid w:val="00DD07FB"/>
    <w:rsid w:val="00DD25C6"/>
    <w:rsid w:val="00DD4FE5"/>
    <w:rsid w:val="00DD54B0"/>
    <w:rsid w:val="00DD57EE"/>
    <w:rsid w:val="00DD6BCC"/>
    <w:rsid w:val="00DE0A4B"/>
    <w:rsid w:val="00DE0A53"/>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05D3"/>
    <w:rsid w:val="00E31163"/>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2208"/>
    <w:rsid w:val="00EA58D1"/>
    <w:rsid w:val="00EA61BC"/>
    <w:rsid w:val="00EA681A"/>
    <w:rsid w:val="00EA735B"/>
    <w:rsid w:val="00EB17DE"/>
    <w:rsid w:val="00EB1E69"/>
    <w:rsid w:val="00EB2086"/>
    <w:rsid w:val="00EB557F"/>
    <w:rsid w:val="00EB5EDF"/>
    <w:rsid w:val="00EB60FE"/>
    <w:rsid w:val="00EB74DB"/>
    <w:rsid w:val="00EC5359"/>
    <w:rsid w:val="00EC562A"/>
    <w:rsid w:val="00ED067A"/>
    <w:rsid w:val="00ED2B50"/>
    <w:rsid w:val="00EE0350"/>
    <w:rsid w:val="00EE0719"/>
    <w:rsid w:val="00EE0E80"/>
    <w:rsid w:val="00EE15FF"/>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5714"/>
    <w:rsid w:val="00F56511"/>
    <w:rsid w:val="00F60007"/>
    <w:rsid w:val="00F6194E"/>
    <w:rsid w:val="00F623AC"/>
    <w:rsid w:val="00F6412A"/>
    <w:rsid w:val="00F65893"/>
    <w:rsid w:val="00F66A4A"/>
    <w:rsid w:val="00F71E22"/>
    <w:rsid w:val="00F72142"/>
    <w:rsid w:val="00F72AE7"/>
    <w:rsid w:val="00F74A9C"/>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0C2C"/>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45387C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0" w:name="toc 8"/>
    <w:lsdException w:uiPriority="0" w:name="toc 9"/>
    <w:lsdException w:qFormat="1" w:unhideWhenUsed="0" w:uiPriority="0" w:semiHidden="0" w:name="Normal Indent"/>
    <w:lsdException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0"/>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1"/>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2"/>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3"/>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unhideWhenUsed/>
    <w:qFormat/>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7"/>
    <w:uiPriority w:val="99"/>
    <w:pPr>
      <w:spacing w:after="120"/>
    </w:pPr>
  </w:style>
  <w:style w:type="paragraph" w:styleId="14">
    <w:name w:val="toc 5"/>
    <w:basedOn w:val="1"/>
    <w:next w:val="1"/>
    <w:autoRedefine/>
    <w:unhideWhenUsed/>
    <w:uiPriority w:val="39"/>
    <w:pPr>
      <w:ind w:left="839"/>
    </w:pPr>
    <w:rPr>
      <w:rFonts w:ascii="宋体"/>
    </w:rPr>
  </w:style>
  <w:style w:type="paragraph" w:styleId="15">
    <w:name w:val="toc 3"/>
    <w:basedOn w:val="1"/>
    <w:next w:val="1"/>
    <w:autoRedefine/>
    <w:unhideWhenUsed/>
    <w:uiPriority w:val="39"/>
    <w:pPr>
      <w:spacing w:line="300" w:lineRule="exact"/>
      <w:ind w:left="420"/>
    </w:pPr>
    <w:rPr>
      <w:rFonts w:ascii="宋体"/>
    </w:rPr>
  </w:style>
  <w:style w:type="paragraph" w:styleId="16">
    <w:name w:val="Balloon Text"/>
    <w:basedOn w:val="1"/>
    <w:link w:val="46"/>
    <w:semiHidden/>
    <w:unhideWhenUsed/>
    <w:uiPriority w:val="99"/>
    <w:rPr>
      <w:sz w:val="18"/>
      <w:szCs w:val="18"/>
    </w:rPr>
  </w:style>
  <w:style w:type="paragraph" w:styleId="17">
    <w:name w:val="footer"/>
    <w:basedOn w:val="1"/>
    <w:link w:val="45"/>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4"/>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uiPriority w:val="39"/>
    <w:pPr>
      <w:tabs>
        <w:tab w:val="right" w:leader="dot" w:pos="9344"/>
      </w:tabs>
      <w:spacing w:line="300" w:lineRule="exact"/>
      <w:ind w:left="629"/>
    </w:pPr>
    <w:rPr>
      <w:rFonts w:ascii="宋体"/>
    </w:rPr>
  </w:style>
  <w:style w:type="paragraph" w:styleId="21">
    <w:name w:val="footnote text"/>
    <w:basedOn w:val="1"/>
    <w:next w:val="1"/>
    <w:link w:val="100"/>
    <w:semiHidden/>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uiPriority w:val="39"/>
    <w:pPr>
      <w:spacing w:line="300" w:lineRule="exact"/>
      <w:ind w:left="1049"/>
    </w:pPr>
    <w:rPr>
      <w:rFonts w:ascii="宋体"/>
    </w:rPr>
  </w:style>
  <w:style w:type="paragraph" w:styleId="23">
    <w:name w:val="table of figures"/>
    <w:basedOn w:val="1"/>
    <w:next w:val="1"/>
    <w:semiHidden/>
    <w:uiPriority w:val="0"/>
    <w:pPr>
      <w:adjustRightInd/>
      <w:spacing w:line="240" w:lineRule="auto"/>
      <w:jc w:val="left"/>
    </w:pPr>
    <w:rPr>
      <w:szCs w:val="24"/>
    </w:rPr>
  </w:style>
  <w:style w:type="paragraph" w:styleId="24">
    <w:name w:val="toc 2"/>
    <w:basedOn w:val="1"/>
    <w:next w:val="1"/>
    <w:autoRedefine/>
    <w:unhideWhenUsed/>
    <w:uiPriority w:val="39"/>
    <w:pPr>
      <w:tabs>
        <w:tab w:val="right" w:leader="dot" w:pos="9344"/>
      </w:tabs>
      <w:spacing w:line="300" w:lineRule="exact"/>
      <w:ind w:left="210"/>
    </w:pPr>
    <w:rPr>
      <w:rFonts w:ascii="宋体"/>
    </w:rPr>
  </w:style>
  <w:style w:type="paragraph" w:styleId="25">
    <w:name w:val="Normal (Web)"/>
    <w:basedOn w:val="1"/>
    <w:unhideWhenUsed/>
    <w:uiPriority w:val="99"/>
    <w:pPr>
      <w:widowControl/>
      <w:adjustRightInd/>
      <w:spacing w:before="100" w:beforeAutospacing="1" w:after="100" w:afterAutospacing="1" w:line="240" w:lineRule="auto"/>
      <w:jc w:val="left"/>
    </w:pPr>
    <w:rPr>
      <w:rFonts w:ascii="宋体" w:hAnsi="宋体" w:cs="宋体"/>
      <w:kern w:val="0"/>
      <w:szCs w:val="24"/>
    </w:rPr>
  </w:style>
  <w:style w:type="paragraph" w:styleId="26">
    <w:name w:val="Title"/>
    <w:basedOn w:val="1"/>
    <w:link w:val="49"/>
    <w:qFormat/>
    <w:uiPriority w:val="0"/>
    <w:pPr>
      <w:spacing w:before="240" w:after="60"/>
      <w:jc w:val="center"/>
      <w:outlineLvl w:val="0"/>
    </w:pPr>
    <w:rPr>
      <w:rFonts w:ascii="Arial" w:hAnsi="Arial" w:cs="Arial"/>
      <w:b/>
      <w:bCs/>
      <w:sz w:val="32"/>
      <w:szCs w:val="32"/>
    </w:rPr>
  </w:style>
  <w:style w:type="table" w:styleId="28">
    <w:name w:val="Table Grid"/>
    <w:basedOn w:val="27"/>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22"/>
    <w:rPr>
      <w:b/>
      <w:bCs/>
    </w:rPr>
  </w:style>
  <w:style w:type="character" w:styleId="31">
    <w:name w:val="page number"/>
    <w:uiPriority w:val="0"/>
    <w:rPr>
      <w:rFonts w:ascii="宋体" w:hAnsi="Times New Roman" w:eastAsia="宋体"/>
      <w:sz w:val="18"/>
    </w:rPr>
  </w:style>
  <w:style w:type="character" w:styleId="32">
    <w:name w:val="Emphasis"/>
    <w:qFormat/>
    <w:uiPriority w:val="20"/>
    <w:rPr>
      <w:i/>
      <w:iCs/>
    </w:rPr>
  </w:style>
  <w:style w:type="character" w:styleId="33">
    <w:name w:val="Hyperlink"/>
    <w:uiPriority w:val="99"/>
    <w:rPr>
      <w:rFonts w:ascii="宋体" w:hAnsi="Times New Roman" w:eastAsia="宋体"/>
      <w:color w:val="auto"/>
      <w:spacing w:val="0"/>
      <w:w w:val="100"/>
      <w:position w:val="0"/>
      <w:sz w:val="21"/>
      <w:u w:val="none"/>
      <w:vertAlign w:val="baseline"/>
    </w:rPr>
  </w:style>
  <w:style w:type="character" w:styleId="34">
    <w:name w:val="footnote reference"/>
    <w:semiHidden/>
    <w:uiPriority w:val="0"/>
    <w:rPr>
      <w:rFonts w:ascii="宋体" w:hAnsi="宋体" w:eastAsia="宋体" w:cs="Times New Roman"/>
      <w:spacing w:val="0"/>
      <w:sz w:val="18"/>
      <w:vertAlign w:val="superscript"/>
    </w:rPr>
  </w:style>
  <w:style w:type="character" w:customStyle="1" w:styleId="35">
    <w:name w:val="标题 1 字符"/>
    <w:link w:val="2"/>
    <w:qFormat/>
    <w:uiPriority w:val="0"/>
    <w:rPr>
      <w:b/>
      <w:bCs/>
      <w:kern w:val="44"/>
      <w:sz w:val="44"/>
      <w:szCs w:val="44"/>
    </w:rPr>
  </w:style>
  <w:style w:type="character" w:customStyle="1" w:styleId="36">
    <w:name w:val="标题 2 字符"/>
    <w:link w:val="3"/>
    <w:uiPriority w:val="0"/>
    <w:rPr>
      <w:rFonts w:ascii="Arial" w:hAnsi="Arial" w:eastAsia="黑体"/>
      <w:b/>
      <w:bCs/>
      <w:kern w:val="2"/>
      <w:sz w:val="32"/>
      <w:szCs w:val="32"/>
    </w:rPr>
  </w:style>
  <w:style w:type="character" w:customStyle="1" w:styleId="37">
    <w:name w:val="标题 3 字符"/>
    <w:link w:val="4"/>
    <w:uiPriority w:val="0"/>
    <w:rPr>
      <w:b/>
      <w:bCs/>
      <w:kern w:val="2"/>
      <w:sz w:val="32"/>
      <w:szCs w:val="32"/>
    </w:rPr>
  </w:style>
  <w:style w:type="character" w:customStyle="1" w:styleId="38">
    <w:name w:val="标题 4 字符"/>
    <w:link w:val="5"/>
    <w:qFormat/>
    <w:uiPriority w:val="0"/>
    <w:rPr>
      <w:rFonts w:ascii="Arial" w:hAnsi="Arial" w:eastAsia="黑体"/>
      <w:b/>
      <w:bCs/>
      <w:kern w:val="2"/>
      <w:sz w:val="28"/>
      <w:szCs w:val="28"/>
    </w:rPr>
  </w:style>
  <w:style w:type="character" w:customStyle="1" w:styleId="39">
    <w:name w:val="标题 5 字符"/>
    <w:link w:val="6"/>
    <w:qFormat/>
    <w:uiPriority w:val="0"/>
    <w:rPr>
      <w:b/>
      <w:bCs/>
      <w:kern w:val="2"/>
      <w:sz w:val="28"/>
      <w:szCs w:val="28"/>
    </w:rPr>
  </w:style>
  <w:style w:type="character" w:customStyle="1" w:styleId="40">
    <w:name w:val="标题 6 字符"/>
    <w:link w:val="7"/>
    <w:qFormat/>
    <w:uiPriority w:val="0"/>
    <w:rPr>
      <w:rFonts w:ascii="Arial" w:hAnsi="Arial" w:eastAsia="黑体"/>
      <w:b/>
      <w:bCs/>
      <w:kern w:val="2"/>
      <w:sz w:val="24"/>
      <w:szCs w:val="24"/>
    </w:rPr>
  </w:style>
  <w:style w:type="character" w:customStyle="1" w:styleId="41">
    <w:name w:val="标题 7 字符"/>
    <w:link w:val="8"/>
    <w:qFormat/>
    <w:uiPriority w:val="0"/>
    <w:rPr>
      <w:b/>
      <w:bCs/>
      <w:kern w:val="2"/>
      <w:sz w:val="24"/>
      <w:szCs w:val="24"/>
    </w:rPr>
  </w:style>
  <w:style w:type="character" w:customStyle="1" w:styleId="42">
    <w:name w:val="标题 8 字符"/>
    <w:link w:val="9"/>
    <w:qFormat/>
    <w:uiPriority w:val="0"/>
    <w:rPr>
      <w:rFonts w:ascii="Arial" w:hAnsi="Arial" w:eastAsia="黑体"/>
      <w:kern w:val="2"/>
      <w:sz w:val="24"/>
      <w:szCs w:val="24"/>
    </w:rPr>
  </w:style>
  <w:style w:type="character" w:customStyle="1" w:styleId="43">
    <w:name w:val="标题 9 字符"/>
    <w:link w:val="10"/>
    <w:qFormat/>
    <w:uiPriority w:val="0"/>
    <w:rPr>
      <w:rFonts w:ascii="Arial" w:hAnsi="Arial" w:eastAsia="黑体"/>
      <w:kern w:val="2"/>
      <w:sz w:val="21"/>
      <w:szCs w:val="21"/>
    </w:rPr>
  </w:style>
  <w:style w:type="character" w:customStyle="1" w:styleId="44">
    <w:name w:val="页眉 字符"/>
    <w:link w:val="18"/>
    <w:qFormat/>
    <w:uiPriority w:val="99"/>
    <w:rPr>
      <w:kern w:val="2"/>
      <w:sz w:val="18"/>
      <w:szCs w:val="18"/>
    </w:rPr>
  </w:style>
  <w:style w:type="character" w:customStyle="1" w:styleId="45">
    <w:name w:val="页脚 字符"/>
    <w:link w:val="17"/>
    <w:qFormat/>
    <w:uiPriority w:val="99"/>
    <w:rPr>
      <w:rFonts w:ascii="宋体"/>
      <w:kern w:val="2"/>
      <w:sz w:val="18"/>
      <w:szCs w:val="18"/>
    </w:rPr>
  </w:style>
  <w:style w:type="character" w:customStyle="1" w:styleId="46">
    <w:name w:val="批注框文本 字符"/>
    <w:link w:val="16"/>
    <w:semiHidden/>
    <w:uiPriority w:val="99"/>
    <w:rPr>
      <w:kern w:val="2"/>
      <w:sz w:val="18"/>
      <w:szCs w:val="18"/>
    </w:rPr>
  </w:style>
  <w:style w:type="paragraph" w:styleId="47">
    <w:name w:val="Quote"/>
    <w:basedOn w:val="1"/>
    <w:next w:val="1"/>
    <w:link w:val="48"/>
    <w:qFormat/>
    <w:uiPriority w:val="29"/>
    <w:rPr>
      <w:i/>
      <w:iCs/>
      <w:color w:val="000000"/>
    </w:rPr>
  </w:style>
  <w:style w:type="character" w:customStyle="1" w:styleId="48">
    <w:name w:val="引用 字符"/>
    <w:link w:val="47"/>
    <w:qFormat/>
    <w:uiPriority w:val="29"/>
    <w:rPr>
      <w:i/>
      <w:iCs/>
      <w:color w:val="000000"/>
      <w:kern w:val="2"/>
      <w:sz w:val="21"/>
      <w:szCs w:val="21"/>
    </w:rPr>
  </w:style>
  <w:style w:type="character" w:customStyle="1" w:styleId="49">
    <w:name w:val="标题 字符"/>
    <w:link w:val="26"/>
    <w:qFormat/>
    <w:uiPriority w:val="0"/>
    <w:rPr>
      <w:rFonts w:ascii="Arial" w:hAnsi="Arial" w:cs="Arial"/>
      <w:b/>
      <w:bCs/>
      <w:kern w:val="2"/>
      <w:sz w:val="32"/>
      <w:szCs w:val="32"/>
    </w:rPr>
  </w:style>
  <w:style w:type="paragraph" w:customStyle="1" w:styleId="50">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1">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2">
    <w:name w:val="标准文件_页脚偶数页"/>
    <w:uiPriority w:val="0"/>
    <w:pPr>
      <w:ind w:left="198"/>
    </w:pPr>
    <w:rPr>
      <w:rFonts w:ascii="宋体" w:hAnsi="Times New Roman" w:eastAsia="宋体" w:cs="Times New Roman"/>
      <w:sz w:val="18"/>
      <w:lang w:val="en-US" w:eastAsia="zh-CN" w:bidi="ar-SA"/>
    </w:rPr>
  </w:style>
  <w:style w:type="paragraph" w:customStyle="1" w:styleId="53">
    <w:name w:val="标准文件_页脚奇数页"/>
    <w:uiPriority w:val="0"/>
    <w:pPr>
      <w:ind w:right="227"/>
      <w:jc w:val="right"/>
    </w:pPr>
    <w:rPr>
      <w:rFonts w:ascii="宋体" w:hAnsi="Times New Roman" w:eastAsia="宋体" w:cs="Times New Roman"/>
      <w:sz w:val="18"/>
      <w:lang w:val="en-US" w:eastAsia="zh-CN" w:bidi="ar-SA"/>
    </w:rPr>
  </w:style>
  <w:style w:type="paragraph" w:customStyle="1" w:styleId="54">
    <w:name w:val="标准书眉一"/>
    <w:uiPriority w:val="0"/>
    <w:pPr>
      <w:jc w:val="both"/>
    </w:pPr>
    <w:rPr>
      <w:rFonts w:ascii="Times New Roman" w:hAnsi="Times New Roman" w:eastAsia="宋体" w:cs="Times New Roman"/>
      <w:lang w:val="en-US" w:eastAsia="zh-CN" w:bidi="ar-SA"/>
    </w:rPr>
  </w:style>
  <w:style w:type="paragraph" w:customStyle="1" w:styleId="55">
    <w:name w:val="标准文件_ICS"/>
    <w:basedOn w:val="1"/>
    <w:uiPriority w:val="0"/>
    <w:pPr>
      <w:spacing w:line="0" w:lineRule="atLeast"/>
    </w:pPr>
    <w:rPr>
      <w:rFonts w:ascii="黑体" w:hAnsi="宋体" w:eastAsia="黑体"/>
    </w:rPr>
  </w:style>
  <w:style w:type="paragraph" w:customStyle="1" w:styleId="56">
    <w:name w:val="标准文件_标准正文"/>
    <w:basedOn w:val="1"/>
    <w:next w:val="57"/>
    <w:uiPriority w:val="0"/>
    <w:pPr>
      <w:snapToGrid w:val="0"/>
      <w:ind w:firstLine="200" w:firstLineChars="200"/>
    </w:pPr>
    <w:rPr>
      <w:kern w:val="0"/>
    </w:rPr>
  </w:style>
  <w:style w:type="paragraph" w:customStyle="1" w:styleId="57">
    <w:name w:val="标准文件_段"/>
    <w:link w:val="18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8">
    <w:name w:val="标准文件_版本"/>
    <w:basedOn w:val="56"/>
    <w:uiPriority w:val="0"/>
    <w:pPr>
      <w:adjustRightInd/>
      <w:snapToGrid/>
      <w:ind w:firstLine="0" w:firstLineChars="0"/>
    </w:pPr>
    <w:rPr>
      <w:rFonts w:ascii="宋体" w:hAnsi="宋体"/>
      <w:kern w:val="2"/>
    </w:rPr>
  </w:style>
  <w:style w:type="paragraph" w:customStyle="1" w:styleId="59">
    <w:name w:val="标准文件_标准部门"/>
    <w:basedOn w:val="1"/>
    <w:uiPriority w:val="0"/>
    <w:pPr>
      <w:jc w:val="center"/>
    </w:pPr>
    <w:rPr>
      <w:rFonts w:ascii="黑体" w:eastAsia="黑体"/>
      <w:kern w:val="0"/>
      <w:sz w:val="44"/>
    </w:rPr>
  </w:style>
  <w:style w:type="paragraph" w:customStyle="1" w:styleId="60">
    <w:name w:val="标准文件_标准代替"/>
    <w:basedOn w:val="1"/>
    <w:next w:val="1"/>
    <w:uiPriority w:val="0"/>
    <w:pPr>
      <w:spacing w:line="310" w:lineRule="exact"/>
      <w:jc w:val="right"/>
    </w:pPr>
    <w:rPr>
      <w:rFonts w:ascii="宋体" w:hAnsi="宋体"/>
      <w:kern w:val="0"/>
    </w:rPr>
  </w:style>
  <w:style w:type="paragraph" w:customStyle="1" w:styleId="61">
    <w:name w:val="标准文件_标准名称标题"/>
    <w:basedOn w:val="1"/>
    <w:next w:val="1"/>
    <w:uiPriority w:val="0"/>
    <w:pPr>
      <w:widowControl/>
      <w:shd w:val="clear" w:color="FFFFFF" w:fill="FFFFFF"/>
      <w:adjustRightInd/>
      <w:spacing w:before="640" w:after="100"/>
      <w:jc w:val="center"/>
    </w:pPr>
    <w:rPr>
      <w:rFonts w:ascii="黑体" w:eastAsia="黑体"/>
      <w:kern w:val="0"/>
      <w:sz w:val="32"/>
    </w:rPr>
  </w:style>
  <w:style w:type="paragraph" w:customStyle="1" w:styleId="62">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uiPriority w:val="0"/>
    <w:pPr>
      <w:jc w:val="left"/>
    </w:pPr>
  </w:style>
  <w:style w:type="paragraph" w:customStyle="1" w:styleId="64">
    <w:name w:val="标准文件_参考文献标题"/>
    <w:basedOn w:val="1"/>
    <w:next w:val="1"/>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7"/>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uiPriority w:val="0"/>
    <w:rPr>
      <w:rFonts w:ascii="黑体" w:eastAsia="黑体"/>
      <w:spacing w:val="0"/>
      <w:w w:val="100"/>
      <w:position w:val="3"/>
      <w:sz w:val="28"/>
    </w:rPr>
  </w:style>
  <w:style w:type="paragraph" w:customStyle="1" w:styleId="68">
    <w:name w:val="标准文件_方框数字列项"/>
    <w:basedOn w:val="57"/>
    <w:uiPriority w:val="0"/>
    <w:pPr>
      <w:numPr>
        <w:ilvl w:val="0"/>
        <w:numId w:val="3"/>
      </w:numPr>
      <w:ind w:firstLine="0" w:firstLineChars="0"/>
    </w:pPr>
  </w:style>
  <w:style w:type="paragraph" w:customStyle="1" w:styleId="69">
    <w:name w:val="标准文件_封面标准编号"/>
    <w:basedOn w:val="1"/>
    <w:next w:val="60"/>
    <w:qFormat/>
    <w:uiPriority w:val="0"/>
    <w:pPr>
      <w:spacing w:line="310" w:lineRule="exact"/>
      <w:jc w:val="right"/>
    </w:pPr>
    <w:rPr>
      <w:rFonts w:ascii="黑体" w:eastAsia="黑体"/>
      <w:kern w:val="0"/>
      <w:sz w:val="28"/>
    </w:rPr>
  </w:style>
  <w:style w:type="paragraph" w:customStyle="1" w:styleId="70">
    <w:name w:val="标准文件_封面标准分类号"/>
    <w:basedOn w:val="1"/>
    <w:uiPriority w:val="0"/>
    <w:rPr>
      <w:rFonts w:ascii="黑体" w:eastAsia="黑体"/>
      <w:b/>
      <w:kern w:val="0"/>
      <w:sz w:val="28"/>
    </w:rPr>
  </w:style>
  <w:style w:type="paragraph" w:customStyle="1" w:styleId="71">
    <w:name w:val="标准文件_封面标准名称"/>
    <w:basedOn w:val="1"/>
    <w:qFormat/>
    <w:uiPriority w:val="0"/>
    <w:pPr>
      <w:spacing w:line="240" w:lineRule="auto"/>
      <w:jc w:val="center"/>
    </w:pPr>
    <w:rPr>
      <w:rFonts w:ascii="黑体" w:eastAsia="黑体"/>
      <w:kern w:val="0"/>
      <w:sz w:val="52"/>
    </w:rPr>
  </w:style>
  <w:style w:type="paragraph" w:customStyle="1" w:styleId="72">
    <w:name w:val="标准文件_封面标准英文名称"/>
    <w:basedOn w:val="1"/>
    <w:uiPriority w:val="0"/>
    <w:pPr>
      <w:spacing w:line="240" w:lineRule="auto"/>
      <w:jc w:val="center"/>
    </w:pPr>
    <w:rPr>
      <w:rFonts w:ascii="黑体" w:eastAsia="黑体"/>
      <w:b/>
      <w:sz w:val="28"/>
    </w:rPr>
  </w:style>
  <w:style w:type="paragraph" w:customStyle="1" w:styleId="73">
    <w:name w:val="标准文件_封面发布日期"/>
    <w:basedOn w:val="1"/>
    <w:uiPriority w:val="0"/>
    <w:pPr>
      <w:spacing w:line="310" w:lineRule="exact"/>
    </w:pPr>
    <w:rPr>
      <w:rFonts w:ascii="黑体" w:eastAsia="黑体"/>
      <w:kern w:val="0"/>
      <w:sz w:val="28"/>
    </w:rPr>
  </w:style>
  <w:style w:type="paragraph" w:customStyle="1" w:styleId="74">
    <w:name w:val="标准文件_封面密级"/>
    <w:basedOn w:val="1"/>
    <w:uiPriority w:val="0"/>
    <w:rPr>
      <w:rFonts w:eastAsia="黑体"/>
      <w:sz w:val="32"/>
    </w:rPr>
  </w:style>
  <w:style w:type="paragraph" w:customStyle="1" w:styleId="75">
    <w:name w:val="标准文件_封面实施日期"/>
    <w:basedOn w:val="1"/>
    <w:uiPriority w:val="0"/>
    <w:pPr>
      <w:spacing w:line="310" w:lineRule="exact"/>
      <w:jc w:val="right"/>
    </w:pPr>
    <w:rPr>
      <w:rFonts w:ascii="黑体" w:eastAsia="黑体"/>
      <w:sz w:val="28"/>
    </w:rPr>
  </w:style>
  <w:style w:type="paragraph" w:customStyle="1" w:styleId="76">
    <w:name w:val="标准文件_封面抬头"/>
    <w:basedOn w:val="57"/>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7"/>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7"/>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7"/>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7"/>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6"/>
    <w:next w:val="56"/>
    <w:uiPriority w:val="0"/>
    <w:pPr>
      <w:tabs>
        <w:tab w:val="center" w:pos="4678"/>
        <w:tab w:val="right" w:leader="middleDot" w:pos="9356"/>
      </w:tabs>
      <w:spacing w:line="240" w:lineRule="auto"/>
      <w:ind w:right="-51" w:firstLine="0" w:firstLineChars="0"/>
    </w:pPr>
    <w:rPr>
      <w:rFonts w:ascii="宋体" w:hAnsi="宋体"/>
    </w:rPr>
  </w:style>
  <w:style w:type="paragraph" w:customStyle="1" w:styleId="82">
    <w:name w:val="标准文件_附录三级条标题"/>
    <w:next w:val="57"/>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7"/>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7"/>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标准文件_附录五级条标题"/>
    <w:next w:val="57"/>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字符"/>
    <w:link w:val="13"/>
    <w:uiPriority w:val="99"/>
    <w:rPr>
      <w:kern w:val="2"/>
      <w:sz w:val="21"/>
      <w:szCs w:val="21"/>
    </w:rPr>
  </w:style>
  <w:style w:type="paragraph" w:customStyle="1" w:styleId="88">
    <w:name w:val="标准文件_附录章标题"/>
    <w:next w:val="57"/>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7"/>
    <w:next w:val="57"/>
    <w:uiPriority w:val="0"/>
    <w:pPr>
      <w:ind w:left="488" w:leftChars="200" w:hanging="289" w:hangingChars="290"/>
    </w:pPr>
  </w:style>
  <w:style w:type="paragraph" w:customStyle="1" w:styleId="90">
    <w:name w:val="标准文件_前言、引言标题"/>
    <w:next w:val="1"/>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7"/>
    <w:uiPriority w:val="0"/>
    <w:pPr>
      <w:spacing w:line="460" w:lineRule="exact"/>
      <w:ind w:left="0" w:firstLine="0"/>
    </w:pPr>
  </w:style>
  <w:style w:type="paragraph" w:customStyle="1" w:styleId="92">
    <w:name w:val="标准文件_目录标题"/>
    <w:basedOn w:val="1"/>
    <w:uiPriority w:val="0"/>
    <w:pPr>
      <w:spacing w:before="480" w:after="150" w:afterLines="150" w:line="240" w:lineRule="auto"/>
      <w:jc w:val="center"/>
    </w:pPr>
    <w:rPr>
      <w:rFonts w:ascii="黑体" w:eastAsia="黑体"/>
      <w:sz w:val="32"/>
    </w:rPr>
  </w:style>
  <w:style w:type="paragraph" w:customStyle="1" w:styleId="93">
    <w:name w:val="标准文件_破折号列项"/>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uiPriority w:val="0"/>
    <w:pPr>
      <w:numPr>
        <w:numId w:val="10"/>
      </w:numPr>
    </w:pPr>
  </w:style>
  <w:style w:type="paragraph" w:customStyle="1" w:styleId="95">
    <w:name w:val="标准文件_三级条标题"/>
    <w:basedOn w:val="66"/>
    <w:next w:val="57"/>
    <w:uiPriority w:val="0"/>
    <w:pPr>
      <w:widowControl/>
      <w:numPr>
        <w:ilvl w:val="4"/>
      </w:numPr>
      <w:outlineLvl w:val="3"/>
    </w:pPr>
  </w:style>
  <w:style w:type="character" w:customStyle="1" w:styleId="96">
    <w:name w:val="Subtle Reference"/>
    <w:qFormat/>
    <w:uiPriority w:val="31"/>
    <w:rPr>
      <w:smallCaps/>
      <w:color w:val="C0504D"/>
      <w:u w:val="single"/>
    </w:rPr>
  </w:style>
  <w:style w:type="paragraph" w:customStyle="1" w:styleId="97">
    <w:name w:val="标准文件_示例后续"/>
    <w:basedOn w:val="1"/>
    <w:uiPriority w:val="0"/>
    <w:pPr>
      <w:adjustRightInd/>
      <w:spacing w:line="240" w:lineRule="auto"/>
      <w:ind w:firstLine="200" w:firstLineChars="200"/>
    </w:pPr>
    <w:rPr>
      <w:sz w:val="18"/>
      <w:szCs w:val="24"/>
    </w:rPr>
  </w:style>
  <w:style w:type="paragraph" w:customStyle="1" w:styleId="98">
    <w:name w:val="标准文件_数字编号列项"/>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7"/>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字符"/>
    <w:link w:val="21"/>
    <w:semiHidden/>
    <w:uiPriority w:val="0"/>
    <w:rPr>
      <w:rFonts w:ascii="宋体"/>
      <w:kern w:val="2"/>
      <w:sz w:val="18"/>
      <w:szCs w:val="18"/>
    </w:rPr>
  </w:style>
  <w:style w:type="paragraph" w:customStyle="1" w:styleId="101">
    <w:name w:val="标准文件_条文脚注"/>
    <w:basedOn w:val="21"/>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7"/>
    <w:uiPriority w:val="0"/>
    <w:pPr>
      <w:numPr>
        <w:ilvl w:val="0"/>
        <w:numId w:val="12"/>
      </w:numPr>
      <w:spacing w:line="240" w:lineRule="auto"/>
      <w:jc w:val="left"/>
    </w:pPr>
    <w:rPr>
      <w:rFonts w:ascii="宋体" w:hAnsi="宋体"/>
      <w:sz w:val="18"/>
    </w:rPr>
  </w:style>
  <w:style w:type="character" w:customStyle="1" w:styleId="103">
    <w:name w:val="标准文件_图表脚注内容"/>
    <w:uiPriority w:val="0"/>
    <w:rPr>
      <w:rFonts w:ascii="宋体" w:hAnsi="宋体" w:eastAsia="宋体" w:cs="Times New Roman"/>
      <w:spacing w:val="0"/>
      <w:sz w:val="18"/>
      <w:vertAlign w:val="superscript"/>
    </w:rPr>
  </w:style>
  <w:style w:type="paragraph" w:customStyle="1" w:styleId="104">
    <w:name w:val="标准文件_五级条标题"/>
    <w:next w:val="57"/>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7"/>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7"/>
    <w:qFormat/>
    <w:uiPriority w:val="0"/>
    <w:pPr>
      <w:numPr>
        <w:ilvl w:val="2"/>
      </w:numPr>
      <w:spacing w:before="50" w:beforeLines="50" w:after="50" w:afterLines="50"/>
      <w:outlineLvl w:val="1"/>
    </w:pPr>
  </w:style>
  <w:style w:type="paragraph" w:customStyle="1" w:styleId="107">
    <w:name w:val="标准文件_一致程度"/>
    <w:basedOn w:val="1"/>
    <w:uiPriority w:val="0"/>
    <w:pPr>
      <w:spacing w:line="440" w:lineRule="exact"/>
      <w:jc w:val="center"/>
    </w:pPr>
    <w:rPr>
      <w:sz w:val="28"/>
    </w:rPr>
  </w:style>
  <w:style w:type="paragraph" w:customStyle="1" w:styleId="108">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6"/>
    <w:uiPriority w:val="0"/>
    <w:pPr>
      <w:widowControl/>
      <w:adjustRightInd/>
      <w:snapToGrid/>
      <w:spacing w:line="240" w:lineRule="auto"/>
      <w:ind w:left="79" w:hanging="79" w:hangingChars="80"/>
    </w:pPr>
    <w:rPr>
      <w:rFonts w:ascii="宋体" w:hAnsi="宋体"/>
    </w:rPr>
  </w:style>
  <w:style w:type="paragraph" w:customStyle="1" w:styleId="110">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1">
    <w:name w:val="标准文件_英文注："/>
    <w:basedOn w:val="1"/>
    <w:next w:val="57"/>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2">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3">
    <w:name w:val="标准文件_正文表标题"/>
    <w:next w:val="57"/>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6"/>
    <w:uiPriority w:val="0"/>
    <w:pPr>
      <w:tabs>
        <w:tab w:val="center" w:pos="4678"/>
        <w:tab w:val="right" w:leader="middleDot" w:pos="9356"/>
      </w:tabs>
      <w:spacing w:line="240" w:lineRule="auto"/>
    </w:pPr>
    <w:rPr>
      <w:rFonts w:ascii="宋体" w:hAnsi="宋体"/>
    </w:rPr>
  </w:style>
  <w:style w:type="paragraph" w:customStyle="1" w:styleId="115">
    <w:name w:val="标准文件_正文图标题"/>
    <w:next w:val="57"/>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7"/>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7"/>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uiPriority w:val="0"/>
    <w:pPr>
      <w:numPr>
        <w:ilvl w:val="2"/>
        <w:numId w:val="13"/>
      </w:numPr>
    </w:pPr>
    <w:rPr>
      <w:rFonts w:ascii="宋体" w:hAnsi="Times New Roman" w:eastAsia="宋体" w:cs="Times New Roman"/>
      <w:sz w:val="21"/>
      <w:lang w:val="en-US" w:eastAsia="zh-CN" w:bidi="ar-SA"/>
    </w:rPr>
  </w:style>
  <w:style w:type="paragraph" w:customStyle="1" w:styleId="119">
    <w:name w:val="二级无标题条"/>
    <w:basedOn w:val="1"/>
    <w:uiPriority w:val="0"/>
    <w:pPr>
      <w:numPr>
        <w:ilvl w:val="3"/>
        <w:numId w:val="20"/>
      </w:numPr>
      <w:adjustRightInd/>
      <w:spacing w:line="240" w:lineRule="auto"/>
    </w:pPr>
    <w:rPr>
      <w:rFonts w:ascii="宋体" w:hAnsi="宋体"/>
      <w:szCs w:val="24"/>
    </w:rPr>
  </w:style>
  <w:style w:type="paragraph" w:customStyle="1" w:styleId="120">
    <w:name w:val="发布部门"/>
    <w:next w:val="57"/>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7"/>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0">
    <w:name w:val="附录三级无标题条"/>
    <w:basedOn w:val="129"/>
    <w:next w:val="57"/>
    <w:uiPriority w:val="0"/>
    <w:pPr>
      <w:outlineLvl w:val="4"/>
    </w:pPr>
  </w:style>
  <w:style w:type="paragraph" w:customStyle="1" w:styleId="131">
    <w:name w:val="附录四级无标题条"/>
    <w:basedOn w:val="130"/>
    <w:next w:val="57"/>
    <w:uiPriority w:val="0"/>
    <w:pPr>
      <w:outlineLvl w:val="5"/>
    </w:pPr>
  </w:style>
  <w:style w:type="paragraph" w:customStyle="1" w:styleId="132">
    <w:name w:val="附录图"/>
    <w:next w:val="57"/>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7"/>
    <w:uiPriority w:val="0"/>
    <w:pPr>
      <w:outlineLvl w:val="6"/>
    </w:pPr>
  </w:style>
  <w:style w:type="paragraph" w:customStyle="1" w:styleId="135">
    <w:name w:val="附录性质"/>
    <w:basedOn w:val="1"/>
    <w:uiPriority w:val="0"/>
    <w:pPr>
      <w:widowControl/>
      <w:adjustRightInd/>
      <w:jc w:val="center"/>
    </w:pPr>
    <w:rPr>
      <w:rFonts w:ascii="黑体" w:eastAsia="黑体"/>
    </w:rPr>
  </w:style>
  <w:style w:type="paragraph" w:customStyle="1" w:styleId="136">
    <w:name w:val="附录一级无标题条"/>
    <w:basedOn w:val="88"/>
    <w:next w:val="57"/>
    <w:uiPriority w:val="0"/>
    <w:pPr>
      <w:autoSpaceDN w:val="0"/>
      <w:outlineLvl w:val="2"/>
    </w:pPr>
    <w:rPr>
      <w:rFonts w:ascii="宋体" w:hAnsi="宋体" w:eastAsia="宋体"/>
    </w:rPr>
  </w:style>
  <w:style w:type="character" w:customStyle="1" w:styleId="137">
    <w:name w:val="个人答复风格"/>
    <w:uiPriority w:val="0"/>
    <w:rPr>
      <w:rFonts w:ascii="Arial" w:hAnsi="Arial" w:eastAsia="宋体" w:cs="Arial"/>
      <w:color w:val="auto"/>
      <w:spacing w:val="0"/>
      <w:sz w:val="20"/>
    </w:rPr>
  </w:style>
  <w:style w:type="character" w:customStyle="1" w:styleId="138">
    <w:name w:val="个人撰写风格"/>
    <w:uiPriority w:val="0"/>
    <w:rPr>
      <w:rFonts w:ascii="Arial" w:hAnsi="Arial" w:eastAsia="宋体" w:cs="Arial"/>
      <w:color w:val="auto"/>
      <w:spacing w:val="0"/>
      <w:sz w:val="20"/>
    </w:rPr>
  </w:style>
  <w:style w:type="paragraph" w:customStyle="1" w:styleId="139">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7"/>
    <w:uiPriority w:val="0"/>
    <w:pPr>
      <w:tabs>
        <w:tab w:val="left" w:pos="840"/>
      </w:tabs>
    </w:pPr>
  </w:style>
  <w:style w:type="paragraph" w:customStyle="1" w:styleId="142">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autoRedefine/>
    <w:semiHidden/>
    <w:uiPriority w:val="0"/>
    <w:pPr>
      <w:adjustRightInd/>
      <w:spacing w:line="240" w:lineRule="auto"/>
      <w:jc w:val="left"/>
    </w:pPr>
    <w:rPr>
      <w:bCs/>
      <w:iCs/>
    </w:rPr>
  </w:style>
  <w:style w:type="paragraph" w:customStyle="1" w:styleId="144">
    <w:name w:val="目录 31"/>
    <w:basedOn w:val="1"/>
    <w:next w:val="1"/>
    <w:autoRedefine/>
    <w:semiHidden/>
    <w:uiPriority w:val="0"/>
    <w:pPr>
      <w:spacing w:line="240" w:lineRule="auto"/>
    </w:pPr>
    <w:rPr>
      <w:rFonts w:ascii="宋体" w:hAnsi="宋体"/>
      <w:iCs/>
    </w:rPr>
  </w:style>
  <w:style w:type="paragraph" w:customStyle="1" w:styleId="145">
    <w:name w:val="目录 41"/>
    <w:basedOn w:val="1"/>
    <w:next w:val="1"/>
    <w:autoRedefine/>
    <w:semiHidden/>
    <w:uiPriority w:val="0"/>
    <w:pPr>
      <w:adjustRightInd/>
      <w:spacing w:line="240" w:lineRule="auto"/>
      <w:jc w:val="left"/>
    </w:pPr>
  </w:style>
  <w:style w:type="paragraph" w:customStyle="1" w:styleId="146">
    <w:name w:val="目录 51"/>
    <w:basedOn w:val="1"/>
    <w:next w:val="1"/>
    <w:autoRedefine/>
    <w:semiHidden/>
    <w:uiPriority w:val="0"/>
    <w:pPr>
      <w:spacing w:line="240" w:lineRule="auto"/>
    </w:pPr>
    <w:rPr>
      <w:rFonts w:ascii="宋体" w:hAnsi="宋体"/>
    </w:rPr>
  </w:style>
  <w:style w:type="paragraph" w:customStyle="1" w:styleId="147">
    <w:name w:val="目录 61"/>
    <w:basedOn w:val="1"/>
    <w:next w:val="1"/>
    <w:autoRedefine/>
    <w:semiHidden/>
    <w:uiPriority w:val="0"/>
    <w:pPr>
      <w:adjustRightInd/>
      <w:spacing w:line="240" w:lineRule="auto"/>
      <w:jc w:val="left"/>
    </w:pPr>
  </w:style>
  <w:style w:type="paragraph" w:customStyle="1" w:styleId="148">
    <w:name w:val="目录 71"/>
    <w:basedOn w:val="147"/>
    <w:autoRedefine/>
    <w:semiHidden/>
    <w:uiPriority w:val="0"/>
    <w:pPr>
      <w:ind w:left="1260"/>
    </w:pPr>
  </w:style>
  <w:style w:type="paragraph" w:customStyle="1" w:styleId="149">
    <w:name w:val="目录 81"/>
    <w:basedOn w:val="148"/>
    <w:autoRedefine/>
    <w:semiHidden/>
    <w:uiPriority w:val="0"/>
    <w:pPr>
      <w:ind w:left="1470"/>
    </w:pPr>
  </w:style>
  <w:style w:type="paragraph" w:customStyle="1" w:styleId="150">
    <w:name w:val="目录 91"/>
    <w:basedOn w:val="149"/>
    <w:autoRedefine/>
    <w:semiHidden/>
    <w:uiPriority w:val="0"/>
    <w:pPr>
      <w:ind w:left="1680"/>
    </w:pPr>
  </w:style>
  <w:style w:type="paragraph" w:customStyle="1" w:styleId="151">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uiPriority w:val="0"/>
    <w:pPr>
      <w:framePr w:wrap="around"/>
      <w:spacing w:line="0" w:lineRule="atLeast"/>
    </w:pPr>
    <w:rPr>
      <w:rFonts w:ascii="黑体" w:eastAsia="黑体"/>
      <w:b w:val="0"/>
    </w:rPr>
  </w:style>
  <w:style w:type="paragraph" w:customStyle="1" w:styleId="153">
    <w:name w:val="前言标题"/>
    <w:next w:val="1"/>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uiPriority w:val="0"/>
    <w:pPr>
      <w:numPr>
        <w:ilvl w:val="4"/>
        <w:numId w:val="20"/>
      </w:numPr>
      <w:adjustRightInd/>
      <w:spacing w:line="240" w:lineRule="auto"/>
    </w:pPr>
    <w:rPr>
      <w:rFonts w:ascii="宋体" w:hAnsi="宋体"/>
      <w:szCs w:val="24"/>
    </w:rPr>
  </w:style>
  <w:style w:type="paragraph" w:customStyle="1" w:styleId="155">
    <w:name w:val="实施日期"/>
    <w:basedOn w:val="121"/>
    <w:uiPriority w:val="0"/>
    <w:pPr>
      <w:framePr w:hSpace="0" w:wrap="around" w:xAlign="right"/>
      <w:jc w:val="right"/>
    </w:pPr>
  </w:style>
  <w:style w:type="paragraph" w:customStyle="1" w:styleId="156">
    <w:name w:val="四级无标题条"/>
    <w:basedOn w:val="1"/>
    <w:uiPriority w:val="0"/>
    <w:pPr>
      <w:numPr>
        <w:ilvl w:val="5"/>
        <w:numId w:val="20"/>
      </w:numPr>
      <w:adjustRightInd/>
      <w:spacing w:line="240" w:lineRule="auto"/>
    </w:pPr>
    <w:rPr>
      <w:rFonts w:ascii="宋体" w:hAnsi="宋体"/>
      <w:szCs w:val="24"/>
    </w:rPr>
  </w:style>
  <w:style w:type="paragraph" w:customStyle="1" w:styleId="157">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7"/>
    <w:uiPriority w:val="0"/>
    <w:pPr>
      <w:jc w:val="both"/>
    </w:pPr>
    <w:rPr>
      <w:rFonts w:ascii="宋体" w:hAnsi="宋体" w:eastAsia="宋体" w:cs="Times New Roman"/>
      <w:sz w:val="21"/>
      <w:lang w:val="en-US" w:eastAsia="zh-CN" w:bidi="ar-SA"/>
    </w:rPr>
  </w:style>
  <w:style w:type="paragraph" w:customStyle="1" w:styleId="159">
    <w:name w:val="五级无标题条"/>
    <w:basedOn w:val="1"/>
    <w:uiPriority w:val="0"/>
    <w:pPr>
      <w:numPr>
        <w:ilvl w:val="6"/>
        <w:numId w:val="20"/>
      </w:numPr>
      <w:adjustRightInd/>
    </w:pPr>
    <w:rPr>
      <w:szCs w:val="24"/>
    </w:rPr>
  </w:style>
  <w:style w:type="paragraph" w:customStyle="1" w:styleId="160">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1">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uiPriority w:val="0"/>
    <w:pPr>
      <w:ind w:left="1406" w:leftChars="0" w:hanging="499" w:firstLineChars="0"/>
    </w:pPr>
  </w:style>
  <w:style w:type="paragraph" w:customStyle="1" w:styleId="163">
    <w:name w:val="标准文件_一级无标题"/>
    <w:basedOn w:val="106"/>
    <w:qFormat/>
    <w:uiPriority w:val="0"/>
    <w:pPr>
      <w:spacing w:before="0" w:beforeLines="0" w:after="0" w:afterLines="0"/>
      <w:outlineLvl w:val="9"/>
    </w:pPr>
    <w:rPr>
      <w:rFonts w:ascii="宋体" w:eastAsia="宋体"/>
    </w:rPr>
  </w:style>
  <w:style w:type="paragraph" w:customStyle="1" w:styleId="164">
    <w:name w:val="标准文件_五级无标题"/>
    <w:basedOn w:val="104"/>
    <w:qFormat/>
    <w:uiPriority w:val="0"/>
    <w:pPr>
      <w:spacing w:before="0" w:beforeLines="0" w:after="0" w:afterLines="0"/>
      <w:outlineLvl w:val="9"/>
    </w:pPr>
    <w:rPr>
      <w:rFonts w:ascii="宋体" w:eastAsia="宋体"/>
    </w:rPr>
  </w:style>
  <w:style w:type="paragraph" w:customStyle="1" w:styleId="165">
    <w:name w:val="标准文件_三级无标题"/>
    <w:basedOn w:val="95"/>
    <w:qFormat/>
    <w:uiPriority w:val="0"/>
    <w:pPr>
      <w:spacing w:before="0" w:beforeLines="0" w:after="0" w:afterLines="0"/>
      <w:outlineLvl w:val="9"/>
    </w:pPr>
    <w:rPr>
      <w:rFonts w:ascii="宋体" w:eastAsia="宋体"/>
    </w:rPr>
  </w:style>
  <w:style w:type="paragraph" w:customStyle="1" w:styleId="166">
    <w:name w:val="标准文件_二级无标题"/>
    <w:basedOn w:val="66"/>
    <w:qFormat/>
    <w:uiPriority w:val="0"/>
    <w:pPr>
      <w:spacing w:before="0" w:beforeLines="0" w:after="0" w:afterLines="0"/>
      <w:outlineLvl w:val="9"/>
    </w:pPr>
    <w:rPr>
      <w:rFonts w:ascii="宋体" w:eastAsia="宋体"/>
    </w:rPr>
  </w:style>
  <w:style w:type="paragraph" w:customStyle="1" w:styleId="167">
    <w:name w:val="标准_四级无标题"/>
    <w:basedOn w:val="99"/>
    <w:next w:val="57"/>
    <w:qFormat/>
    <w:uiPriority w:val="0"/>
    <w:rPr>
      <w:rFonts w:eastAsia="宋体"/>
    </w:rPr>
  </w:style>
  <w:style w:type="paragraph" w:customStyle="1" w:styleId="168">
    <w:name w:val="标准文件_四级无标题"/>
    <w:basedOn w:val="99"/>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7"/>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7"/>
    <w:qFormat/>
    <w:uiPriority w:val="0"/>
    <w:pPr>
      <w:numPr>
        <w:ilvl w:val="0"/>
        <w:numId w:val="24"/>
      </w:numPr>
      <w:ind w:firstLine="0" w:firstLineChars="0"/>
    </w:pPr>
    <w:rPr>
      <w:rFonts w:cs="Arial"/>
      <w:szCs w:val="28"/>
    </w:rPr>
  </w:style>
  <w:style w:type="paragraph" w:customStyle="1" w:styleId="171">
    <w:name w:val="标准文件_附录标题"/>
    <w:basedOn w:val="77"/>
    <w:qFormat/>
    <w:uiPriority w:val="0"/>
    <w:pPr>
      <w:numPr>
        <w:numId w:val="0"/>
      </w:numPr>
      <w:spacing w:after="280"/>
      <w:outlineLvl w:val="9"/>
    </w:pPr>
  </w:style>
  <w:style w:type="paragraph" w:customStyle="1" w:styleId="172">
    <w:name w:val="标准文件_二级项"/>
    <w:uiPriority w:val="0"/>
    <w:rPr>
      <w:rFonts w:ascii="宋体" w:hAnsi="Times New Roman" w:eastAsia="宋体" w:cs="Times New Roman"/>
      <w:sz w:val="21"/>
      <w:lang w:val="en-US" w:eastAsia="zh-CN" w:bidi="ar-SA"/>
    </w:rPr>
  </w:style>
  <w:style w:type="paragraph" w:customStyle="1" w:styleId="173">
    <w:name w:val="标准文件_三级项"/>
    <w:basedOn w:val="1"/>
    <w:uiPriority w:val="0"/>
    <w:pPr>
      <w:numPr>
        <w:ilvl w:val="2"/>
        <w:numId w:val="21"/>
      </w:numPr>
      <w:spacing w:line="536870612" w:lineRule="auto"/>
    </w:pPr>
    <w:rPr>
      <w:rFonts w:ascii="Times New Roman" w:hAnsi="Times New Roman"/>
    </w:rPr>
  </w:style>
  <w:style w:type="paragraph" w:customStyle="1" w:styleId="174">
    <w:name w:val="图表脚注说明"/>
    <w:basedOn w:val="1"/>
    <w:next w:val="57"/>
    <w:uiPriority w:val="0"/>
    <w:pPr>
      <w:numPr>
        <w:ilvl w:val="0"/>
        <w:numId w:val="25"/>
      </w:numPr>
      <w:adjustRightInd/>
      <w:spacing w:line="240" w:lineRule="auto"/>
    </w:pPr>
    <w:rPr>
      <w:rFonts w:ascii="宋体" w:hAnsi="Times New Roman"/>
      <w:sz w:val="18"/>
      <w:szCs w:val="18"/>
    </w:rPr>
  </w:style>
  <w:style w:type="paragraph" w:customStyle="1" w:styleId="17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7"/>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7"/>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7"/>
    <w:qFormat/>
    <w:uiPriority w:val="0"/>
    <w:pPr>
      <w:ind w:firstLine="0" w:firstLineChars="0"/>
      <w:jc w:val="center"/>
    </w:pPr>
    <w:rPr>
      <w:sz w:val="18"/>
    </w:rPr>
  </w:style>
  <w:style w:type="paragraph" w:customStyle="1" w:styleId="180">
    <w:name w:val="标准文件_注："/>
    <w:next w:val="57"/>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7"/>
    <w:qFormat/>
    <w:uiPriority w:val="0"/>
    <w:pPr>
      <w:ind w:firstLine="420"/>
    </w:pPr>
    <w:rPr>
      <w:sz w:val="18"/>
    </w:rPr>
  </w:style>
  <w:style w:type="paragraph" w:customStyle="1" w:styleId="184">
    <w:name w:val="标准文件_示例×："/>
    <w:basedOn w:val="1"/>
    <w:next w:val="183"/>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5">
    <w:name w:val="标准文件_段 Char"/>
    <w:link w:val="57"/>
    <w:qFormat/>
    <w:uiPriority w:val="0"/>
    <w:rPr>
      <w:rFonts w:ascii="宋体" w:hAnsi="Times New Roman"/>
      <w:sz w:val="21"/>
    </w:rPr>
  </w:style>
  <w:style w:type="paragraph" w:customStyle="1" w:styleId="186">
    <w:name w:val="标准文件_表格续"/>
    <w:basedOn w:val="57"/>
    <w:next w:val="57"/>
    <w:qFormat/>
    <w:uiPriority w:val="0"/>
    <w:pPr>
      <w:jc w:val="center"/>
    </w:pPr>
    <w:rPr>
      <w:rFonts w:ascii="黑体" w:hAnsi="黑体" w:eastAsia="黑体"/>
    </w:rPr>
  </w:style>
  <w:style w:type="character" w:styleId="187">
    <w:name w:val="Placeholder Text"/>
    <w:basedOn w:val="29"/>
    <w:semiHidden/>
    <w:uiPriority w:val="99"/>
    <w:rPr>
      <w:color w:val="808080"/>
    </w:rPr>
  </w:style>
  <w:style w:type="paragraph" w:customStyle="1" w:styleId="188">
    <w:name w:val="标准文件_二级项2"/>
    <w:basedOn w:val="57"/>
    <w:qFormat/>
    <w:uiPriority w:val="0"/>
    <w:pPr>
      <w:numPr>
        <w:ilvl w:val="1"/>
        <w:numId w:val="21"/>
      </w:numPr>
      <w:ind w:firstLine="0" w:firstLineChars="0"/>
    </w:pPr>
  </w:style>
  <w:style w:type="paragraph" w:customStyle="1" w:styleId="189">
    <w:name w:val="标准文件_三级项2"/>
    <w:basedOn w:val="57"/>
    <w:qFormat/>
    <w:uiPriority w:val="0"/>
    <w:pPr>
      <w:numPr>
        <w:ilvl w:val="0"/>
        <w:numId w:val="30"/>
      </w:numPr>
      <w:spacing w:line="300" w:lineRule="exact"/>
      <w:ind w:firstLineChars="0"/>
    </w:pPr>
    <w:rPr>
      <w:rFonts w:ascii="Times New Roman"/>
    </w:rPr>
  </w:style>
  <w:style w:type="paragraph" w:customStyle="1" w:styleId="190">
    <w:name w:val="标准文件_一级项2"/>
    <w:basedOn w:val="57"/>
    <w:qFormat/>
    <w:uiPriority w:val="0"/>
    <w:pPr>
      <w:numPr>
        <w:ilvl w:val="0"/>
        <w:numId w:val="31"/>
      </w:numPr>
      <w:spacing w:line="300" w:lineRule="exact"/>
      <w:ind w:firstLineChars="0"/>
    </w:pPr>
    <w:rPr>
      <w:rFonts w:ascii="Times New Roman"/>
    </w:rPr>
  </w:style>
  <w:style w:type="paragraph" w:customStyle="1" w:styleId="191">
    <w:name w:val="标准文件_提示"/>
    <w:basedOn w:val="57"/>
    <w:next w:val="57"/>
    <w:qFormat/>
    <w:uiPriority w:val="0"/>
    <w:pPr>
      <w:ind w:firstLine="420"/>
    </w:pPr>
    <w:rPr>
      <w:rFonts w:ascii="黑体" w:eastAsia="黑体"/>
    </w:rPr>
  </w:style>
  <w:style w:type="character" w:customStyle="1" w:styleId="192">
    <w:name w:val="标准文件_来源"/>
    <w:basedOn w:val="29"/>
    <w:qFormat/>
    <w:uiPriority w:val="1"/>
    <w:rPr>
      <w:rFonts w:eastAsia="宋体"/>
      <w:sz w:val="21"/>
    </w:rPr>
  </w:style>
  <w:style w:type="paragraph" w:customStyle="1" w:styleId="19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4">
    <w:name w:val="其他发布日期"/>
    <w:basedOn w:val="121"/>
    <w:uiPriority w:val="0"/>
    <w:pPr>
      <w:framePr w:w="3997" w:h="471" w:hRule="exact" w:hSpace="0" w:vSpace="181" w:wrap="around" w:vAnchor="page" w:hAnchor="page" w:x="1419" w:y="14097"/>
    </w:pPr>
  </w:style>
  <w:style w:type="paragraph" w:customStyle="1" w:styleId="195">
    <w:name w:val="其他实施日期"/>
    <w:basedOn w:val="155"/>
    <w:uiPriority w:val="0"/>
    <w:pPr>
      <w:framePr w:w="3997" w:h="471" w:hRule="exact" w:vSpace="181" w:wrap="around" w:vAnchor="page" w:hAnchor="page" w:x="7089" w:y="14097"/>
    </w:pPr>
  </w:style>
  <w:style w:type="paragraph" w:customStyle="1" w:styleId="196">
    <w:name w:val="标准文件_文件编号"/>
    <w:basedOn w:val="57"/>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7">
    <w:name w:val="标准文件_替换文件编号"/>
    <w:basedOn w:val="196"/>
    <w:qFormat/>
    <w:uiPriority w:val="0"/>
    <w:pPr>
      <w:framePr/>
      <w:spacing w:before="57"/>
    </w:pPr>
    <w:rPr>
      <w:sz w:val="21"/>
    </w:rPr>
  </w:style>
  <w:style w:type="paragraph" w:customStyle="1" w:styleId="198">
    <w:name w:val="标准文件_文件名称"/>
    <w:basedOn w:val="57"/>
    <w:next w:val="5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9">
    <w:name w:val="标准文件_附录图标号"/>
    <w:basedOn w:val="57"/>
    <w:next w:val="5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0">
    <w:name w:val="标准文件_附录表标号"/>
    <w:basedOn w:val="57"/>
    <w:next w:val="57"/>
    <w:qFormat/>
    <w:uiPriority w:val="0"/>
    <w:pPr>
      <w:numPr>
        <w:ilvl w:val="0"/>
        <w:numId w:val="5"/>
      </w:numPr>
      <w:spacing w:line="14" w:lineRule="exact"/>
      <w:ind w:firstLine="0" w:firstLineChars="0"/>
      <w:jc w:val="center"/>
    </w:pPr>
    <w:rPr>
      <w:rFonts w:eastAsia="黑体"/>
      <w:vanish/>
      <w:sz w:val="2"/>
    </w:rPr>
  </w:style>
  <w:style w:type="paragraph" w:customStyle="1" w:styleId="201">
    <w:name w:val="标准文件_引言一级条标题"/>
    <w:basedOn w:val="57"/>
    <w:next w:val="57"/>
    <w:qFormat/>
    <w:uiPriority w:val="0"/>
    <w:pPr>
      <w:numPr>
        <w:ilvl w:val="1"/>
        <w:numId w:val="8"/>
      </w:numPr>
      <w:spacing w:before="50" w:beforeLines="50" w:after="50" w:afterLines="50"/>
      <w:ind w:firstLineChars="0"/>
    </w:pPr>
    <w:rPr>
      <w:rFonts w:ascii="黑体" w:eastAsia="黑体"/>
    </w:rPr>
  </w:style>
  <w:style w:type="paragraph" w:customStyle="1" w:styleId="202">
    <w:name w:val="标准文件_引言二级条标题"/>
    <w:basedOn w:val="57"/>
    <w:next w:val="57"/>
    <w:qFormat/>
    <w:uiPriority w:val="0"/>
    <w:pPr>
      <w:numPr>
        <w:ilvl w:val="2"/>
        <w:numId w:val="8"/>
      </w:numPr>
      <w:spacing w:before="50" w:beforeLines="50" w:after="50" w:afterLines="50"/>
      <w:ind w:firstLineChars="0"/>
    </w:pPr>
    <w:rPr>
      <w:rFonts w:ascii="黑体" w:eastAsia="黑体"/>
    </w:rPr>
  </w:style>
  <w:style w:type="paragraph" w:customStyle="1" w:styleId="203">
    <w:name w:val="标准文件_引言三级条标题"/>
    <w:basedOn w:val="57"/>
    <w:next w:val="57"/>
    <w:qFormat/>
    <w:uiPriority w:val="0"/>
    <w:pPr>
      <w:numPr>
        <w:ilvl w:val="3"/>
        <w:numId w:val="8"/>
      </w:numPr>
      <w:spacing w:before="50" w:beforeLines="50" w:after="50" w:afterLines="50"/>
      <w:ind w:firstLineChars="0"/>
    </w:pPr>
    <w:rPr>
      <w:rFonts w:ascii="黑体" w:eastAsia="黑体"/>
    </w:rPr>
  </w:style>
  <w:style w:type="paragraph" w:customStyle="1" w:styleId="204">
    <w:name w:val="标准文件_引言四级条标题"/>
    <w:basedOn w:val="57"/>
    <w:next w:val="57"/>
    <w:qFormat/>
    <w:uiPriority w:val="0"/>
    <w:pPr>
      <w:numPr>
        <w:ilvl w:val="4"/>
        <w:numId w:val="8"/>
      </w:numPr>
      <w:spacing w:before="50" w:beforeLines="50" w:after="50" w:afterLines="50"/>
      <w:ind w:firstLineChars="0"/>
    </w:pPr>
    <w:rPr>
      <w:rFonts w:ascii="黑体" w:eastAsia="黑体"/>
    </w:rPr>
  </w:style>
  <w:style w:type="paragraph" w:customStyle="1" w:styleId="205">
    <w:name w:val="标准文件_引言五级条标题"/>
    <w:basedOn w:val="57"/>
    <w:next w:val="57"/>
    <w:qFormat/>
    <w:uiPriority w:val="0"/>
    <w:pPr>
      <w:numPr>
        <w:ilvl w:val="5"/>
        <w:numId w:val="8"/>
      </w:numPr>
      <w:spacing w:before="50" w:beforeLines="50" w:after="50" w:afterLines="50"/>
      <w:ind w:firstLineChars="0"/>
    </w:pPr>
    <w:rPr>
      <w:rFonts w:ascii="黑体" w:eastAsia="黑体"/>
    </w:rPr>
  </w:style>
  <w:style w:type="paragraph" w:customStyle="1" w:styleId="206">
    <w:name w:val="标准文件_注后"/>
    <w:basedOn w:val="57"/>
    <w:qFormat/>
    <w:uiPriority w:val="0"/>
    <w:pPr>
      <w:ind w:left="811" w:firstLine="0" w:firstLineChars="0"/>
    </w:pPr>
    <w:rPr>
      <w:sz w:val="18"/>
    </w:rPr>
  </w:style>
  <w:style w:type="paragraph" w:customStyle="1" w:styleId="207">
    <w:name w:val="标准文件_注X后"/>
    <w:basedOn w:val="57"/>
    <w:qFormat/>
    <w:uiPriority w:val="0"/>
    <w:pPr>
      <w:ind w:left="811" w:firstLine="0" w:firstLineChars="0"/>
    </w:pPr>
    <w:rPr>
      <w:sz w:val="18"/>
    </w:rPr>
  </w:style>
  <w:style w:type="paragraph" w:customStyle="1" w:styleId="208">
    <w:name w:val="标准文件_示例后"/>
    <w:basedOn w:val="57"/>
    <w:qFormat/>
    <w:uiPriority w:val="0"/>
    <w:pPr>
      <w:ind w:left="964" w:firstLine="0" w:firstLineChars="0"/>
    </w:pPr>
    <w:rPr>
      <w:sz w:val="18"/>
    </w:rPr>
  </w:style>
  <w:style w:type="paragraph" w:customStyle="1" w:styleId="209">
    <w:name w:val="标准文件_示例X后"/>
    <w:basedOn w:val="57"/>
    <w:link w:val="210"/>
    <w:qFormat/>
    <w:uiPriority w:val="0"/>
    <w:pPr>
      <w:ind w:left="1049" w:firstLine="0" w:firstLineChars="0"/>
    </w:pPr>
    <w:rPr>
      <w:sz w:val="18"/>
    </w:rPr>
  </w:style>
  <w:style w:type="character" w:customStyle="1" w:styleId="210">
    <w:name w:val="标准文件_示例X后 字符"/>
    <w:basedOn w:val="185"/>
    <w:link w:val="209"/>
    <w:uiPriority w:val="0"/>
    <w:rPr>
      <w:rFonts w:ascii="宋体" w:hAnsi="Times New Roman"/>
      <w:sz w:val="18"/>
    </w:rPr>
  </w:style>
  <w:style w:type="paragraph" w:customStyle="1" w:styleId="211">
    <w:name w:val="标准文件_索引项"/>
    <w:basedOn w:val="57"/>
    <w:next w:val="57"/>
    <w:qFormat/>
    <w:uiPriority w:val="0"/>
    <w:pPr>
      <w:tabs>
        <w:tab w:val="right" w:leader="dot" w:pos="9356"/>
      </w:tabs>
      <w:ind w:left="210" w:hanging="210" w:firstLineChars="0"/>
      <w:jc w:val="left"/>
    </w:pPr>
  </w:style>
  <w:style w:type="paragraph" w:customStyle="1" w:styleId="212">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二级无标题"/>
    <w:basedOn w:val="80"/>
    <w:uiPriority w:val="0"/>
    <w:pPr>
      <w:spacing w:before="0" w:beforeLines="0" w:after="0" w:afterLines="0" w:line="276" w:lineRule="auto"/>
      <w:outlineLvl w:val="9"/>
    </w:pPr>
    <w:rPr>
      <w:rFonts w:ascii="宋体" w:eastAsia="宋体"/>
    </w:rPr>
  </w:style>
  <w:style w:type="paragraph" w:customStyle="1" w:styleId="214">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四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7">
    <w:name w:val="标准文件_引言一级无标题"/>
    <w:basedOn w:val="201"/>
    <w:next w:val="57"/>
    <w:qFormat/>
    <w:uiPriority w:val="0"/>
    <w:pPr>
      <w:spacing w:before="0" w:beforeLines="0" w:after="0" w:afterLines="0" w:line="276" w:lineRule="auto"/>
    </w:pPr>
    <w:rPr>
      <w:rFonts w:ascii="宋体" w:eastAsia="宋体"/>
    </w:rPr>
  </w:style>
  <w:style w:type="paragraph" w:customStyle="1" w:styleId="218">
    <w:name w:val="标准文件_引言二级无标题"/>
    <w:basedOn w:val="202"/>
    <w:next w:val="57"/>
    <w:qFormat/>
    <w:uiPriority w:val="0"/>
    <w:pPr>
      <w:spacing w:before="0" w:beforeLines="0" w:after="0" w:afterLines="0" w:line="276" w:lineRule="auto"/>
    </w:pPr>
    <w:rPr>
      <w:rFonts w:ascii="宋体" w:eastAsia="宋体"/>
    </w:rPr>
  </w:style>
  <w:style w:type="paragraph" w:customStyle="1" w:styleId="219">
    <w:name w:val="标准文件_引言三级无标题"/>
    <w:basedOn w:val="203"/>
    <w:qFormat/>
    <w:uiPriority w:val="0"/>
    <w:pPr>
      <w:spacing w:before="0" w:beforeLines="0" w:after="0" w:afterLines="0" w:line="276" w:lineRule="auto"/>
    </w:pPr>
    <w:rPr>
      <w:rFonts w:ascii="宋体" w:eastAsia="宋体"/>
    </w:rPr>
  </w:style>
  <w:style w:type="paragraph" w:customStyle="1" w:styleId="220">
    <w:name w:val="标准文件_引言四级无标题"/>
    <w:basedOn w:val="204"/>
    <w:next w:val="57"/>
    <w:qFormat/>
    <w:uiPriority w:val="0"/>
    <w:pPr>
      <w:spacing w:before="0" w:beforeLines="0" w:after="0" w:afterLines="0" w:line="276" w:lineRule="auto"/>
    </w:pPr>
    <w:rPr>
      <w:rFonts w:ascii="宋体" w:eastAsia="宋体"/>
    </w:rPr>
  </w:style>
  <w:style w:type="paragraph" w:customStyle="1" w:styleId="221">
    <w:name w:val="标准文件_引言五级无标题"/>
    <w:basedOn w:val="205"/>
    <w:next w:val="57"/>
    <w:qFormat/>
    <w:uiPriority w:val="0"/>
    <w:pPr>
      <w:spacing w:before="0" w:beforeLines="0" w:after="0" w:afterLines="0" w:line="276" w:lineRule="auto"/>
    </w:pPr>
    <w:rPr>
      <w:rFonts w:ascii="宋体" w:eastAsia="宋体"/>
    </w:rPr>
  </w:style>
  <w:style w:type="paragraph" w:customStyle="1" w:styleId="222">
    <w:name w:val="标准文件_索引标题"/>
    <w:basedOn w:val="64"/>
    <w:next w:val="57"/>
    <w:qFormat/>
    <w:uiPriority w:val="0"/>
    <w:rPr>
      <w:rFonts w:hAnsi="黑体"/>
    </w:rPr>
  </w:style>
  <w:style w:type="paragraph" w:customStyle="1" w:styleId="223">
    <w:name w:val="标准文件_脚注内容"/>
    <w:basedOn w:val="57"/>
    <w:qFormat/>
    <w:uiPriority w:val="0"/>
    <w:pPr>
      <w:ind w:left="400" w:leftChars="200" w:hanging="200" w:hangingChars="200"/>
    </w:pPr>
    <w:rPr>
      <w:sz w:val="15"/>
    </w:rPr>
  </w:style>
  <w:style w:type="paragraph" w:customStyle="1" w:styleId="224">
    <w:name w:val="标准文件_术语条一"/>
    <w:basedOn w:val="163"/>
    <w:next w:val="57"/>
    <w:qFormat/>
    <w:uiPriority w:val="0"/>
  </w:style>
  <w:style w:type="paragraph" w:customStyle="1" w:styleId="225">
    <w:name w:val="标准文件_术语条二"/>
    <w:basedOn w:val="166"/>
    <w:next w:val="57"/>
    <w:qFormat/>
    <w:uiPriority w:val="0"/>
  </w:style>
  <w:style w:type="paragraph" w:customStyle="1" w:styleId="226">
    <w:name w:val="标准文件_术语条三"/>
    <w:basedOn w:val="165"/>
    <w:next w:val="57"/>
    <w:qFormat/>
    <w:uiPriority w:val="0"/>
  </w:style>
  <w:style w:type="paragraph" w:customStyle="1" w:styleId="227">
    <w:name w:val="标准文件_术语条四"/>
    <w:basedOn w:val="168"/>
    <w:next w:val="57"/>
    <w:qFormat/>
    <w:uiPriority w:val="0"/>
  </w:style>
  <w:style w:type="paragraph" w:customStyle="1" w:styleId="228">
    <w:name w:val="标准文件_术语条五"/>
    <w:basedOn w:val="164"/>
    <w:next w:val="57"/>
    <w:qFormat/>
    <w:uiPriority w:val="0"/>
  </w:style>
  <w:style w:type="paragraph" w:customStyle="1" w:styleId="229">
    <w:name w:val="Defaul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0">
    <w:name w:val="发布"/>
    <w:basedOn w:val="29"/>
    <w:uiPriority w:val="0"/>
    <w:rPr>
      <w:rFonts w:ascii="黑体" w:eastAsia="黑体"/>
      <w:spacing w:val="85"/>
      <w:w w:val="100"/>
      <w:position w:val="3"/>
      <w:sz w:val="28"/>
      <w:szCs w:val="28"/>
    </w:rPr>
  </w:style>
  <w:style w:type="character" w:customStyle="1" w:styleId="231">
    <w:name w:val="标题 1 字符1"/>
    <w:qFormat/>
    <w:uiPriority w:val="0"/>
    <w:rPr>
      <w:rFonts w:ascii="黑体" w:hAnsi="黑体" w:eastAsia="黑体"/>
      <w:bCs/>
      <w:kern w:val="44"/>
      <w:sz w:val="32"/>
      <w:szCs w:val="72"/>
    </w:rPr>
  </w:style>
  <w:style w:type="character" w:customStyle="1" w:styleId="232">
    <w:name w:val="条的编号 字符"/>
    <w:link w:val="233"/>
    <w:uiPriority w:val="0"/>
    <w:rPr>
      <w:rFonts w:ascii="黑体" w:hAnsi="黑体" w:eastAsia="黑体"/>
      <w:kern w:val="2"/>
      <w:sz w:val="24"/>
      <w:szCs w:val="24"/>
    </w:rPr>
  </w:style>
  <w:style w:type="paragraph" w:customStyle="1" w:styleId="233">
    <w:name w:val="条的编号"/>
    <w:basedOn w:val="1"/>
    <w:link w:val="232"/>
    <w:qFormat/>
    <w:uiPriority w:val="0"/>
    <w:pPr>
      <w:widowControl/>
      <w:autoSpaceDE w:val="0"/>
      <w:autoSpaceDN w:val="0"/>
      <w:adjustRightInd/>
      <w:spacing w:before="120" w:beforeLines="50" w:after="240" w:afterLines="100" w:line="240" w:lineRule="auto"/>
      <w:ind w:firstLine="480" w:firstLineChars="200"/>
    </w:pPr>
    <w:rPr>
      <w:rFonts w:ascii="黑体" w:hAnsi="黑体" w:eastAsia="黑体"/>
      <w:sz w:val="24"/>
      <w:szCs w:val="24"/>
    </w:rPr>
  </w:style>
  <w:style w:type="character" w:customStyle="1" w:styleId="234">
    <w:name w:val="款——需要空2 字符"/>
    <w:link w:val="235"/>
    <w:uiPriority w:val="0"/>
    <w:rPr>
      <w:rFonts w:ascii="Times New Roman" w:hAnsi="Times New Roman"/>
      <w:kern w:val="2"/>
      <w:sz w:val="21"/>
      <w:szCs w:val="22"/>
    </w:rPr>
  </w:style>
  <w:style w:type="paragraph" w:customStyle="1" w:styleId="235">
    <w:name w:val="款——需要空2"/>
    <w:basedOn w:val="1"/>
    <w:link w:val="234"/>
    <w:qFormat/>
    <w:uiPriority w:val="0"/>
    <w:pPr>
      <w:widowControl/>
      <w:adjustRightInd/>
      <w:spacing w:before="100" w:beforeLines="100" w:after="50" w:afterLines="50" w:line="240" w:lineRule="auto"/>
      <w:ind w:firstLine="440" w:firstLineChars="200"/>
      <w:contextualSpacing/>
    </w:pPr>
    <w:rPr>
      <w:rFonts w:ascii="Times New Roman" w:hAnsi="Times New Roman"/>
      <w:szCs w:val="22"/>
    </w:rPr>
  </w:style>
  <w:style w:type="paragraph" w:customStyle="1" w:styleId="236">
    <w:name w:val="图表标题J"/>
    <w:basedOn w:val="1"/>
    <w:next w:val="1"/>
    <w:uiPriority w:val="0"/>
    <w:pPr>
      <w:adjustRightInd/>
      <w:spacing w:beforeLines="10" w:afterLines="10" w:line="240" w:lineRule="auto"/>
      <w:jc w:val="center"/>
    </w:pPr>
    <w:rPr>
      <w:rFonts w:ascii="Times New Roman" w:hAnsi="Times New Roman" w:cs="宋体"/>
      <w:b/>
      <w:sz w:val="22"/>
      <w:szCs w:val="18"/>
      <w:lang w:val="zh-CN"/>
    </w:rPr>
  </w:style>
  <w:style w:type="character" w:customStyle="1" w:styleId="237">
    <w:name w:val="A表格正文 Char"/>
    <w:link w:val="238"/>
    <w:locked/>
    <w:uiPriority w:val="0"/>
    <w:rPr>
      <w:rFonts w:ascii="宋体" w:hAnsi="宋体"/>
      <w:bCs/>
      <w:sz w:val="18"/>
      <w:szCs w:val="18"/>
    </w:rPr>
  </w:style>
  <w:style w:type="paragraph" w:customStyle="1" w:styleId="238">
    <w:name w:val="A表格正文"/>
    <w:basedOn w:val="1"/>
    <w:link w:val="237"/>
    <w:qFormat/>
    <w:uiPriority w:val="0"/>
    <w:pPr>
      <w:snapToGrid w:val="0"/>
      <w:spacing w:line="240" w:lineRule="auto"/>
      <w:jc w:val="center"/>
      <w:textAlignment w:val="baseline"/>
    </w:pPr>
    <w:rPr>
      <w:rFonts w:ascii="宋体" w:hAnsi="宋体"/>
      <w:bCs/>
      <w:kern w:val="0"/>
      <w:sz w:val="18"/>
      <w:szCs w:val="18"/>
    </w:rPr>
  </w:style>
  <w:style w:type="character" w:customStyle="1" w:styleId="239">
    <w:name w:val="A表名_题注编号格式 字符"/>
    <w:link w:val="240"/>
    <w:uiPriority w:val="0"/>
    <w:rPr>
      <w:rFonts w:ascii="黑体" w:hAnsi="黑体" w:eastAsia="黑体"/>
      <w:kern w:val="2"/>
      <w:sz w:val="21"/>
      <w:szCs w:val="21"/>
    </w:rPr>
  </w:style>
  <w:style w:type="paragraph" w:customStyle="1" w:styleId="240">
    <w:name w:val="A表名_题注编号格式"/>
    <w:basedOn w:val="13"/>
    <w:link w:val="239"/>
    <w:qFormat/>
    <w:uiPriority w:val="0"/>
    <w:pPr>
      <w:tabs>
        <w:tab w:val="left" w:pos="1144"/>
      </w:tabs>
      <w:adjustRightInd/>
      <w:spacing w:before="72" w:line="240" w:lineRule="auto"/>
      <w:ind w:right="34"/>
      <w:jc w:val="center"/>
    </w:pPr>
    <w:rPr>
      <w:rFonts w:ascii="黑体" w:hAnsi="黑体" w:eastAsia="黑体"/>
    </w:rPr>
  </w:style>
  <w:style w:type="paragraph" w:customStyle="1" w:styleId="241">
    <w:name w:val="空2 条文段末"/>
    <w:uiPriority w:val="0"/>
    <w:pPr>
      <w:widowControl w:val="0"/>
      <w:adjustRightInd w:val="0"/>
      <w:snapToGrid w:val="0"/>
      <w:ind w:firstLine="480" w:firstLineChars="200"/>
      <w:jc w:val="both"/>
    </w:pPr>
    <w:rPr>
      <w:rFonts w:hint="eastAsia" w:ascii="楷体" w:hAnsi="楷体" w:eastAsia="楷体" w:cs="Times New Roman"/>
      <w:sz w:val="24"/>
      <w:szCs w:val="24"/>
      <w:lang w:val="en-US" w:eastAsia="zh-CN" w:bidi="ar-SA"/>
    </w:rPr>
  </w:style>
  <w:style w:type="character" w:customStyle="1" w:styleId="242">
    <w:name w:val="空2+条文段末 字符"/>
    <w:link w:val="243"/>
    <w:uiPriority w:val="0"/>
    <w:rPr>
      <w:rFonts w:ascii="楷体" w:hAnsi="楷体" w:eastAsia="楷体"/>
      <w:sz w:val="24"/>
      <w:szCs w:val="22"/>
    </w:rPr>
  </w:style>
  <w:style w:type="paragraph" w:customStyle="1" w:styleId="243">
    <w:name w:val="空2+条文段末"/>
    <w:basedOn w:val="1"/>
    <w:link w:val="242"/>
    <w:qFormat/>
    <w:uiPriority w:val="0"/>
    <w:pPr>
      <w:snapToGrid w:val="0"/>
      <w:spacing w:line="240" w:lineRule="auto"/>
      <w:ind w:firstLine="480" w:firstLineChars="200"/>
    </w:pPr>
    <w:rPr>
      <w:rFonts w:ascii="楷体" w:hAnsi="楷体" w:eastAsia="楷体"/>
      <w:kern w:val="0"/>
      <w:sz w:val="24"/>
      <w:szCs w:val="22"/>
    </w:rPr>
  </w:style>
  <w:style w:type="character" w:customStyle="1" w:styleId="244">
    <w:name w:val="条文内容及款项编号 字符"/>
    <w:link w:val="245"/>
    <w:qFormat/>
    <w:uiPriority w:val="0"/>
    <w:rPr>
      <w:rFonts w:ascii="宋体" w:hAnsi="宋体"/>
      <w:kern w:val="2"/>
      <w:sz w:val="21"/>
      <w:szCs w:val="24"/>
    </w:rPr>
  </w:style>
  <w:style w:type="paragraph" w:customStyle="1" w:styleId="245">
    <w:name w:val="条文内容及款项编号"/>
    <w:basedOn w:val="1"/>
    <w:link w:val="244"/>
    <w:qFormat/>
    <w:uiPriority w:val="0"/>
    <w:pPr>
      <w:widowControl/>
      <w:autoSpaceDE w:val="0"/>
      <w:autoSpaceDN w:val="0"/>
      <w:adjustRightInd/>
      <w:spacing w:before="50" w:beforeLines="50" w:after="100" w:afterLines="100" w:line="240" w:lineRule="auto"/>
      <w:ind w:firstLine="240" w:firstLineChars="100"/>
    </w:pPr>
    <w:rPr>
      <w:rFonts w:ascii="宋体" w:hAnsi="宋体"/>
      <w:szCs w:val="24"/>
    </w:rPr>
  </w:style>
  <w:style w:type="character" w:customStyle="1" w:styleId="246">
    <w:name w:val="正文文本 字符1"/>
    <w:uiPriority w:val="99"/>
    <w:rPr>
      <w:kern w:val="2"/>
      <w:sz w:val="21"/>
      <w:szCs w:val="22"/>
    </w:rPr>
  </w:style>
  <w:style w:type="character" w:customStyle="1" w:styleId="247">
    <w:name w:val="标题 1 Char2"/>
    <w:uiPriority w:val="0"/>
    <w:rPr>
      <w:rFonts w:ascii="黑体" w:hAnsi="黑体" w:eastAsia="黑体"/>
      <w:bCs/>
      <w:kern w:val="44"/>
      <w:sz w:val="32"/>
      <w:szCs w:val="72"/>
    </w:rPr>
  </w:style>
  <w:style w:type="paragraph" w:customStyle="1" w:styleId="248">
    <w:name w:val="_Style 141"/>
    <w:basedOn w:val="1"/>
    <w:next w:val="1"/>
    <w:unhideWhenUsed/>
    <w:qFormat/>
    <w:uiPriority w:val="39"/>
    <w:pPr>
      <w:adjustRightInd/>
      <w:spacing w:before="120" w:line="240" w:lineRule="auto"/>
      <w:ind w:left="210"/>
      <w:jc w:val="left"/>
    </w:pPr>
    <w:rPr>
      <w:rFonts w:ascii="Times New Roman" w:hAnsi="Times New Roman" w:cs="Calibri"/>
      <w:bCs/>
      <w:sz w:val="22"/>
      <w:szCs w:val="22"/>
    </w:rPr>
  </w:style>
  <w:style w:type="character" w:customStyle="1" w:styleId="249">
    <w:name w:val="15"/>
    <w:basedOn w:val="29"/>
    <w:uiPriority w:val="0"/>
    <w:rPr>
      <w:rFonts w:hint="eastAsia" w:ascii="宋体" w:hAnsi="宋体" w:eastAsia="宋体"/>
      <w:color w:val="000000"/>
      <w:sz w:val="17"/>
      <w:szCs w:val="17"/>
    </w:rPr>
  </w:style>
  <w:style w:type="character" w:customStyle="1" w:styleId="250">
    <w:name w:val="16"/>
    <w:basedOn w:val="29"/>
    <w:uiPriority w:val="0"/>
    <w:rPr>
      <w:rFonts w:hint="default" w:ascii="Times New Roman" w:hAnsi="Times New Roman" w:cs="Times New Roman"/>
      <w:color w:val="000000"/>
      <w:sz w:val="17"/>
      <w:szCs w:val="17"/>
    </w:rPr>
  </w:style>
  <w:style w:type="character" w:customStyle="1" w:styleId="251">
    <w:name w:val="17"/>
    <w:basedOn w:val="29"/>
    <w:uiPriority w:val="0"/>
    <w:rPr>
      <w:rFonts w:hint="eastAsia" w:ascii="宋体" w:hAnsi="宋体" w:eastAsia="宋体"/>
      <w:color w:val="000000"/>
      <w:sz w:val="17"/>
      <w:szCs w:val="17"/>
    </w:rPr>
  </w:style>
  <w:style w:type="paragraph" w:customStyle="1" w:styleId="252">
    <w:name w:val="图名"/>
    <w:basedOn w:val="1"/>
    <w:uiPriority w:val="0"/>
    <w:pPr>
      <w:tabs>
        <w:tab w:val="left" w:pos="1144"/>
      </w:tabs>
      <w:adjustRightInd/>
      <w:spacing w:before="72" w:after="120" w:line="240" w:lineRule="auto"/>
      <w:ind w:right="34"/>
      <w:jc w:val="center"/>
    </w:pPr>
    <w:rPr>
      <w:rFonts w:ascii="宋体" w:hAnsi="宋体" w:cs="宋体"/>
      <w:sz w:val="18"/>
      <w:szCs w:val="18"/>
    </w:rPr>
  </w:style>
  <w:style w:type="paragraph" w:customStyle="1" w:styleId="253">
    <w:name w:val="h5-正文"/>
    <w:basedOn w:val="1"/>
    <w:qFormat/>
    <w:uiPriority w:val="0"/>
    <w:pPr>
      <w:widowControl/>
      <w:autoSpaceDE w:val="0"/>
      <w:autoSpaceDN w:val="0"/>
      <w:adjustRightInd/>
      <w:spacing w:beforeLines="50" w:afterLines="100" w:line="240" w:lineRule="auto"/>
      <w:ind w:firstLine="480" w:firstLineChars="200"/>
    </w:pPr>
    <w:rPr>
      <w:rFonts w:ascii="宋体" w:hAnsi="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glossaryDocument" Target="glossary/document.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3.jpe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jpe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jpe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jpe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4DEE2BBF98FA4223903E8B3A1CCFDBD1"/>
        <w:style w:val=""/>
        <w:category>
          <w:name w:val="常规"/>
          <w:gallery w:val="placeholder"/>
        </w:category>
        <w:types>
          <w:type w:val="bbPlcHdr"/>
        </w:types>
        <w:behaviors>
          <w:behavior w:val="content"/>
        </w:behaviors>
        <w:description w:val=""/>
        <w:guid w:val="{1523476C-F4C1-44C4-88C1-0AEFDE4E6DA6}"/>
      </w:docPartPr>
      <w:docPartBody>
        <w:p w14:paraId="27EF3400">
          <w:pPr>
            <w:pStyle w:val="5"/>
            <w:rPr>
              <w:rFonts w:hint="eastAsia"/>
            </w:rPr>
          </w:pPr>
          <w:r>
            <w:rPr>
              <w:rStyle w:val="4"/>
              <w:rFonts w:hint="eastAsia"/>
            </w:rPr>
            <w:t>单击或点击此处输入文字。</w:t>
          </w:r>
        </w:p>
      </w:docPartBody>
    </w:docPart>
    <w:docPart>
      <w:docPartPr>
        <w:name w:val="5EE9554D5C9343548F66E00A430C821A"/>
        <w:style w:val=""/>
        <w:category>
          <w:name w:val="常规"/>
          <w:gallery w:val="placeholder"/>
        </w:category>
        <w:types>
          <w:type w:val="bbPlcHdr"/>
        </w:types>
        <w:behaviors>
          <w:behavior w:val="content"/>
        </w:behaviors>
        <w:description w:val=""/>
        <w:guid w:val="{6CB51D98-EB7E-47F5-8186-2C194823EDD6}"/>
      </w:docPartPr>
      <w:docPartBody>
        <w:p w14:paraId="66CDFFAD">
          <w:pPr>
            <w:pStyle w:val="6"/>
            <w:rPr>
              <w:rFonts w:hint="eastAsia"/>
            </w:rPr>
          </w:pPr>
          <w:r>
            <w:rPr>
              <w:rStyle w:val="4"/>
              <w:rFonts w:hint="eastAsia"/>
            </w:rPr>
            <w:t>选择一项。</w:t>
          </w:r>
        </w:p>
      </w:docPartBody>
    </w:docPart>
    <w:docPart>
      <w:docPartPr>
        <w:name w:val="DB192F149D7842B3AA80C5CD7F7D2BE2"/>
        <w:style w:val=""/>
        <w:category>
          <w:name w:val="常规"/>
          <w:gallery w:val="placeholder"/>
        </w:category>
        <w:types>
          <w:type w:val="bbPlcHdr"/>
        </w:types>
        <w:behaviors>
          <w:behavior w:val="content"/>
        </w:behaviors>
        <w:description w:val=""/>
        <w:guid w:val="{7D7B042F-FFB9-4761-9D49-2D7804031FB8}"/>
      </w:docPartPr>
      <w:docPartBody>
        <w:p w14:paraId="3E5955A6">
          <w:pPr>
            <w:pStyle w:val="7"/>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431D"/>
    <w:rsid w:val="0001431D"/>
    <w:rsid w:val="00142C77"/>
    <w:rsid w:val="00296EE9"/>
    <w:rsid w:val="00493866"/>
    <w:rsid w:val="004F06D7"/>
    <w:rsid w:val="00C252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4DEE2BBF98FA4223903E8B3A1CCFDBD1"/>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5EE9554D5C9343548F66E00A430C821A"/>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DB192F149D7842B3AA80C5CD7F7D2BE2"/>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F03465-9310-430F-A8A0-DFC80D2CA8A6}">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32</Pages>
  <Words>2525</Words>
  <Characters>2920</Characters>
  <Lines>807</Lines>
  <Paragraphs>1034</Paragraphs>
  <TotalTime>0</TotalTime>
  <ScaleCrop>false</ScaleCrop>
  <LinksUpToDate>false</LinksUpToDate>
  <CharactersWithSpaces>3001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2025-06-18T05:34:00Z</dcterms:created>
  <dc:creator>hp</dc:creator>
  <dc:description>&lt;config cover="true" show_menu="true" version="1.0.0" doctype="SDKXY"&gt;_x000d_
&lt;/config&gt;</dc:description>
  <cp:lastModifiedBy>晗～</cp:lastModifiedBy>
  <cp:lastPrinted>2020-08-30T10:00:00Z</cp:lastPrinted>
  <dcterms:modified xsi:type="dcterms:W3CDTF">2025-06-22T08:02:31Z</dcterms:modified>
  <dc:title>地方标准</dc:title>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eyJoZGlkIjoiZGQ1ZDg2NTA3NTIwMWViNGU4ZWQzOTY2MWJhM2I0N2MiLCJ1c2VySWQiOiI1MjA3MjE1NjkifQ==</vt:lpwstr>
  </property>
  <property fmtid="{D5CDD505-2E9C-101B-9397-08002B2CF9AE}" pid="15" name="KSOProductBuildVer">
    <vt:lpwstr>2052-12.1.0.21541</vt:lpwstr>
  </property>
  <property fmtid="{D5CDD505-2E9C-101B-9397-08002B2CF9AE}" pid="16" name="ICV">
    <vt:lpwstr>559489970F954967B5C2E2BC2B036076_12</vt:lpwstr>
  </property>
</Properties>
</file>