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85" w:rsidRDefault="00DE5785" w:rsidP="00DE5785">
      <w:pPr>
        <w:rPr>
          <w:rFonts w:ascii="Times New Roman" w:eastAsia="方正黑体简体" w:hAnsi="Times New Roman" w:cs="Times New Roman"/>
        </w:rPr>
      </w:pPr>
      <w:r>
        <w:rPr>
          <w:rFonts w:ascii="方正黑体简体" w:eastAsia="方正黑体简体" w:hAnsi="Times New Roman" w:cs="Times New Roman"/>
        </w:rPr>
        <w:t>附件</w:t>
      </w:r>
      <w:r>
        <w:rPr>
          <w:rFonts w:ascii="Times New Roman" w:eastAsia="方正黑体简体" w:hAnsi="Times New Roman" w:cs="Times New Roman"/>
        </w:rPr>
        <w:t>2</w:t>
      </w:r>
    </w:p>
    <w:p w:rsidR="00DE5785" w:rsidRDefault="00DE5785" w:rsidP="00DE5785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/>
          <w:sz w:val="44"/>
          <w:szCs w:val="44"/>
        </w:rPr>
        <w:t>四川省市场监督管理局自贸试验区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方正小标宋简体" w:eastAsia="方正小标宋简体" w:hAnsi="Times New Roman" w:cs="Times New Roman"/>
          <w:sz w:val="44"/>
          <w:szCs w:val="44"/>
        </w:rPr>
        <w:t>证照分离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方正小标宋简体" w:eastAsia="方正小标宋简体" w:hAnsi="Times New Roman" w:cs="Times New Roman"/>
          <w:sz w:val="44"/>
          <w:szCs w:val="44"/>
        </w:rPr>
        <w:t>改革事项清单（</w:t>
      </w:r>
      <w:r>
        <w:rPr>
          <w:rFonts w:ascii="Times New Roman" w:eastAsia="方正小标宋简体" w:hAnsi="Times New Roman" w:cs="Times New Roman"/>
          <w:sz w:val="44"/>
          <w:szCs w:val="44"/>
        </w:rPr>
        <w:t>2021</w:t>
      </w:r>
      <w:r>
        <w:rPr>
          <w:rFonts w:ascii="方正小标宋简体" w:eastAsia="方正小标宋简体" w:hAnsi="Times New Roman" w:cs="Times New Roman"/>
          <w:sz w:val="44"/>
          <w:szCs w:val="44"/>
        </w:rPr>
        <w:t>年版）</w:t>
      </w:r>
    </w:p>
    <w:bookmarkEnd w:id="0"/>
    <w:p w:rsidR="00DE5785" w:rsidRDefault="00DE5785" w:rsidP="00DE5785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8"/>
        <w:gridCol w:w="883"/>
        <w:gridCol w:w="1040"/>
        <w:gridCol w:w="4536"/>
        <w:gridCol w:w="5594"/>
        <w:gridCol w:w="759"/>
      </w:tblGrid>
      <w:tr w:rsidR="00DE5785" w:rsidTr="00560E94">
        <w:trPr>
          <w:trHeight w:val="3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改革</w:t>
            </w:r>
          </w:p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事项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四川事项</w:t>
            </w:r>
          </w:p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审批</w:t>
            </w:r>
          </w:p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层级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改革举措</w:t>
            </w:r>
          </w:p>
        </w:tc>
        <w:tc>
          <w:tcPr>
            <w:tcW w:w="5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监管措施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责任</w:t>
            </w:r>
          </w:p>
          <w:p w:rsidR="00DE5785" w:rsidRDefault="00DE5785" w:rsidP="00560E94">
            <w:pPr>
              <w:widowControl/>
              <w:adjustRightInd w:val="0"/>
              <w:spacing w:line="320" w:lineRule="exact"/>
              <w:jc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</w:rPr>
              <w:t>处室</w:t>
            </w:r>
          </w:p>
        </w:tc>
      </w:tr>
      <w:tr w:rsidR="00DE5785" w:rsidTr="00560E94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jc w:val="left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jc w:val="left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jc w:val="left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jc w:val="left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jc w:val="left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jc w:val="left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jc w:val="left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</w:p>
        </w:tc>
      </w:tr>
      <w:tr w:rsidR="00DE5785" w:rsidTr="00560E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承担国家法定计量检定机构任务授权审批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承担国家法定计量检定机构任务授权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省、市、县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直接取消审批：在自由贸易试验区取消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方正仿宋简体" w:hAnsi="Times New Roman" w:cs="Times New Roman"/>
                <w:sz w:val="21"/>
                <w:szCs w:val="21"/>
              </w:rPr>
              <w:t>承担国家法定计量检定机构任务授权审批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Fonts w:ascii="方正仿宋简体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开展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方正仿宋简体" w:hAnsi="Times New Roman" w:cs="Times New Roman"/>
                <w:sz w:val="21"/>
                <w:szCs w:val="21"/>
              </w:rPr>
              <w:t>双随机、</w:t>
            </w:r>
            <w:proofErr w:type="gramStart"/>
            <w:r>
              <w:rPr>
                <w:rFonts w:ascii="方正仿宋简体" w:hAnsi="Times New Roman" w:cs="Times New Roman"/>
                <w:sz w:val="21"/>
                <w:szCs w:val="21"/>
              </w:rPr>
              <w:t>一</w:t>
            </w:r>
            <w:proofErr w:type="gramEnd"/>
            <w:r>
              <w:rPr>
                <w:rFonts w:ascii="方正仿宋简体" w:hAnsi="Times New Roman" w:cs="Times New Roman"/>
                <w:sz w:val="21"/>
                <w:szCs w:val="21"/>
              </w:rPr>
              <w:t>公开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Fonts w:ascii="方正仿宋简体" w:hAnsi="Times New Roman" w:cs="Times New Roman"/>
                <w:sz w:val="21"/>
                <w:szCs w:val="21"/>
              </w:rPr>
              <w:t>监管，发现违法违规行为要依法查处并公开结果。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对通过投诉举报等渠道反映问题多的机构实施重点监管。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加强信用监管，依法向社会公布法定计量检定机构信用状况，依法依规对失信主体开展失信惩戒。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计量处、行政审批处</w:t>
            </w:r>
          </w:p>
        </w:tc>
      </w:tr>
      <w:tr w:rsidR="00DE5785" w:rsidTr="00560E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食品生产许可（低风险食品）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食品（含保健食品）生产许可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实行告知承诺：制作并公布告知承诺书格式文本，一次性告知申请人许可条件和所需材料。对申请人自愿承诺符合许可条件并按要求提交材料的，当场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作出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许可决定。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加强证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后监督检查，在发放许可证后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ascii="方正仿宋简体" w:hAnsi="Times New Roman" w:cs="Times New Roman"/>
                <w:sz w:val="21"/>
                <w:szCs w:val="21"/>
              </w:rPr>
              <w:t>个工作日内对食品生产企业实施监督检查。对检查发现不能保证食品安全的企业撤销食品生产许可，对违法违规企业依法查处。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785" w:rsidRDefault="00DE5785" w:rsidP="00560E94">
            <w:pPr>
              <w:widowControl/>
              <w:adjustRightInd w:val="0"/>
              <w:spacing w:line="4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食品生产处</w:t>
            </w:r>
          </w:p>
          <w:p w:rsidR="00DE5785" w:rsidRDefault="00DE5785" w:rsidP="00560E94">
            <w:pPr>
              <w:spacing w:line="400" w:lineRule="exac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</w:tbl>
    <w:p w:rsidR="004422A4" w:rsidRPr="00DE5785" w:rsidRDefault="004422A4" w:rsidP="00DE5785">
      <w:pPr>
        <w:spacing w:line="600" w:lineRule="exact"/>
        <w:jc w:val="left"/>
        <w:rPr>
          <w:rFonts w:ascii="Times New Roman" w:hAnsi="Times New Roman" w:cs="Times New Roman"/>
        </w:rPr>
      </w:pPr>
    </w:p>
    <w:sectPr w:rsidR="004422A4" w:rsidRPr="00DE5785" w:rsidSect="00DE57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85"/>
    <w:rsid w:val="004422A4"/>
    <w:rsid w:val="00D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85"/>
    <w:pPr>
      <w:widowControl w:val="0"/>
      <w:jc w:val="both"/>
    </w:pPr>
    <w:rPr>
      <w:rFonts w:ascii="Calibri" w:eastAsia="方正仿宋简体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85"/>
    <w:pPr>
      <w:widowControl w:val="0"/>
      <w:jc w:val="both"/>
    </w:pPr>
    <w:rPr>
      <w:rFonts w:ascii="Calibri" w:eastAsia="方正仿宋简体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2021-07-01T07:37:00Z</dcterms:created>
  <dcterms:modified xsi:type="dcterms:W3CDTF">2021-07-01T07:38:00Z</dcterms:modified>
</cp:coreProperties>
</file>