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0B" w:rsidRPr="00007477" w:rsidRDefault="00BC1E0B" w:rsidP="00B26D20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007477">
        <w:rPr>
          <w:rFonts w:ascii="Times New Roman" w:eastAsia="黑体" w:hAnsi="Times New Roman"/>
          <w:sz w:val="32"/>
          <w:szCs w:val="32"/>
        </w:rPr>
        <w:t>附件</w:t>
      </w:r>
      <w:r w:rsidRPr="00007477">
        <w:rPr>
          <w:rFonts w:ascii="Times New Roman" w:eastAsia="黑体" w:hAnsi="Times New Roman" w:hint="eastAsia"/>
          <w:sz w:val="32"/>
          <w:szCs w:val="32"/>
        </w:rPr>
        <w:t>4</w:t>
      </w:r>
    </w:p>
    <w:p w:rsidR="00BC1E0B" w:rsidRPr="00007477" w:rsidRDefault="00BC1E0B" w:rsidP="00B26D20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BC1E0B" w:rsidRPr="00007477" w:rsidRDefault="00BC1E0B" w:rsidP="00B26D20">
      <w:pPr>
        <w:spacing w:line="6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007477">
        <w:rPr>
          <w:rFonts w:ascii="方正小标宋简体" w:eastAsia="方正小标宋简体" w:hAnsi="Times New Roman" w:hint="eastAsia"/>
          <w:sz w:val="44"/>
          <w:szCs w:val="44"/>
        </w:rPr>
        <w:t>部分不合格项目解读</w:t>
      </w:r>
    </w:p>
    <w:p w:rsidR="00BC1E0B" w:rsidRPr="00007477" w:rsidRDefault="00BC1E0B" w:rsidP="00B26D20">
      <w:pPr>
        <w:widowControl/>
        <w:spacing w:line="600" w:lineRule="exact"/>
        <w:rPr>
          <w:rFonts w:ascii="黑体" w:eastAsia="黑体" w:hAnsiTheme="minorEastAsia"/>
          <w:spacing w:val="-12"/>
          <w:sz w:val="36"/>
          <w:szCs w:val="32"/>
        </w:rPr>
      </w:pPr>
    </w:p>
    <w:p w:rsidR="0097452B" w:rsidRPr="00007477" w:rsidRDefault="00007477" w:rsidP="00007477">
      <w:pPr>
        <w:widowControl/>
        <w:spacing w:line="600" w:lineRule="exact"/>
        <w:ind w:firstLineChars="200" w:firstLine="592"/>
        <w:rPr>
          <w:rFonts w:ascii="黑体" w:eastAsia="黑体" w:hAnsiTheme="minorEastAsia"/>
          <w:spacing w:val="-12"/>
          <w:sz w:val="32"/>
          <w:szCs w:val="32"/>
        </w:rPr>
      </w:pPr>
      <w:r w:rsidRPr="00007477">
        <w:rPr>
          <w:rFonts w:ascii="黑体" w:eastAsia="黑体" w:hAnsiTheme="minorEastAsia" w:hint="eastAsia"/>
          <w:spacing w:val="-12"/>
          <w:sz w:val="32"/>
          <w:szCs w:val="32"/>
        </w:rPr>
        <w:t>一</w:t>
      </w:r>
      <w:r w:rsidR="00822155" w:rsidRPr="00007477">
        <w:rPr>
          <w:rFonts w:ascii="黑体" w:eastAsia="黑体" w:hAnsiTheme="minorEastAsia" w:hint="eastAsia"/>
          <w:spacing w:val="-12"/>
          <w:sz w:val="32"/>
          <w:szCs w:val="32"/>
        </w:rPr>
        <w:t>、</w:t>
      </w:r>
      <w:r w:rsidR="0097452B" w:rsidRPr="00007477">
        <w:rPr>
          <w:rFonts w:ascii="黑体" w:eastAsia="黑体" w:hAnsiTheme="minorEastAsia" w:hint="eastAsia"/>
          <w:spacing w:val="-12"/>
          <w:sz w:val="32"/>
          <w:szCs w:val="32"/>
        </w:rPr>
        <w:t>恩诺沙星（以恩诺沙星与环丙沙星之和计）和氧氟沙星</w:t>
      </w:r>
    </w:p>
    <w:p w:rsidR="0097452B" w:rsidRPr="00007477" w:rsidRDefault="0097452B" w:rsidP="00007477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07477">
        <w:rPr>
          <w:rFonts w:ascii="Times New Roman" w:eastAsia="仿宋_GB2312" w:hAnsi="Times New Roman" w:cs="Times New Roman" w:hint="eastAsia"/>
          <w:sz w:val="32"/>
          <w:szCs w:val="32"/>
        </w:rPr>
        <w:t>喹诺酮类药物具有广谱抗菌作用，其抗菌力强，用于治疗动物的皮肤感染、呼吸道感染等，</w:t>
      </w:r>
      <w:r w:rsidR="00455F10" w:rsidRPr="00007477"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 w:rsidRPr="00007477">
        <w:rPr>
          <w:rFonts w:ascii="Times New Roman" w:eastAsia="仿宋_GB2312" w:hAnsi="Times New Roman" w:cs="Times New Roman" w:hint="eastAsia"/>
          <w:sz w:val="32"/>
          <w:szCs w:val="32"/>
        </w:rPr>
        <w:t>养殖</w:t>
      </w:r>
      <w:r w:rsidR="00455F10" w:rsidRPr="00007477">
        <w:rPr>
          <w:rFonts w:ascii="Times New Roman" w:eastAsia="仿宋_GB2312" w:hAnsi="Times New Roman" w:cs="Times New Roman" w:hint="eastAsia"/>
          <w:sz w:val="32"/>
          <w:szCs w:val="32"/>
        </w:rPr>
        <w:t>业中应用非常普遍。</w:t>
      </w:r>
    </w:p>
    <w:p w:rsidR="0097452B" w:rsidRPr="00007477" w:rsidRDefault="0085476D" w:rsidP="00B26D20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07477">
        <w:rPr>
          <w:rFonts w:ascii="Times New Roman" w:eastAsia="仿宋_GB2312" w:hAnsi="Times New Roman" w:cs="Times New Roman" w:hint="eastAsia"/>
          <w:sz w:val="32"/>
          <w:szCs w:val="32"/>
        </w:rPr>
        <w:t>《动物性食品中兽药最高残留限量》（农业部公告第</w:t>
      </w:r>
      <w:r w:rsidRPr="00007477">
        <w:rPr>
          <w:rFonts w:ascii="Times New Roman" w:eastAsia="仿宋_GB2312" w:hAnsi="Times New Roman" w:cs="Times New Roman" w:hint="eastAsia"/>
          <w:sz w:val="32"/>
          <w:szCs w:val="32"/>
        </w:rPr>
        <w:t>235</w:t>
      </w:r>
      <w:r w:rsidRPr="00007477"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  <w:r w:rsidR="0097452B" w:rsidRPr="00007477">
        <w:rPr>
          <w:rFonts w:ascii="Times New Roman" w:eastAsia="仿宋_GB2312" w:hAnsi="Times New Roman" w:cs="Times New Roman" w:hint="eastAsia"/>
          <w:sz w:val="32"/>
          <w:szCs w:val="32"/>
        </w:rPr>
        <w:t>规定</w:t>
      </w:r>
      <w:r w:rsidR="005E4BDF" w:rsidRPr="00007477">
        <w:rPr>
          <w:rFonts w:ascii="Times New Roman" w:eastAsia="仿宋_GB2312" w:hAnsi="Times New Roman" w:cs="Times New Roman" w:hint="eastAsia"/>
          <w:sz w:val="32"/>
          <w:szCs w:val="32"/>
        </w:rPr>
        <w:t>畜肉、禽肉</w:t>
      </w:r>
      <w:r w:rsidR="00455F10" w:rsidRPr="00007477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="0097452B" w:rsidRPr="00007477">
        <w:rPr>
          <w:rFonts w:ascii="Times New Roman" w:eastAsia="仿宋_GB2312" w:hAnsi="Times New Roman" w:cs="Times New Roman" w:hint="eastAsia"/>
          <w:sz w:val="32"/>
          <w:szCs w:val="32"/>
        </w:rPr>
        <w:t>水产品中恩诺沙星（以恩诺沙星与环丙沙星之和计）残留量不得超过</w:t>
      </w:r>
      <w:r w:rsidR="0097452B" w:rsidRPr="00007477">
        <w:rPr>
          <w:rFonts w:ascii="Times New Roman" w:eastAsia="仿宋_GB2312" w:hAnsi="Times New Roman" w:cs="Times New Roman" w:hint="eastAsia"/>
          <w:sz w:val="32"/>
          <w:szCs w:val="32"/>
        </w:rPr>
        <w:t>100</w:t>
      </w:r>
      <w:r w:rsidR="002113D7" w:rsidRPr="00007477">
        <w:rPr>
          <w:rFonts w:ascii="Times New Roman" w:eastAsia="仿宋_GB2312" w:hAnsi="Times New Roman" w:cs="Times New Roman"/>
          <w:sz w:val="32"/>
          <w:szCs w:val="32"/>
        </w:rPr>
        <w:t> </w:t>
      </w:r>
      <w:proofErr w:type="spellStart"/>
      <w:r w:rsidR="0097452B" w:rsidRPr="00007477">
        <w:rPr>
          <w:rFonts w:ascii="Times New Roman" w:eastAsia="仿宋_GB2312" w:hAnsi="Times New Roman" w:cs="Times New Roman"/>
          <w:sz w:val="32"/>
          <w:szCs w:val="32"/>
        </w:rPr>
        <w:t>μ</w:t>
      </w:r>
      <w:r w:rsidR="0097452B" w:rsidRPr="00007477">
        <w:rPr>
          <w:rFonts w:ascii="Times New Roman" w:eastAsia="仿宋_GB2312" w:hAnsi="Times New Roman" w:cs="Times New Roman" w:hint="eastAsia"/>
          <w:sz w:val="32"/>
          <w:szCs w:val="32"/>
        </w:rPr>
        <w:t>g</w:t>
      </w:r>
      <w:proofErr w:type="spellEnd"/>
      <w:r w:rsidR="0097452B" w:rsidRPr="00007477">
        <w:rPr>
          <w:rFonts w:ascii="Times New Roman" w:eastAsia="仿宋_GB2312" w:hAnsi="Times New Roman" w:cs="Times New Roman" w:hint="eastAsia"/>
          <w:sz w:val="32"/>
          <w:szCs w:val="32"/>
        </w:rPr>
        <w:t>/kg</w:t>
      </w:r>
      <w:r w:rsidR="005E4BDF" w:rsidRPr="00007477">
        <w:rPr>
          <w:rFonts w:ascii="Times New Roman" w:eastAsia="仿宋_GB2312" w:hAnsi="Times New Roman" w:cs="Times New Roman" w:hint="eastAsia"/>
          <w:sz w:val="32"/>
          <w:szCs w:val="32"/>
        </w:rPr>
        <w:t>，但是在产蛋鸡中禁用（鸡蛋中不得检出）</w:t>
      </w:r>
      <w:r w:rsidR="0097452B" w:rsidRPr="00007477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97452B" w:rsidRPr="00007477">
        <w:rPr>
          <w:rFonts w:ascii="Times New Roman" w:eastAsia="仿宋_GB2312" w:hAnsi="Times New Roman" w:cs="Times New Roman" w:hint="eastAsia"/>
          <w:sz w:val="32"/>
          <w:szCs w:val="32"/>
        </w:rPr>
        <w:t>2015</w:t>
      </w:r>
      <w:r w:rsidR="0097452B" w:rsidRPr="00007477">
        <w:rPr>
          <w:rFonts w:ascii="Times New Roman" w:eastAsia="仿宋_GB2312" w:hAnsi="Times New Roman" w:cs="Times New Roman" w:hint="eastAsia"/>
          <w:sz w:val="32"/>
          <w:szCs w:val="32"/>
        </w:rPr>
        <w:t>年发布的农业部公告第</w:t>
      </w:r>
      <w:r w:rsidR="0097452B" w:rsidRPr="00007477">
        <w:rPr>
          <w:rFonts w:ascii="Times New Roman" w:eastAsia="仿宋_GB2312" w:hAnsi="Times New Roman" w:cs="Times New Roman" w:hint="eastAsia"/>
          <w:sz w:val="32"/>
          <w:szCs w:val="32"/>
        </w:rPr>
        <w:t>2292</w:t>
      </w:r>
      <w:r w:rsidR="0097452B" w:rsidRPr="00007477">
        <w:rPr>
          <w:rFonts w:ascii="Times New Roman" w:eastAsia="仿宋_GB2312" w:hAnsi="Times New Roman" w:cs="Times New Roman" w:hint="eastAsia"/>
          <w:sz w:val="32"/>
          <w:szCs w:val="32"/>
        </w:rPr>
        <w:t>号明令禁止在食品动物中使用氧氟沙星原料药的各种盐、酯及其各种制剂。</w:t>
      </w:r>
    </w:p>
    <w:p w:rsidR="006516E0" w:rsidRPr="00007477" w:rsidRDefault="0097452B" w:rsidP="00861BE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07477">
        <w:rPr>
          <w:rFonts w:ascii="Times New Roman" w:eastAsia="仿宋_GB2312" w:hAnsi="Times New Roman" w:cs="Times New Roman" w:hint="eastAsia"/>
          <w:sz w:val="32"/>
          <w:szCs w:val="32"/>
        </w:rPr>
        <w:t>喹诺酮类药物超标的原因可能是养殖户不规范</w:t>
      </w:r>
      <w:r w:rsidR="00EE0704" w:rsidRPr="00007477">
        <w:rPr>
          <w:rFonts w:ascii="Times New Roman" w:eastAsia="仿宋_GB2312" w:hAnsi="Times New Roman" w:cs="Times New Roman" w:hint="eastAsia"/>
          <w:sz w:val="32"/>
          <w:szCs w:val="32"/>
        </w:rPr>
        <w:t>地</w:t>
      </w:r>
      <w:r w:rsidRPr="00007477">
        <w:rPr>
          <w:rFonts w:ascii="Times New Roman" w:eastAsia="仿宋_GB2312" w:hAnsi="Times New Roman" w:cs="Times New Roman" w:hint="eastAsia"/>
          <w:sz w:val="32"/>
          <w:szCs w:val="32"/>
        </w:rPr>
        <w:t>使用兽药，并不严格遵守休药期的规定造成的。喹诺酮类药物的过量摄入可</w:t>
      </w:r>
      <w:r w:rsidR="00007477">
        <w:rPr>
          <w:rFonts w:ascii="Times New Roman" w:eastAsia="仿宋_GB2312" w:hAnsi="Times New Roman" w:cs="Times New Roman" w:hint="eastAsia"/>
          <w:sz w:val="32"/>
          <w:szCs w:val="32"/>
        </w:rPr>
        <w:t>能</w:t>
      </w:r>
      <w:r w:rsidRPr="00007477">
        <w:rPr>
          <w:rFonts w:ascii="Times New Roman" w:eastAsia="仿宋_GB2312" w:hAnsi="Times New Roman" w:cs="Times New Roman" w:hint="eastAsia"/>
          <w:sz w:val="32"/>
          <w:szCs w:val="32"/>
        </w:rPr>
        <w:t>引起头晕等中枢神经系统疾病，产生肝脏损伤，引起关节水肿，腹泻、恶心和呕吐等胃肠道反应</w:t>
      </w:r>
    </w:p>
    <w:p w:rsidR="00A66F57" w:rsidRPr="00007477" w:rsidRDefault="00007477" w:rsidP="00B26D20">
      <w:pPr>
        <w:widowControl/>
        <w:spacing w:line="600" w:lineRule="exact"/>
        <w:ind w:firstLineChars="200" w:firstLine="592"/>
        <w:rPr>
          <w:rFonts w:ascii="黑体" w:eastAsia="黑体" w:hAnsiTheme="minorEastAsia"/>
          <w:spacing w:val="-12"/>
          <w:sz w:val="32"/>
          <w:szCs w:val="32"/>
        </w:rPr>
      </w:pPr>
      <w:r w:rsidRPr="00007477">
        <w:rPr>
          <w:rFonts w:ascii="黑体" w:eastAsia="黑体" w:hAnsiTheme="minorEastAsia" w:hint="eastAsia"/>
          <w:spacing w:val="-12"/>
          <w:sz w:val="32"/>
          <w:szCs w:val="32"/>
        </w:rPr>
        <w:t>二</w:t>
      </w:r>
      <w:r w:rsidR="00822155" w:rsidRPr="00007477">
        <w:rPr>
          <w:rFonts w:ascii="黑体" w:eastAsia="黑体" w:hAnsiTheme="minorEastAsia" w:hint="eastAsia"/>
          <w:spacing w:val="-12"/>
          <w:sz w:val="32"/>
          <w:szCs w:val="32"/>
        </w:rPr>
        <w:t>、</w:t>
      </w:r>
      <w:r w:rsidR="00A66F57" w:rsidRPr="00007477">
        <w:rPr>
          <w:rFonts w:ascii="黑体" w:eastAsia="黑体" w:hAnsiTheme="minorEastAsia" w:hint="eastAsia"/>
          <w:spacing w:val="-12"/>
          <w:sz w:val="32"/>
          <w:szCs w:val="32"/>
        </w:rPr>
        <w:t>地西泮</w:t>
      </w:r>
    </w:p>
    <w:p w:rsidR="00A66F57" w:rsidRPr="00007477" w:rsidRDefault="00A66F57" w:rsidP="00B26D20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07477">
        <w:rPr>
          <w:rFonts w:ascii="Times New Roman" w:eastAsia="仿宋_GB2312" w:hAnsi="Times New Roman" w:cs="Times New Roman" w:hint="eastAsia"/>
          <w:sz w:val="32"/>
          <w:szCs w:val="32"/>
        </w:rPr>
        <w:t>地西泮又名安定，为镇静剂类药物，主要用于焦虑、镇静催眠，还可用于抗癫痫和抗惊厥。《动物性食品中兽药最高残留限量》（农业部公告第</w:t>
      </w:r>
      <w:r w:rsidRPr="00007477">
        <w:rPr>
          <w:rFonts w:ascii="Times New Roman" w:eastAsia="仿宋_GB2312" w:hAnsi="Times New Roman" w:cs="Times New Roman" w:hint="eastAsia"/>
          <w:sz w:val="32"/>
          <w:szCs w:val="32"/>
        </w:rPr>
        <w:t>235</w:t>
      </w:r>
      <w:r w:rsidRPr="00007477">
        <w:rPr>
          <w:rFonts w:ascii="Times New Roman" w:eastAsia="仿宋_GB2312" w:hAnsi="Times New Roman" w:cs="Times New Roman" w:hint="eastAsia"/>
          <w:sz w:val="32"/>
          <w:szCs w:val="32"/>
        </w:rPr>
        <w:t>号）中规定，地西泮在动物性食品中不得检出。</w:t>
      </w:r>
    </w:p>
    <w:p w:rsidR="006516E0" w:rsidRPr="00007477" w:rsidRDefault="00A66F57" w:rsidP="00861BE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07477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地西泮可以降低新鲜活鱼对外界的感知能力，降低新陈代谢，保证其经过运输后仍然鲜活。但地西泮在鱼体内残留是永久性的，可以通过食物链传递给人类。地西泮超过一定剂量可能会引起人体嗜睡疲乏等</w:t>
      </w:r>
      <w:r w:rsidR="00007477">
        <w:rPr>
          <w:rFonts w:ascii="Times New Roman" w:eastAsia="仿宋_GB2312" w:hAnsi="Times New Roman" w:cs="Times New Roman" w:hint="eastAsia"/>
          <w:sz w:val="32"/>
          <w:szCs w:val="32"/>
        </w:rPr>
        <w:t>症状</w:t>
      </w:r>
      <w:r w:rsidRPr="00007477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C7B8F" w:rsidRPr="00007477" w:rsidRDefault="00007477" w:rsidP="00B26D20">
      <w:pPr>
        <w:widowControl/>
        <w:spacing w:line="600" w:lineRule="exact"/>
        <w:ind w:firstLineChars="200" w:firstLine="592"/>
        <w:rPr>
          <w:rFonts w:ascii="黑体" w:eastAsia="黑体" w:hAnsiTheme="minorEastAsia"/>
          <w:spacing w:val="-12"/>
          <w:sz w:val="32"/>
          <w:szCs w:val="32"/>
        </w:rPr>
      </w:pPr>
      <w:r w:rsidRPr="00007477">
        <w:rPr>
          <w:rFonts w:ascii="黑体" w:eastAsia="黑体" w:hAnsiTheme="minorEastAsia" w:hint="eastAsia"/>
          <w:spacing w:val="-12"/>
          <w:sz w:val="32"/>
          <w:szCs w:val="32"/>
        </w:rPr>
        <w:t>三</w:t>
      </w:r>
      <w:r w:rsidR="00822155" w:rsidRPr="00007477">
        <w:rPr>
          <w:rFonts w:ascii="黑体" w:eastAsia="黑体" w:hAnsiTheme="minorEastAsia" w:hint="eastAsia"/>
          <w:spacing w:val="-12"/>
          <w:sz w:val="32"/>
          <w:szCs w:val="32"/>
        </w:rPr>
        <w:t>、</w:t>
      </w:r>
      <w:r w:rsidR="009C7B8F" w:rsidRPr="00007477">
        <w:rPr>
          <w:rFonts w:ascii="黑体" w:eastAsia="黑体" w:hAnsiTheme="minorEastAsia" w:hint="eastAsia"/>
          <w:spacing w:val="-12"/>
          <w:sz w:val="32"/>
          <w:szCs w:val="32"/>
        </w:rPr>
        <w:t>孔雀石绿</w:t>
      </w:r>
    </w:p>
    <w:p w:rsidR="009C7B8F" w:rsidRPr="00007477" w:rsidRDefault="009C7B8F" w:rsidP="00B26D20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07477">
        <w:rPr>
          <w:rFonts w:ascii="Times New Roman" w:eastAsia="仿宋_GB2312" w:hAnsi="Times New Roman" w:cs="Times New Roman" w:hint="eastAsia"/>
          <w:sz w:val="32"/>
          <w:szCs w:val="32"/>
        </w:rPr>
        <w:t>孔雀石绿是一种合成的</w:t>
      </w:r>
      <w:r w:rsidRPr="00007477">
        <w:rPr>
          <w:rFonts w:ascii="Times New Roman" w:eastAsia="仿宋_GB2312" w:hAnsi="Times New Roman" w:cs="Times New Roman" w:hint="eastAsia"/>
          <w:sz w:val="32"/>
          <w:szCs w:val="32"/>
        </w:rPr>
        <w:t xml:space="preserve"> N-</w:t>
      </w:r>
      <w:r w:rsidRPr="00007477">
        <w:rPr>
          <w:rFonts w:ascii="Times New Roman" w:eastAsia="仿宋_GB2312" w:hAnsi="Times New Roman" w:cs="Times New Roman" w:hint="eastAsia"/>
          <w:sz w:val="32"/>
          <w:szCs w:val="32"/>
        </w:rPr>
        <w:t>甲基三苯甲烷类工业染料，过去常被用于制纸业、制陶业、纺织业、皮革业、食品业等，曾一度用作于食品染色剂。在被证实具有抗菌杀虫等药效后，许多国家曾将其广泛用作驱虫剂、杀菌剂和防腐剂，用于杀灭原生动物、水产动物体外的寄生虫等，也用于预防和治疗鱼卵和鱼体的水霉病。</w:t>
      </w:r>
    </w:p>
    <w:p w:rsidR="009C7B8F" w:rsidRPr="00007477" w:rsidRDefault="009C7B8F" w:rsidP="00B26D20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07477">
        <w:rPr>
          <w:rFonts w:ascii="Times New Roman" w:eastAsia="仿宋_GB2312" w:hAnsi="Times New Roman" w:cs="Times New Roman" w:hint="eastAsia"/>
          <w:sz w:val="32"/>
          <w:szCs w:val="32"/>
        </w:rPr>
        <w:t>《动物性食品中兽药最高残留限量》（农业部公告第</w:t>
      </w:r>
      <w:r w:rsidRPr="00007477">
        <w:rPr>
          <w:rFonts w:ascii="Times New Roman" w:eastAsia="仿宋_GB2312" w:hAnsi="Times New Roman" w:cs="Times New Roman" w:hint="eastAsia"/>
          <w:sz w:val="32"/>
          <w:szCs w:val="32"/>
        </w:rPr>
        <w:t>235</w:t>
      </w:r>
      <w:r w:rsidRPr="00007477">
        <w:rPr>
          <w:rFonts w:ascii="Times New Roman" w:eastAsia="仿宋_GB2312" w:hAnsi="Times New Roman" w:cs="Times New Roman" w:hint="eastAsia"/>
          <w:sz w:val="32"/>
          <w:szCs w:val="32"/>
        </w:rPr>
        <w:t>号）中规定，孔雀石绿为禁止使用的药物，在动物性食品中不得检出。一些不法商贩会在</w:t>
      </w:r>
      <w:r w:rsidR="00F67F1E" w:rsidRPr="00007477">
        <w:rPr>
          <w:rFonts w:ascii="Times New Roman" w:eastAsia="仿宋_GB2312" w:hAnsi="Times New Roman" w:cs="Times New Roman" w:hint="eastAsia"/>
          <w:sz w:val="32"/>
          <w:szCs w:val="32"/>
        </w:rPr>
        <w:t>新鲜活鱼</w:t>
      </w:r>
      <w:r w:rsidRPr="00007477">
        <w:rPr>
          <w:rFonts w:ascii="Times New Roman" w:eastAsia="仿宋_GB2312" w:hAnsi="Times New Roman" w:cs="Times New Roman" w:hint="eastAsia"/>
          <w:sz w:val="32"/>
          <w:szCs w:val="32"/>
        </w:rPr>
        <w:t>的运输过程中，加入孔雀石绿，</w:t>
      </w:r>
      <w:r w:rsidR="00F67F1E" w:rsidRPr="00007477">
        <w:rPr>
          <w:rFonts w:ascii="Times New Roman" w:eastAsia="仿宋_GB2312" w:hAnsi="Times New Roman" w:cs="Times New Roman" w:hint="eastAsia"/>
          <w:sz w:val="32"/>
          <w:szCs w:val="32"/>
        </w:rPr>
        <w:t>降低新鲜活鱼的死亡率。</w:t>
      </w:r>
    </w:p>
    <w:p w:rsidR="00945FFD" w:rsidRPr="00007477" w:rsidRDefault="00F67F1E" w:rsidP="00861BE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07477">
        <w:rPr>
          <w:rFonts w:ascii="Times New Roman" w:eastAsia="仿宋_GB2312" w:hAnsi="Times New Roman" w:cs="Times New Roman" w:hint="eastAsia"/>
          <w:sz w:val="32"/>
          <w:szCs w:val="32"/>
        </w:rPr>
        <w:t>孔雀石绿在鱼体内和环境中残留时间都比较长，且进入人体后其代谢产物具有潜在的危害。长期食用检出孔雀石绿的食品，可能会对人体健康有一定影响。</w:t>
      </w:r>
    </w:p>
    <w:p w:rsidR="009E5A92" w:rsidRPr="00007477" w:rsidRDefault="00007477" w:rsidP="00B26D20">
      <w:pPr>
        <w:widowControl/>
        <w:spacing w:line="600" w:lineRule="exact"/>
        <w:ind w:firstLineChars="200" w:firstLine="592"/>
        <w:rPr>
          <w:rFonts w:ascii="黑体" w:eastAsia="黑体" w:hAnsiTheme="minorEastAsia"/>
          <w:spacing w:val="-12"/>
          <w:sz w:val="32"/>
          <w:szCs w:val="32"/>
        </w:rPr>
      </w:pPr>
      <w:r w:rsidRPr="00007477">
        <w:rPr>
          <w:rFonts w:ascii="黑体" w:eastAsia="黑体" w:hAnsiTheme="minorEastAsia" w:hint="eastAsia"/>
          <w:spacing w:val="-12"/>
          <w:sz w:val="32"/>
          <w:szCs w:val="32"/>
        </w:rPr>
        <w:t>四</w:t>
      </w:r>
      <w:r w:rsidR="00822155" w:rsidRPr="00007477">
        <w:rPr>
          <w:rFonts w:ascii="黑体" w:eastAsia="黑体" w:hAnsiTheme="minorEastAsia" w:hint="eastAsia"/>
          <w:spacing w:val="-12"/>
          <w:sz w:val="32"/>
          <w:szCs w:val="32"/>
        </w:rPr>
        <w:t>、</w:t>
      </w:r>
      <w:r w:rsidR="009E5A92" w:rsidRPr="00007477">
        <w:rPr>
          <w:rFonts w:ascii="黑体" w:eastAsia="黑体" w:hAnsiTheme="minorEastAsia" w:hint="eastAsia"/>
          <w:spacing w:val="-12"/>
          <w:sz w:val="32"/>
          <w:szCs w:val="32"/>
        </w:rPr>
        <w:t>克百威</w:t>
      </w:r>
    </w:p>
    <w:p w:rsidR="009E5A92" w:rsidRPr="00861BE1" w:rsidRDefault="009E5A92" w:rsidP="00861BE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07477">
        <w:rPr>
          <w:rFonts w:ascii="Times New Roman" w:eastAsia="仿宋_GB2312" w:hAnsi="Times New Roman" w:cs="Times New Roman" w:hint="eastAsia"/>
          <w:sz w:val="32"/>
          <w:szCs w:val="32"/>
        </w:rPr>
        <w:t>克百威是一种具有内吸、触杀和胃毒作用的氨基甲酸酯类杀虫剂。《食品安全国家标准</w:t>
      </w:r>
      <w:r w:rsidRPr="0000747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007477">
        <w:rPr>
          <w:rFonts w:ascii="Times New Roman" w:eastAsia="仿宋_GB2312" w:hAnsi="Times New Roman" w:cs="Times New Roman" w:hint="eastAsia"/>
          <w:sz w:val="32"/>
          <w:szCs w:val="32"/>
        </w:rPr>
        <w:t>食品中农药最大残留限量》（</w:t>
      </w:r>
      <w:r w:rsidRPr="00007477">
        <w:rPr>
          <w:rFonts w:ascii="Times New Roman" w:eastAsia="仿宋_GB2312" w:hAnsi="Times New Roman" w:cs="Times New Roman" w:hint="eastAsia"/>
          <w:sz w:val="32"/>
          <w:szCs w:val="32"/>
        </w:rPr>
        <w:t>GB 2763</w:t>
      </w:r>
      <w:r w:rsidR="00C46483" w:rsidRPr="0000747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07477">
        <w:rPr>
          <w:rFonts w:ascii="Times New Roman" w:eastAsia="仿宋_GB2312" w:hAnsi="Times New Roman" w:cs="Times New Roman" w:hint="eastAsia"/>
          <w:sz w:val="32"/>
          <w:szCs w:val="32"/>
        </w:rPr>
        <w:t>2016</w:t>
      </w:r>
      <w:r w:rsidRPr="00007477">
        <w:rPr>
          <w:rFonts w:ascii="Times New Roman" w:eastAsia="仿宋_GB2312" w:hAnsi="Times New Roman" w:cs="Times New Roman" w:hint="eastAsia"/>
          <w:sz w:val="32"/>
          <w:szCs w:val="32"/>
        </w:rPr>
        <w:t>）中规定，叶菜类蔬菜（如芹菜）和豆类蔬菜（如豇豆）中克百威残留限量值不得超过</w:t>
      </w:r>
      <w:r w:rsidRPr="00007477">
        <w:rPr>
          <w:rFonts w:ascii="Times New Roman" w:eastAsia="仿宋_GB2312" w:hAnsi="Times New Roman" w:cs="Times New Roman" w:hint="eastAsia"/>
          <w:sz w:val="32"/>
          <w:szCs w:val="32"/>
        </w:rPr>
        <w:t>0.02</w:t>
      </w:r>
      <w:r w:rsidR="002113D7" w:rsidRPr="00007477">
        <w:rPr>
          <w:rFonts w:ascii="Times New Roman" w:eastAsia="仿宋_GB2312" w:hAnsi="Times New Roman" w:cs="Times New Roman"/>
          <w:sz w:val="32"/>
          <w:szCs w:val="32"/>
        </w:rPr>
        <w:t> </w:t>
      </w:r>
      <w:r w:rsidRPr="00007477">
        <w:rPr>
          <w:rFonts w:ascii="Times New Roman" w:eastAsia="仿宋_GB2312" w:hAnsi="Times New Roman" w:cs="Times New Roman" w:hint="eastAsia"/>
          <w:sz w:val="32"/>
          <w:szCs w:val="32"/>
        </w:rPr>
        <w:t>mg/kg</w:t>
      </w:r>
      <w:r w:rsidRPr="00007477">
        <w:rPr>
          <w:rFonts w:ascii="Times New Roman" w:eastAsia="仿宋_GB2312" w:hAnsi="Times New Roman" w:cs="Times New Roman" w:hint="eastAsia"/>
          <w:sz w:val="32"/>
          <w:szCs w:val="32"/>
        </w:rPr>
        <w:t>。克</w:t>
      </w:r>
      <w:r w:rsidRPr="00007477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百威对鱼类、鸟类及野生动物有害，对在施药区觅食的鸟类可能致命，这可能会对其他鹰类及肉食鸟类造成危险</w:t>
      </w:r>
      <w:r w:rsidR="00731B02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007477">
        <w:rPr>
          <w:rFonts w:ascii="Times New Roman" w:eastAsia="仿宋_GB2312" w:hAnsi="Times New Roman" w:cs="Times New Roman" w:hint="eastAsia"/>
          <w:sz w:val="32"/>
          <w:szCs w:val="32"/>
        </w:rPr>
        <w:t>并且该农药不易降解，容易造成环境污染。</w:t>
      </w:r>
      <w:bookmarkStart w:id="0" w:name="_GoBack"/>
      <w:bookmarkEnd w:id="0"/>
    </w:p>
    <w:p w:rsidR="00E35D63" w:rsidRPr="003B12CF" w:rsidRDefault="00E35D63" w:rsidP="003B12CF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E35D63" w:rsidRPr="003B12CF" w:rsidSect="00B12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5B" w:rsidRDefault="0042135B" w:rsidP="002929E7">
      <w:r>
        <w:separator/>
      </w:r>
    </w:p>
  </w:endnote>
  <w:endnote w:type="continuationSeparator" w:id="0">
    <w:p w:rsidR="0042135B" w:rsidRDefault="0042135B" w:rsidP="0029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5B" w:rsidRDefault="0042135B" w:rsidP="002929E7">
      <w:r>
        <w:separator/>
      </w:r>
    </w:p>
  </w:footnote>
  <w:footnote w:type="continuationSeparator" w:id="0">
    <w:p w:rsidR="0042135B" w:rsidRDefault="0042135B" w:rsidP="00292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012271"/>
    <w:multiLevelType w:val="singleLevel"/>
    <w:tmpl w:val="A701227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6F57"/>
    <w:rsid w:val="00007477"/>
    <w:rsid w:val="000C1EAE"/>
    <w:rsid w:val="000E2400"/>
    <w:rsid w:val="001273DB"/>
    <w:rsid w:val="001B2D32"/>
    <w:rsid w:val="001D0479"/>
    <w:rsid w:val="002113D7"/>
    <w:rsid w:val="002659AD"/>
    <w:rsid w:val="002929E7"/>
    <w:rsid w:val="00311AAF"/>
    <w:rsid w:val="00335D60"/>
    <w:rsid w:val="00380E84"/>
    <w:rsid w:val="003B01DA"/>
    <w:rsid w:val="003B12CF"/>
    <w:rsid w:val="003B48E1"/>
    <w:rsid w:val="003D5691"/>
    <w:rsid w:val="0042135B"/>
    <w:rsid w:val="00455F10"/>
    <w:rsid w:val="00591A59"/>
    <w:rsid w:val="005E4BDF"/>
    <w:rsid w:val="00641F37"/>
    <w:rsid w:val="006516E0"/>
    <w:rsid w:val="00691EF2"/>
    <w:rsid w:val="00731B02"/>
    <w:rsid w:val="00794C6B"/>
    <w:rsid w:val="00822155"/>
    <w:rsid w:val="00847E9A"/>
    <w:rsid w:val="0085476D"/>
    <w:rsid w:val="00861BE1"/>
    <w:rsid w:val="00945FFD"/>
    <w:rsid w:val="0097452B"/>
    <w:rsid w:val="009C7B8F"/>
    <w:rsid w:val="009E5A92"/>
    <w:rsid w:val="00A66F57"/>
    <w:rsid w:val="00AB0F41"/>
    <w:rsid w:val="00B1241C"/>
    <w:rsid w:val="00B26D20"/>
    <w:rsid w:val="00B51FF7"/>
    <w:rsid w:val="00B72C94"/>
    <w:rsid w:val="00BC1E0B"/>
    <w:rsid w:val="00C46483"/>
    <w:rsid w:val="00D150E3"/>
    <w:rsid w:val="00DB079A"/>
    <w:rsid w:val="00DB4E41"/>
    <w:rsid w:val="00E35D63"/>
    <w:rsid w:val="00E57DCF"/>
    <w:rsid w:val="00EE0704"/>
    <w:rsid w:val="00F6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7452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292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29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2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29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154</Words>
  <Characters>879</Characters>
  <Application>Microsoft Office Word</Application>
  <DocSecurity>0</DocSecurity>
  <Lines>7</Lines>
  <Paragraphs>2</Paragraphs>
  <ScaleCrop>false</ScaleCrop>
  <Company>微软中国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闵宇航</dc:creator>
  <cp:keywords/>
  <dc:description/>
  <cp:lastModifiedBy>427</cp:lastModifiedBy>
  <cp:revision>22</cp:revision>
  <dcterms:created xsi:type="dcterms:W3CDTF">2019-12-19T03:36:00Z</dcterms:created>
  <dcterms:modified xsi:type="dcterms:W3CDTF">2020-03-11T10:05:00Z</dcterms:modified>
</cp:coreProperties>
</file>