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0B" w:rsidRPr="005D388E" w:rsidRDefault="00BC1E0B" w:rsidP="00B26D20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5D388E">
        <w:rPr>
          <w:rFonts w:ascii="Times New Roman" w:eastAsia="黑体" w:hAnsi="Times New Roman"/>
          <w:sz w:val="32"/>
          <w:szCs w:val="32"/>
        </w:rPr>
        <w:t>附件</w:t>
      </w:r>
      <w:r w:rsidRPr="005D388E">
        <w:rPr>
          <w:rFonts w:ascii="Times New Roman" w:eastAsia="黑体" w:hAnsi="Times New Roman" w:hint="eastAsia"/>
          <w:sz w:val="32"/>
          <w:szCs w:val="32"/>
        </w:rPr>
        <w:t>4</w:t>
      </w:r>
    </w:p>
    <w:p w:rsidR="00BC1E0B" w:rsidRPr="005D388E" w:rsidRDefault="00BC1E0B" w:rsidP="00B26D20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BC1E0B" w:rsidRPr="005D388E" w:rsidRDefault="00BC1E0B" w:rsidP="00B26D20">
      <w:pPr>
        <w:spacing w:line="6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5D388E">
        <w:rPr>
          <w:rFonts w:ascii="方正小标宋简体" w:eastAsia="方正小标宋简体" w:hAnsi="Times New Roman" w:hint="eastAsia"/>
          <w:sz w:val="44"/>
          <w:szCs w:val="44"/>
        </w:rPr>
        <w:t>部分不合格项目解读</w:t>
      </w:r>
    </w:p>
    <w:p w:rsidR="00BC1E0B" w:rsidRPr="005D388E" w:rsidRDefault="00BC1E0B" w:rsidP="00B26D20">
      <w:pPr>
        <w:widowControl/>
        <w:spacing w:line="600" w:lineRule="exact"/>
        <w:rPr>
          <w:rFonts w:ascii="黑体" w:eastAsia="黑体" w:hAnsiTheme="minorEastAsia"/>
          <w:spacing w:val="-12"/>
          <w:sz w:val="36"/>
          <w:szCs w:val="32"/>
        </w:rPr>
      </w:pPr>
    </w:p>
    <w:p w:rsidR="00591A59" w:rsidRPr="005D388E" w:rsidRDefault="005D388E" w:rsidP="00B26D20">
      <w:pPr>
        <w:widowControl/>
        <w:spacing w:line="600" w:lineRule="exact"/>
        <w:ind w:firstLineChars="200" w:firstLine="592"/>
        <w:rPr>
          <w:rFonts w:ascii="黑体" w:eastAsia="黑体" w:hAnsiTheme="minorEastAsia"/>
          <w:spacing w:val="-12"/>
          <w:sz w:val="32"/>
          <w:szCs w:val="32"/>
        </w:rPr>
      </w:pPr>
      <w:r w:rsidRPr="005D388E">
        <w:rPr>
          <w:rFonts w:ascii="黑体" w:eastAsia="黑体" w:hAnsiTheme="minorEastAsia" w:hint="eastAsia"/>
          <w:spacing w:val="-12"/>
          <w:sz w:val="32"/>
          <w:szCs w:val="32"/>
        </w:rPr>
        <w:t>一</w:t>
      </w:r>
      <w:r w:rsidR="00822155" w:rsidRPr="005D388E">
        <w:rPr>
          <w:rFonts w:ascii="黑体" w:eastAsia="黑体" w:hAnsiTheme="minorEastAsia" w:hint="eastAsia"/>
          <w:spacing w:val="-12"/>
          <w:sz w:val="32"/>
          <w:szCs w:val="32"/>
        </w:rPr>
        <w:t>、</w:t>
      </w:r>
      <w:r w:rsidR="00311AAF" w:rsidRPr="005D388E">
        <w:rPr>
          <w:rFonts w:ascii="黑体" w:eastAsia="黑体" w:hAnsiTheme="minorEastAsia" w:hint="eastAsia"/>
          <w:spacing w:val="-12"/>
          <w:sz w:val="32"/>
          <w:szCs w:val="32"/>
        </w:rPr>
        <w:t>鸡蛋中</w:t>
      </w:r>
      <w:r w:rsidR="00822155" w:rsidRPr="005D388E">
        <w:rPr>
          <w:rFonts w:ascii="黑体" w:eastAsia="黑体" w:hAnsiTheme="minorEastAsia" w:hint="eastAsia"/>
          <w:spacing w:val="-12"/>
          <w:sz w:val="32"/>
          <w:szCs w:val="32"/>
        </w:rPr>
        <w:t>的</w:t>
      </w:r>
      <w:r w:rsidR="00591A59" w:rsidRPr="005D388E">
        <w:rPr>
          <w:rFonts w:ascii="黑体" w:eastAsia="黑体" w:hAnsiTheme="minorEastAsia" w:hint="eastAsia"/>
          <w:spacing w:val="-12"/>
          <w:sz w:val="32"/>
          <w:szCs w:val="32"/>
        </w:rPr>
        <w:t>氟</w:t>
      </w:r>
      <w:proofErr w:type="gramStart"/>
      <w:r w:rsidR="00591A59" w:rsidRPr="005D388E">
        <w:rPr>
          <w:rFonts w:ascii="黑体" w:eastAsia="黑体" w:hAnsiTheme="minorEastAsia" w:hint="eastAsia"/>
          <w:spacing w:val="-12"/>
          <w:sz w:val="32"/>
          <w:szCs w:val="32"/>
        </w:rPr>
        <w:t>苯尼考</w:t>
      </w:r>
      <w:proofErr w:type="gramEnd"/>
    </w:p>
    <w:p w:rsidR="00591A59" w:rsidRPr="005D388E" w:rsidRDefault="00591A59" w:rsidP="00B26D20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氟</w:t>
      </w:r>
      <w:proofErr w:type="gramStart"/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苯尼考又称氟甲砜</w:t>
      </w:r>
      <w:proofErr w:type="gramEnd"/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霉素，是农业部批准使用的动物专用抗菌药，主要用于敏感细菌所致的猪、鸡、鱼的细菌性疾病。</w:t>
      </w:r>
    </w:p>
    <w:p w:rsidR="00591A59" w:rsidRPr="005D388E" w:rsidRDefault="00591A59" w:rsidP="00B26D20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《动物性食品中兽药最高残留限量》（农业部公告第</w:t>
      </w:r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235</w:t>
      </w:r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号）中规定，氟</w:t>
      </w:r>
      <w:proofErr w:type="gramStart"/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苯尼考</w:t>
      </w:r>
      <w:proofErr w:type="gramEnd"/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在产蛋鸡中禁用（鸡蛋中不得检出）。正常情况下消费者不必对鸡蛋中检出氟</w:t>
      </w:r>
      <w:proofErr w:type="gramStart"/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苯尼考</w:t>
      </w:r>
      <w:proofErr w:type="gramEnd"/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过分担心，但长期食用氟</w:t>
      </w:r>
      <w:proofErr w:type="gramStart"/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苯尼考</w:t>
      </w:r>
      <w:proofErr w:type="gramEnd"/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残留超标的食品，对人体健康可能有一定影响。</w:t>
      </w:r>
    </w:p>
    <w:p w:rsidR="006516E0" w:rsidRPr="005D388E" w:rsidRDefault="006516E0" w:rsidP="00B26D20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</w:p>
    <w:p w:rsidR="0097452B" w:rsidRPr="005D388E" w:rsidRDefault="005D388E" w:rsidP="00B26D20">
      <w:pPr>
        <w:widowControl/>
        <w:spacing w:line="600" w:lineRule="exact"/>
        <w:ind w:firstLineChars="200" w:firstLine="592"/>
        <w:rPr>
          <w:rFonts w:ascii="黑体" w:eastAsia="黑体" w:hAnsiTheme="minorEastAsia"/>
          <w:spacing w:val="-12"/>
          <w:sz w:val="32"/>
          <w:szCs w:val="32"/>
        </w:rPr>
      </w:pPr>
      <w:r w:rsidRPr="005D388E">
        <w:rPr>
          <w:rFonts w:ascii="黑体" w:eastAsia="黑体" w:hAnsiTheme="minorEastAsia" w:hint="eastAsia"/>
          <w:spacing w:val="-12"/>
          <w:sz w:val="32"/>
          <w:szCs w:val="32"/>
        </w:rPr>
        <w:t>二</w:t>
      </w:r>
      <w:r w:rsidR="00822155" w:rsidRPr="005D388E">
        <w:rPr>
          <w:rFonts w:ascii="黑体" w:eastAsia="黑体" w:hAnsiTheme="minorEastAsia" w:hint="eastAsia"/>
          <w:spacing w:val="-12"/>
          <w:sz w:val="32"/>
          <w:szCs w:val="32"/>
        </w:rPr>
        <w:t>、</w:t>
      </w:r>
      <w:r w:rsidR="006516E0" w:rsidRPr="005D388E">
        <w:rPr>
          <w:rFonts w:ascii="黑体" w:eastAsia="黑体" w:hAnsiTheme="minorEastAsia" w:hint="eastAsia"/>
          <w:spacing w:val="-12"/>
          <w:sz w:val="32"/>
          <w:szCs w:val="32"/>
        </w:rPr>
        <w:t>食用农产品中</w:t>
      </w:r>
      <w:r w:rsidR="00822155" w:rsidRPr="005D388E">
        <w:rPr>
          <w:rFonts w:ascii="黑体" w:eastAsia="黑体" w:hAnsiTheme="minorEastAsia" w:hint="eastAsia"/>
          <w:spacing w:val="-12"/>
          <w:sz w:val="32"/>
          <w:szCs w:val="32"/>
        </w:rPr>
        <w:t>的</w:t>
      </w:r>
      <w:proofErr w:type="gramStart"/>
      <w:r w:rsidR="0097452B" w:rsidRPr="005D388E">
        <w:rPr>
          <w:rFonts w:ascii="黑体" w:eastAsia="黑体" w:hAnsiTheme="minorEastAsia" w:hint="eastAsia"/>
          <w:spacing w:val="-12"/>
          <w:sz w:val="32"/>
          <w:szCs w:val="32"/>
        </w:rPr>
        <w:t>恩诺沙</w:t>
      </w:r>
      <w:proofErr w:type="gramEnd"/>
      <w:r w:rsidR="0097452B" w:rsidRPr="005D388E">
        <w:rPr>
          <w:rFonts w:ascii="黑体" w:eastAsia="黑体" w:hAnsiTheme="minorEastAsia" w:hint="eastAsia"/>
          <w:spacing w:val="-12"/>
          <w:sz w:val="32"/>
          <w:szCs w:val="32"/>
        </w:rPr>
        <w:t>星（以</w:t>
      </w:r>
      <w:proofErr w:type="gramStart"/>
      <w:r w:rsidR="0097452B" w:rsidRPr="005D388E">
        <w:rPr>
          <w:rFonts w:ascii="黑体" w:eastAsia="黑体" w:hAnsiTheme="minorEastAsia" w:hint="eastAsia"/>
          <w:spacing w:val="-12"/>
          <w:sz w:val="32"/>
          <w:szCs w:val="32"/>
        </w:rPr>
        <w:t>恩诺沙</w:t>
      </w:r>
      <w:proofErr w:type="gramEnd"/>
      <w:r w:rsidR="0097452B" w:rsidRPr="005D388E">
        <w:rPr>
          <w:rFonts w:ascii="黑体" w:eastAsia="黑体" w:hAnsiTheme="minorEastAsia" w:hint="eastAsia"/>
          <w:spacing w:val="-12"/>
          <w:sz w:val="32"/>
          <w:szCs w:val="32"/>
        </w:rPr>
        <w:t>星与环丙沙星之和计）和氧氟沙星</w:t>
      </w:r>
    </w:p>
    <w:p w:rsidR="0097452B" w:rsidRPr="005D388E" w:rsidRDefault="0097452B" w:rsidP="00B26D20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喹</w:t>
      </w:r>
      <w:proofErr w:type="gramEnd"/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诺酮类药物具有广谱抗菌作用，其抗菌力强，用于治疗动物的皮肤感染、呼吸道感染等，</w:t>
      </w:r>
      <w:r w:rsidR="00455F10" w:rsidRPr="005D388E"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养殖</w:t>
      </w:r>
      <w:r w:rsidR="00455F10" w:rsidRPr="005D388E">
        <w:rPr>
          <w:rFonts w:ascii="Times New Roman" w:eastAsia="仿宋_GB2312" w:hAnsi="Times New Roman" w:cs="Times New Roman" w:hint="eastAsia"/>
          <w:sz w:val="32"/>
          <w:szCs w:val="32"/>
        </w:rPr>
        <w:t>业中应用非常普遍。</w:t>
      </w:r>
    </w:p>
    <w:p w:rsidR="0097452B" w:rsidRPr="005D388E" w:rsidRDefault="0097452B" w:rsidP="00B26D20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2015</w:t>
      </w:r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年发布的农业部公告第</w:t>
      </w:r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2292</w:t>
      </w:r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号明令禁止在食品动物中使用氧氟沙星原料药的各种盐、</w:t>
      </w:r>
      <w:proofErr w:type="gramStart"/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酯及其</w:t>
      </w:r>
      <w:proofErr w:type="gramEnd"/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各种制剂。</w:t>
      </w:r>
    </w:p>
    <w:p w:rsidR="0097452B" w:rsidRPr="005D388E" w:rsidRDefault="0097452B" w:rsidP="00B26D20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喹</w:t>
      </w:r>
      <w:proofErr w:type="gramEnd"/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诺酮类药物超标的原因可能是养殖户不规范的使用兽药，并不严格的遵守休药期的规定造成的。</w:t>
      </w:r>
      <w:proofErr w:type="gramStart"/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喹</w:t>
      </w:r>
      <w:proofErr w:type="gramEnd"/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诺酮类药物</w:t>
      </w:r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的过量摄入可以引起头晕、抽搐、精神异常等中枢神经系统疾病，影响儿童软骨发育，产生肝脏损伤，引起关节水肿，腹泻、恶心和呕吐等胃肠道反应</w:t>
      </w:r>
    </w:p>
    <w:p w:rsidR="006516E0" w:rsidRPr="005D388E" w:rsidRDefault="006516E0" w:rsidP="00B26D20">
      <w:pPr>
        <w:spacing w:line="600" w:lineRule="exact"/>
        <w:ind w:firstLineChars="200" w:firstLine="600"/>
        <w:rPr>
          <w:rFonts w:asciiTheme="minorEastAsia" w:hAnsiTheme="minorEastAsia" w:cs="Times New Roman"/>
          <w:sz w:val="30"/>
          <w:szCs w:val="30"/>
        </w:rPr>
      </w:pPr>
    </w:p>
    <w:p w:rsidR="00A66F57" w:rsidRPr="005D388E" w:rsidRDefault="005D388E" w:rsidP="00B26D20">
      <w:pPr>
        <w:widowControl/>
        <w:spacing w:line="600" w:lineRule="exact"/>
        <w:ind w:firstLineChars="200" w:firstLine="592"/>
        <w:rPr>
          <w:rFonts w:ascii="黑体" w:eastAsia="黑体" w:hAnsiTheme="minorEastAsia"/>
          <w:spacing w:val="-12"/>
          <w:sz w:val="32"/>
          <w:szCs w:val="32"/>
        </w:rPr>
      </w:pPr>
      <w:r w:rsidRPr="005D388E">
        <w:rPr>
          <w:rFonts w:ascii="黑体" w:eastAsia="黑体" w:hAnsiTheme="minorEastAsia" w:hint="eastAsia"/>
          <w:spacing w:val="-12"/>
          <w:sz w:val="32"/>
          <w:szCs w:val="32"/>
        </w:rPr>
        <w:t>三</w:t>
      </w:r>
      <w:r w:rsidR="00822155" w:rsidRPr="005D388E">
        <w:rPr>
          <w:rFonts w:ascii="黑体" w:eastAsia="黑体" w:hAnsiTheme="minorEastAsia" w:hint="eastAsia"/>
          <w:spacing w:val="-12"/>
          <w:sz w:val="32"/>
          <w:szCs w:val="32"/>
        </w:rPr>
        <w:t>、</w:t>
      </w:r>
      <w:r w:rsidR="006516E0" w:rsidRPr="005D388E">
        <w:rPr>
          <w:rFonts w:ascii="黑体" w:eastAsia="黑体" w:hAnsiTheme="minorEastAsia" w:hint="eastAsia"/>
          <w:spacing w:val="-12"/>
          <w:sz w:val="32"/>
          <w:szCs w:val="32"/>
        </w:rPr>
        <w:t>食用农产品中</w:t>
      </w:r>
      <w:r w:rsidR="00822155" w:rsidRPr="005D388E">
        <w:rPr>
          <w:rFonts w:ascii="黑体" w:eastAsia="黑体" w:hAnsiTheme="minorEastAsia" w:hint="eastAsia"/>
          <w:spacing w:val="-12"/>
          <w:sz w:val="32"/>
          <w:szCs w:val="32"/>
        </w:rPr>
        <w:t>的</w:t>
      </w:r>
      <w:r w:rsidR="00A66F57" w:rsidRPr="005D388E">
        <w:rPr>
          <w:rFonts w:ascii="黑体" w:eastAsia="黑体" w:hAnsiTheme="minorEastAsia" w:hint="eastAsia"/>
          <w:spacing w:val="-12"/>
          <w:sz w:val="32"/>
          <w:szCs w:val="32"/>
        </w:rPr>
        <w:t>地西</w:t>
      </w:r>
      <w:proofErr w:type="gramStart"/>
      <w:r w:rsidR="00A66F57" w:rsidRPr="005D388E">
        <w:rPr>
          <w:rFonts w:ascii="黑体" w:eastAsia="黑体" w:hAnsiTheme="minorEastAsia" w:hint="eastAsia"/>
          <w:spacing w:val="-12"/>
          <w:sz w:val="32"/>
          <w:szCs w:val="32"/>
        </w:rPr>
        <w:t>泮</w:t>
      </w:r>
      <w:proofErr w:type="gramEnd"/>
    </w:p>
    <w:p w:rsidR="00A66F57" w:rsidRPr="005D388E" w:rsidRDefault="00A66F57" w:rsidP="00B26D20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地西</w:t>
      </w:r>
      <w:proofErr w:type="gramStart"/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泮</w:t>
      </w:r>
      <w:proofErr w:type="gramEnd"/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又名安定，为镇静剂类药物，主要用于焦虑、镇静催眠，还可用于抗癫痫和抗惊厥。《动物性食品中兽药最高残留限量》（农业部公告第</w:t>
      </w:r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235</w:t>
      </w:r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号）中规定，地西</w:t>
      </w:r>
      <w:proofErr w:type="gramStart"/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泮</w:t>
      </w:r>
      <w:proofErr w:type="gramEnd"/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在动物性食品中不得检出。</w:t>
      </w:r>
    </w:p>
    <w:p w:rsidR="00A66F57" w:rsidRPr="005D388E" w:rsidRDefault="00A66F57" w:rsidP="00B26D20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地西</w:t>
      </w:r>
      <w:proofErr w:type="gramStart"/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泮</w:t>
      </w:r>
      <w:proofErr w:type="gramEnd"/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可以降低新鲜活鱼对外界的感知能力，降低新陈代谢，保证其经过运输后仍然鲜活。但地西</w:t>
      </w:r>
      <w:proofErr w:type="gramStart"/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泮</w:t>
      </w:r>
      <w:proofErr w:type="gramEnd"/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在鱼体内残留是永久性的，可以通过食物链传递给人类。地西</w:t>
      </w:r>
      <w:proofErr w:type="gramStart"/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泮</w:t>
      </w:r>
      <w:proofErr w:type="gramEnd"/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超过一定剂量可能会引起人体嗜睡疲乏、动作失调、精神混乱等，严重者还可能出现心律失常、昏迷等症状。</w:t>
      </w:r>
    </w:p>
    <w:p w:rsidR="00691EF2" w:rsidRPr="005D388E" w:rsidRDefault="00691EF2" w:rsidP="005D388E">
      <w:pPr>
        <w:spacing w:line="600" w:lineRule="exact"/>
        <w:rPr>
          <w:rFonts w:asciiTheme="minorEastAsia" w:hAnsiTheme="minorEastAsia" w:cs="Times New Roman"/>
          <w:sz w:val="30"/>
          <w:szCs w:val="30"/>
        </w:rPr>
      </w:pPr>
    </w:p>
    <w:p w:rsidR="009C7B8F" w:rsidRPr="005D388E" w:rsidRDefault="005D388E" w:rsidP="00B26D20">
      <w:pPr>
        <w:widowControl/>
        <w:spacing w:line="600" w:lineRule="exact"/>
        <w:ind w:firstLineChars="200" w:firstLine="592"/>
        <w:rPr>
          <w:rFonts w:ascii="黑体" w:eastAsia="黑体" w:hAnsiTheme="minorEastAsia"/>
          <w:spacing w:val="-12"/>
          <w:sz w:val="32"/>
          <w:szCs w:val="32"/>
        </w:rPr>
      </w:pPr>
      <w:r w:rsidRPr="005D388E">
        <w:rPr>
          <w:rFonts w:ascii="黑体" w:eastAsia="黑体" w:hAnsiTheme="minorEastAsia" w:hint="eastAsia"/>
          <w:spacing w:val="-12"/>
          <w:sz w:val="32"/>
          <w:szCs w:val="32"/>
        </w:rPr>
        <w:t>四</w:t>
      </w:r>
      <w:r w:rsidR="00822155" w:rsidRPr="005D388E">
        <w:rPr>
          <w:rFonts w:ascii="黑体" w:eastAsia="黑体" w:hAnsiTheme="minorEastAsia" w:hint="eastAsia"/>
          <w:spacing w:val="-12"/>
          <w:sz w:val="32"/>
          <w:szCs w:val="32"/>
        </w:rPr>
        <w:t>、</w:t>
      </w:r>
      <w:r w:rsidR="00945FFD" w:rsidRPr="005D388E">
        <w:rPr>
          <w:rFonts w:ascii="黑体" w:eastAsia="黑体" w:hAnsiTheme="minorEastAsia" w:hint="eastAsia"/>
          <w:spacing w:val="-12"/>
          <w:sz w:val="32"/>
          <w:szCs w:val="32"/>
        </w:rPr>
        <w:t>食用农产品中</w:t>
      </w:r>
      <w:r w:rsidR="00822155" w:rsidRPr="005D388E">
        <w:rPr>
          <w:rFonts w:ascii="黑体" w:eastAsia="黑体" w:hAnsiTheme="minorEastAsia" w:hint="eastAsia"/>
          <w:spacing w:val="-12"/>
          <w:sz w:val="32"/>
          <w:szCs w:val="32"/>
        </w:rPr>
        <w:t>的</w:t>
      </w:r>
      <w:r w:rsidR="009C7B8F" w:rsidRPr="005D388E">
        <w:rPr>
          <w:rFonts w:ascii="黑体" w:eastAsia="黑体" w:hAnsiTheme="minorEastAsia" w:hint="eastAsia"/>
          <w:spacing w:val="-12"/>
          <w:sz w:val="32"/>
          <w:szCs w:val="32"/>
        </w:rPr>
        <w:t>孔雀石绿</w:t>
      </w:r>
    </w:p>
    <w:p w:rsidR="009C7B8F" w:rsidRPr="005D388E" w:rsidRDefault="009C7B8F" w:rsidP="00B26D20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孔雀石绿是一种合成的</w:t>
      </w:r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 xml:space="preserve"> N-</w:t>
      </w:r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甲基三苯甲烷类工业染料，过去常被用于制纸业、制陶业、纺织业、皮革业、食品业等，曾一度用作于食品染色剂。在被证实具有抗菌杀虫等药效后，许多国家曾将其广泛用作驱虫剂、杀菌剂和防腐剂，用于杀灭原生动物、水产动物体外的寄生虫等，也用于预防和治疗鱼卵和鱼体的水霉病。</w:t>
      </w:r>
    </w:p>
    <w:p w:rsidR="009C7B8F" w:rsidRPr="005D388E" w:rsidRDefault="009C7B8F" w:rsidP="00B26D20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《动物性食品中兽药最高残留限量》（农业部公告第</w:t>
      </w:r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235</w:t>
      </w:r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号）中规定，孔雀石绿为禁止使用的药物，在动物性食品中不得检出。一些不法商贩会在</w:t>
      </w:r>
      <w:r w:rsidR="00F67F1E" w:rsidRPr="005D388E">
        <w:rPr>
          <w:rFonts w:ascii="Times New Roman" w:eastAsia="仿宋_GB2312" w:hAnsi="Times New Roman" w:cs="Times New Roman" w:hint="eastAsia"/>
          <w:sz w:val="32"/>
          <w:szCs w:val="32"/>
        </w:rPr>
        <w:t>新鲜活鱼</w:t>
      </w:r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的运输过程中，加入孔雀石绿，</w:t>
      </w:r>
      <w:r w:rsidR="00F67F1E" w:rsidRPr="005D388E">
        <w:rPr>
          <w:rFonts w:ascii="Times New Roman" w:eastAsia="仿宋_GB2312" w:hAnsi="Times New Roman" w:cs="Times New Roman" w:hint="eastAsia"/>
          <w:sz w:val="32"/>
          <w:szCs w:val="32"/>
        </w:rPr>
        <w:t>降低新鲜活鱼的死亡率。</w:t>
      </w:r>
    </w:p>
    <w:p w:rsidR="00F67F1E" w:rsidRPr="005D388E" w:rsidRDefault="00F67F1E" w:rsidP="00B26D20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孔雀石绿在鱼体内和环境中残留时间都比较长，且进入人体后其代谢产物具有潜在的致</w:t>
      </w:r>
      <w:proofErr w:type="gramStart"/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畸</w:t>
      </w:r>
      <w:proofErr w:type="gramEnd"/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等危害。长期食用检出孔雀石绿的食品，可能会对人体健康有一定影响。</w:t>
      </w:r>
    </w:p>
    <w:p w:rsidR="009E5A92" w:rsidRPr="005D388E" w:rsidRDefault="009E5A92" w:rsidP="00B26D20">
      <w:pPr>
        <w:spacing w:line="600" w:lineRule="exact"/>
        <w:rPr>
          <w:rFonts w:asciiTheme="minorEastAsia" w:hAnsiTheme="minorEastAsia"/>
          <w:sz w:val="30"/>
          <w:szCs w:val="30"/>
        </w:rPr>
      </w:pPr>
    </w:p>
    <w:p w:rsidR="009E5A92" w:rsidRPr="005D388E" w:rsidRDefault="005D388E" w:rsidP="00B26D20">
      <w:pPr>
        <w:widowControl/>
        <w:spacing w:line="600" w:lineRule="exact"/>
        <w:ind w:firstLineChars="200" w:firstLine="592"/>
        <w:rPr>
          <w:rFonts w:ascii="黑体" w:eastAsia="黑体" w:hAnsiTheme="minorEastAsia"/>
          <w:spacing w:val="-12"/>
          <w:sz w:val="32"/>
          <w:szCs w:val="32"/>
        </w:rPr>
      </w:pPr>
      <w:r w:rsidRPr="005D388E">
        <w:rPr>
          <w:rFonts w:ascii="黑体" w:eastAsia="黑体" w:hAnsiTheme="minorEastAsia" w:hint="eastAsia"/>
          <w:spacing w:val="-12"/>
          <w:sz w:val="32"/>
          <w:szCs w:val="32"/>
        </w:rPr>
        <w:t>五</w:t>
      </w:r>
      <w:r w:rsidR="00822155" w:rsidRPr="005D388E">
        <w:rPr>
          <w:rFonts w:ascii="黑体" w:eastAsia="黑体" w:hAnsiTheme="minorEastAsia" w:hint="eastAsia"/>
          <w:spacing w:val="-12"/>
          <w:sz w:val="32"/>
          <w:szCs w:val="32"/>
        </w:rPr>
        <w:t>、</w:t>
      </w:r>
      <w:r w:rsidR="009E5A92" w:rsidRPr="005D388E">
        <w:rPr>
          <w:rFonts w:ascii="黑体" w:eastAsia="黑体" w:hAnsiTheme="minorEastAsia" w:hint="eastAsia"/>
          <w:spacing w:val="-12"/>
          <w:sz w:val="32"/>
          <w:szCs w:val="32"/>
        </w:rPr>
        <w:t>食用农产品中</w:t>
      </w:r>
      <w:r w:rsidR="00822155" w:rsidRPr="005D388E">
        <w:rPr>
          <w:rFonts w:ascii="黑体" w:eastAsia="黑体" w:hAnsiTheme="minorEastAsia" w:hint="eastAsia"/>
          <w:spacing w:val="-12"/>
          <w:sz w:val="32"/>
          <w:szCs w:val="32"/>
        </w:rPr>
        <w:t>的</w:t>
      </w:r>
      <w:r w:rsidR="009E5A92" w:rsidRPr="005D388E">
        <w:rPr>
          <w:rFonts w:ascii="黑体" w:eastAsia="黑体" w:hAnsiTheme="minorEastAsia" w:hint="eastAsia"/>
          <w:spacing w:val="-12"/>
          <w:sz w:val="32"/>
          <w:szCs w:val="32"/>
        </w:rPr>
        <w:t>氧乐果</w:t>
      </w:r>
    </w:p>
    <w:p w:rsidR="00E35D63" w:rsidRPr="003B12CF" w:rsidRDefault="00E35D63" w:rsidP="005D388E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0" w:name="_Toc14504"/>
      <w:bookmarkStart w:id="1" w:name="_Toc30283"/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氧乐果属于有机磷类杀虫剂，主要用于防治吮吸式口器害虫和植物性</w:t>
      </w:r>
      <w:proofErr w:type="gramStart"/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螨</w:t>
      </w:r>
      <w:proofErr w:type="gramEnd"/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2002</w:t>
      </w:r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年我国农业部公告第</w:t>
      </w:r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194</w:t>
      </w:r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号已经停止氧乐果等产品的新增临时登记申请。《食品安全国家标准</w:t>
      </w:r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食品中农药最大残留限量</w:t>
      </w:r>
      <w:r w:rsidRPr="005D388E">
        <w:rPr>
          <w:rFonts w:ascii="Times New Roman" w:eastAsia="仿宋_GB2312" w:hAnsi="Times New Roman" w:cs="Times New Roman"/>
          <w:sz w:val="32"/>
          <w:szCs w:val="32"/>
        </w:rPr>
        <w:t>》（</w:t>
      </w:r>
      <w:r w:rsidRPr="005D388E">
        <w:rPr>
          <w:rFonts w:ascii="Times New Roman" w:eastAsia="仿宋_GB2312" w:hAnsi="Times New Roman" w:cs="Times New Roman"/>
          <w:sz w:val="32"/>
          <w:szCs w:val="32"/>
        </w:rPr>
        <w:t>GB 2763</w:t>
      </w:r>
      <w:r w:rsidR="00C46483" w:rsidRPr="005D388E">
        <w:rPr>
          <w:rFonts w:ascii="Times New Roman" w:eastAsia="仿宋_GB2312" w:hAnsi="Times New Roman" w:cs="Times New Roman"/>
          <w:sz w:val="32"/>
          <w:szCs w:val="32"/>
        </w:rPr>
        <w:t>-</w:t>
      </w:r>
      <w:r w:rsidRPr="005D388E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5D388E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规定茄果类蔬菜（如茄子、辣椒）、豆类蔬菜（如豇豆）中氧乐果的最大残留限量为</w:t>
      </w:r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0.02</w:t>
      </w:r>
      <w:r w:rsidR="002113D7" w:rsidRPr="005D388E">
        <w:rPr>
          <w:rFonts w:ascii="Times New Roman" w:eastAsia="仿宋_GB2312" w:hAnsi="Times New Roman" w:cs="Times New Roman"/>
          <w:sz w:val="32"/>
          <w:szCs w:val="32"/>
        </w:rPr>
        <w:t> </w:t>
      </w:r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mg/kg</w:t>
      </w:r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bookmarkEnd w:id="0"/>
      <w:bookmarkEnd w:id="1"/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少量的农药残留不会导致急性中毒，但长期食用农药残留超标的蔬菜，可能对人体健康产生一定</w:t>
      </w:r>
      <w:bookmarkStart w:id="2" w:name="_GoBack"/>
      <w:bookmarkEnd w:id="2"/>
      <w:r w:rsidRPr="005D388E">
        <w:rPr>
          <w:rFonts w:ascii="Times New Roman" w:eastAsia="仿宋_GB2312" w:hAnsi="Times New Roman" w:cs="Times New Roman" w:hint="eastAsia"/>
          <w:sz w:val="32"/>
          <w:szCs w:val="32"/>
        </w:rPr>
        <w:t>的不良影响。</w:t>
      </w:r>
    </w:p>
    <w:sectPr w:rsidR="00E35D63" w:rsidRPr="003B12CF" w:rsidSect="00B12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5A8" w:rsidRDefault="000975A8" w:rsidP="002929E7">
      <w:r>
        <w:separator/>
      </w:r>
    </w:p>
  </w:endnote>
  <w:endnote w:type="continuationSeparator" w:id="0">
    <w:p w:rsidR="000975A8" w:rsidRDefault="000975A8" w:rsidP="0029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5A8" w:rsidRDefault="000975A8" w:rsidP="002929E7">
      <w:r>
        <w:separator/>
      </w:r>
    </w:p>
  </w:footnote>
  <w:footnote w:type="continuationSeparator" w:id="0">
    <w:p w:rsidR="000975A8" w:rsidRDefault="000975A8" w:rsidP="00292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012271"/>
    <w:multiLevelType w:val="singleLevel"/>
    <w:tmpl w:val="A701227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6F57"/>
    <w:rsid w:val="000975A8"/>
    <w:rsid w:val="000C1EAE"/>
    <w:rsid w:val="000E2400"/>
    <w:rsid w:val="001273DB"/>
    <w:rsid w:val="001B2D32"/>
    <w:rsid w:val="002113D7"/>
    <w:rsid w:val="002929E7"/>
    <w:rsid w:val="00311AAF"/>
    <w:rsid w:val="00335D60"/>
    <w:rsid w:val="003A5B88"/>
    <w:rsid w:val="003B12CF"/>
    <w:rsid w:val="003B48E1"/>
    <w:rsid w:val="003D5691"/>
    <w:rsid w:val="00455F10"/>
    <w:rsid w:val="00591A59"/>
    <w:rsid w:val="005D388E"/>
    <w:rsid w:val="005E4BDF"/>
    <w:rsid w:val="006516E0"/>
    <w:rsid w:val="00691EF2"/>
    <w:rsid w:val="00794C6B"/>
    <w:rsid w:val="00822155"/>
    <w:rsid w:val="0085476D"/>
    <w:rsid w:val="00945FFD"/>
    <w:rsid w:val="0097452B"/>
    <w:rsid w:val="009C7B8F"/>
    <w:rsid w:val="009E5A92"/>
    <w:rsid w:val="00A66F57"/>
    <w:rsid w:val="00B1241C"/>
    <w:rsid w:val="00B26D20"/>
    <w:rsid w:val="00B51FF7"/>
    <w:rsid w:val="00B72C94"/>
    <w:rsid w:val="00BC1E0B"/>
    <w:rsid w:val="00C46483"/>
    <w:rsid w:val="00CB3521"/>
    <w:rsid w:val="00D150E3"/>
    <w:rsid w:val="00E35D63"/>
    <w:rsid w:val="00E57DCF"/>
    <w:rsid w:val="00F6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7452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92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29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2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29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180</Words>
  <Characters>1028</Characters>
  <Application>Microsoft Office Word</Application>
  <DocSecurity>0</DocSecurity>
  <Lines>8</Lines>
  <Paragraphs>2</Paragraphs>
  <ScaleCrop>false</ScaleCrop>
  <Company>微软中国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闵宇航</dc:creator>
  <cp:keywords/>
  <dc:description/>
  <cp:lastModifiedBy>427</cp:lastModifiedBy>
  <cp:revision>18</cp:revision>
  <dcterms:created xsi:type="dcterms:W3CDTF">2019-12-19T03:36:00Z</dcterms:created>
  <dcterms:modified xsi:type="dcterms:W3CDTF">2020-02-26T02:51:00Z</dcterms:modified>
</cp:coreProperties>
</file>