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E3E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黑体简体" w:cs="Times New Roman"/>
          <w:b w:val="0"/>
          <w:bCs w:val="0"/>
          <w:sz w:val="32"/>
          <w:szCs w:val="32"/>
          <w:lang w:val="en-US" w:eastAsia="zh-CN"/>
        </w:rPr>
        <w:t>附件</w:t>
      </w:r>
    </w:p>
    <w:p w14:paraId="2E0F2BD3">
      <w:pPr>
        <w:keepNext w:val="0"/>
        <w:keepLines w:val="0"/>
        <w:pageBreakBefore w:val="0"/>
        <w:widowControl w:val="0"/>
        <w:kinsoku/>
        <w:wordWrap/>
        <w:overflowPunct/>
        <w:topLinePunct w:val="0"/>
        <w:autoSpaceDE/>
        <w:autoSpaceDN/>
        <w:bidi w:val="0"/>
        <w:adjustRightInd/>
        <w:snapToGrid/>
        <w:spacing w:before="297" w:beforeLines="50" w:after="297" w:afterLines="50" w:line="560" w:lineRule="exact"/>
        <w:jc w:val="center"/>
        <w:textAlignment w:val="auto"/>
        <w:rPr>
          <w:rFonts w:hint="default" w:ascii="Times New Roman" w:hAnsi="Times New Roman" w:eastAsia="方正小标宋简体" w:cs="Times New Roman"/>
          <w:b w:val="0"/>
          <w:bCs w:val="0"/>
          <w:sz w:val="44"/>
          <w:szCs w:val="44"/>
          <w:lang w:val="en-US" w:eastAsia="zh-CN"/>
        </w:rPr>
      </w:pPr>
      <w:bookmarkStart w:id="0" w:name="_GoBack"/>
      <w:r>
        <w:rPr>
          <w:rFonts w:hint="default" w:ascii="Times New Roman" w:hAnsi="Times New Roman" w:eastAsia="方正小标宋简体" w:cs="Times New Roman"/>
          <w:b w:val="0"/>
          <w:bCs w:val="0"/>
          <w:sz w:val="44"/>
          <w:szCs w:val="44"/>
          <w:lang w:val="en-US" w:eastAsia="zh-CN"/>
        </w:rPr>
        <w:t>“西部地区创新高地”知识产权强省建设第一批典型案例</w:t>
      </w:r>
    </w:p>
    <w:bookmarkEnd w:id="0"/>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584"/>
        <w:gridCol w:w="6921"/>
      </w:tblGrid>
      <w:tr w14:paraId="3E15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306" w:type="pct"/>
            <w:noWrap w:val="0"/>
            <w:vAlign w:val="center"/>
          </w:tcPr>
          <w:p w14:paraId="191D4D23">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黑体简体" w:cs="Times New Roman"/>
                <w:color w:val="auto"/>
                <w:sz w:val="28"/>
                <w:szCs w:val="28"/>
                <w:lang w:eastAsia="zh-CN"/>
              </w:rPr>
            </w:pPr>
            <w:r>
              <w:rPr>
                <w:rFonts w:hint="default" w:ascii="Times New Roman" w:hAnsi="Times New Roman" w:eastAsia="方正黑体简体" w:cs="Times New Roman"/>
                <w:color w:val="auto"/>
                <w:sz w:val="28"/>
                <w:szCs w:val="28"/>
                <w:lang w:eastAsia="zh-CN"/>
              </w:rPr>
              <w:t>序号</w:t>
            </w:r>
          </w:p>
        </w:tc>
        <w:tc>
          <w:tcPr>
            <w:tcW w:w="874" w:type="pct"/>
            <w:noWrap w:val="0"/>
            <w:vAlign w:val="center"/>
          </w:tcPr>
          <w:p w14:paraId="2E3DC55E">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sz w:val="28"/>
                <w:szCs w:val="28"/>
              </w:rPr>
              <w:t>案例名称</w:t>
            </w:r>
          </w:p>
        </w:tc>
        <w:tc>
          <w:tcPr>
            <w:tcW w:w="3818" w:type="pct"/>
            <w:noWrap w:val="0"/>
            <w:vAlign w:val="center"/>
          </w:tcPr>
          <w:p w14:paraId="786745E8">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黑体简体" w:cs="Times New Roman"/>
                <w:color w:val="auto"/>
                <w:sz w:val="28"/>
                <w:szCs w:val="28"/>
                <w:lang w:eastAsia="zh-CN"/>
              </w:rPr>
            </w:pPr>
            <w:r>
              <w:rPr>
                <w:rFonts w:hint="default" w:ascii="Times New Roman" w:hAnsi="Times New Roman" w:eastAsia="方正黑体简体" w:cs="Times New Roman"/>
                <w:color w:val="auto"/>
                <w:sz w:val="28"/>
                <w:szCs w:val="28"/>
              </w:rPr>
              <w:t>案例摘要</w:t>
            </w:r>
          </w:p>
        </w:tc>
      </w:tr>
      <w:tr w14:paraId="1BDA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noWrap w:val="0"/>
            <w:vAlign w:val="center"/>
          </w:tcPr>
          <w:p w14:paraId="0CA436AA">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黑体简体" w:cs="Times New Roman"/>
                <w:color w:val="auto"/>
                <w:sz w:val="28"/>
                <w:szCs w:val="28"/>
              </w:rPr>
            </w:pPr>
            <w:r>
              <w:rPr>
                <w:rFonts w:hint="default" w:ascii="Times New Roman" w:hAnsi="Times New Roman" w:eastAsia="方正楷体简体" w:cs="Times New Roman"/>
                <w:b/>
                <w:bCs w:val="0"/>
                <w:color w:val="auto"/>
                <w:sz w:val="28"/>
                <w:szCs w:val="28"/>
                <w:shd w:val="clear" w:color="auto" w:fill="FFFFFF"/>
                <w:lang w:eastAsia="zh-CN" w:bidi="ar"/>
              </w:rPr>
              <w:t>知识产权综合类</w:t>
            </w:r>
          </w:p>
        </w:tc>
      </w:tr>
      <w:tr w14:paraId="7B5A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206266F2">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shd w:val="clear" w:color="auto" w:fill="FFFFFF"/>
                <w:lang w:val="en-US" w:eastAsia="zh-CN"/>
              </w:rPr>
            </w:pPr>
            <w:r>
              <w:rPr>
                <w:rFonts w:hint="default" w:ascii="Times New Roman" w:hAnsi="Times New Roman" w:eastAsia="方正仿宋简体" w:cs="Times New Roman"/>
                <w:color w:val="auto"/>
                <w:sz w:val="28"/>
                <w:szCs w:val="28"/>
                <w:shd w:val="clear" w:color="auto" w:fill="FFFFFF"/>
                <w:lang w:val="en-US" w:eastAsia="zh-CN"/>
              </w:rPr>
              <w:t>1</w:t>
            </w:r>
          </w:p>
        </w:tc>
        <w:tc>
          <w:tcPr>
            <w:tcW w:w="874" w:type="pct"/>
            <w:noWrap w:val="0"/>
            <w:vAlign w:val="center"/>
          </w:tcPr>
          <w:p w14:paraId="0A7C6015">
            <w:pPr>
              <w:keepNext w:val="0"/>
              <w:keepLines w:val="0"/>
              <w:pageBreakBefore w:val="0"/>
              <w:kinsoku/>
              <w:wordWrap/>
              <w:overflowPunct w:val="0"/>
              <w:topLinePunct w:val="0"/>
              <w:autoSpaceDE/>
              <w:autoSpaceDN/>
              <w:bidi w:val="0"/>
              <w:adjustRightInd w:val="0"/>
              <w:snapToGrid/>
              <w:spacing w:beforeAutospacing="0" w:afterAutospacing="0" w:line="440" w:lineRule="exact"/>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健全大型活动</w:t>
            </w:r>
            <w:r>
              <w:rPr>
                <w:rFonts w:hint="default" w:ascii="Times New Roman" w:hAnsi="Times New Roman" w:eastAsia="方正仿宋简体" w:cs="Times New Roman"/>
                <w:color w:val="auto"/>
                <w:sz w:val="28"/>
                <w:szCs w:val="28"/>
                <w:lang w:eastAsia="zh-CN"/>
              </w:rPr>
              <w:t>知识</w:t>
            </w:r>
            <w:r>
              <w:rPr>
                <w:rFonts w:hint="default" w:ascii="Times New Roman" w:hAnsi="Times New Roman" w:eastAsia="方正仿宋简体" w:cs="Times New Roman"/>
                <w:color w:val="auto"/>
                <w:sz w:val="28"/>
                <w:szCs w:val="28"/>
              </w:rPr>
              <w:t>产权保护制</w:t>
            </w:r>
            <w:r>
              <w:rPr>
                <w:rFonts w:hint="default" w:ascii="Times New Roman" w:hAnsi="Times New Roman" w:eastAsia="方正仿宋简体" w:cs="Times New Roman"/>
                <w:color w:val="auto"/>
                <w:sz w:val="28"/>
                <w:szCs w:val="28"/>
                <w:lang w:eastAsia="zh-CN"/>
              </w:rPr>
              <w:t>度</w:t>
            </w: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lang w:eastAsia="zh-CN"/>
              </w:rPr>
              <w:t>有力保障“三城三都”建设</w:t>
            </w:r>
          </w:p>
        </w:tc>
        <w:tc>
          <w:tcPr>
            <w:tcW w:w="3818" w:type="pct"/>
            <w:noWrap w:val="0"/>
            <w:vAlign w:val="center"/>
          </w:tcPr>
          <w:p w14:paraId="1AD751C2">
            <w:pPr>
              <w:keepNext w:val="0"/>
              <w:keepLines w:val="0"/>
              <w:pageBreakBefore w:val="0"/>
              <w:kinsoku/>
              <w:wordWrap/>
              <w:overflowPunct w:val="0"/>
              <w:topLinePunct w:val="0"/>
              <w:autoSpaceDE/>
              <w:autoSpaceDN/>
              <w:bidi w:val="0"/>
              <w:adjustRightInd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Cs/>
                <w:color w:val="auto"/>
                <w:sz w:val="28"/>
                <w:szCs w:val="28"/>
                <w:shd w:val="clear" w:color="auto" w:fill="FFFFFF"/>
                <w:lang w:bidi="ar"/>
              </w:rPr>
              <w:t>成都市市场监管局印发</w:t>
            </w:r>
            <w:r>
              <w:rPr>
                <w:rFonts w:hint="default" w:ascii="Times New Roman" w:hAnsi="Times New Roman" w:eastAsia="方正仿宋简体" w:cs="Times New Roman"/>
                <w:bCs/>
                <w:color w:val="auto"/>
                <w:sz w:val="28"/>
                <w:szCs w:val="28"/>
                <w:shd w:val="clear" w:color="auto" w:fill="FFFFFF"/>
                <w:lang w:eastAsia="zh-CN" w:bidi="ar"/>
              </w:rPr>
              <w:t>《</w:t>
            </w:r>
            <w:r>
              <w:rPr>
                <w:rFonts w:hint="default" w:ascii="Times New Roman" w:hAnsi="Times New Roman" w:eastAsia="方正仿宋简体" w:cs="Times New Roman"/>
                <w:bCs/>
                <w:color w:val="auto"/>
                <w:sz w:val="28"/>
                <w:szCs w:val="28"/>
                <w:shd w:val="clear" w:color="auto" w:fill="FFFFFF"/>
                <w:lang w:bidi="ar"/>
              </w:rPr>
              <w:t>大型活动知识产权保护办法</w:t>
            </w:r>
            <w:r>
              <w:rPr>
                <w:rFonts w:hint="default" w:ascii="Times New Roman" w:hAnsi="Times New Roman" w:eastAsia="方正仿宋简体" w:cs="Times New Roman"/>
                <w:bCs/>
                <w:color w:val="auto"/>
                <w:sz w:val="28"/>
                <w:szCs w:val="28"/>
                <w:shd w:val="clear" w:color="auto" w:fill="FFFFFF"/>
                <w:lang w:eastAsia="zh-CN" w:bidi="ar"/>
              </w:rPr>
              <w:t>》</w:t>
            </w:r>
            <w:r>
              <w:rPr>
                <w:rFonts w:hint="default" w:ascii="Times New Roman" w:hAnsi="Times New Roman" w:eastAsia="方正仿宋简体" w:cs="Times New Roman"/>
                <w:bCs/>
                <w:color w:val="auto"/>
                <w:sz w:val="28"/>
                <w:szCs w:val="28"/>
                <w:shd w:val="clear" w:color="auto" w:fill="FFFFFF"/>
                <w:lang w:bidi="ar"/>
              </w:rPr>
              <w:t>，明确展会、赛事等大型活动知识产权保护主体责任，构建</w:t>
            </w:r>
            <w:r>
              <w:rPr>
                <w:rFonts w:hint="default" w:ascii="Times New Roman" w:hAnsi="Times New Roman" w:eastAsia="方正仿宋简体" w:cs="Times New Roman"/>
                <w:bCs/>
                <w:color w:val="auto"/>
                <w:sz w:val="28"/>
                <w:szCs w:val="28"/>
                <w:shd w:val="clear" w:color="auto" w:fill="FFFFFF"/>
                <w:lang w:val="en-US" w:eastAsia="zh-CN" w:bidi="ar"/>
              </w:rPr>
              <w:t>联动</w:t>
            </w:r>
            <w:r>
              <w:rPr>
                <w:rFonts w:hint="default" w:ascii="Times New Roman" w:hAnsi="Times New Roman" w:eastAsia="方正仿宋简体" w:cs="Times New Roman"/>
                <w:bCs/>
                <w:color w:val="auto"/>
                <w:sz w:val="28"/>
                <w:szCs w:val="28"/>
                <w:shd w:val="clear" w:color="auto" w:fill="FFFFFF"/>
                <w:lang w:bidi="ar"/>
              </w:rPr>
              <w:t>监督体系。开展特殊标志确权保护和使用合同备案存查，依法保护登记注册知识产权。建立大型活动知识产权维权保护“一站式”服务工作机制，在大型活动现场设立知识产权投诉举报受理点。与京东、淘宝等主流线上销售平台建立侵权处理渠道，实现线上线下一体监管。</w:t>
            </w:r>
            <w:r>
              <w:rPr>
                <w:rFonts w:hint="default" w:ascii="Times New Roman" w:hAnsi="Times New Roman" w:eastAsia="方正仿宋简体" w:cs="Times New Roman"/>
                <w:bCs/>
                <w:color w:val="auto"/>
                <w:sz w:val="28"/>
                <w:szCs w:val="28"/>
                <w:shd w:val="clear" w:color="auto" w:fill="FFFFFF"/>
                <w:lang w:val="en-US" w:eastAsia="zh-CN" w:bidi="ar"/>
              </w:rPr>
              <w:t>累计</w:t>
            </w:r>
            <w:r>
              <w:rPr>
                <w:rFonts w:hint="default" w:ascii="Times New Roman" w:hAnsi="Times New Roman" w:eastAsia="方正仿宋简体" w:cs="Times New Roman"/>
                <w:bCs/>
                <w:color w:val="auto"/>
                <w:sz w:val="28"/>
                <w:szCs w:val="28"/>
                <w:shd w:val="clear" w:color="auto" w:fill="FFFFFF"/>
                <w:lang w:bidi="ar"/>
              </w:rPr>
              <w:t>保障成都大运会、世界园艺博览会、全国糖酒商品交易会等大中型活动20余场。</w:t>
            </w:r>
          </w:p>
        </w:tc>
      </w:tr>
      <w:tr w14:paraId="0D97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02931725">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shd w:val="clear" w:color="auto" w:fill="FFFFFF"/>
                <w:lang w:val="en-US" w:eastAsia="zh-CN"/>
              </w:rPr>
            </w:pPr>
            <w:r>
              <w:rPr>
                <w:rFonts w:hint="default" w:ascii="Times New Roman" w:hAnsi="Times New Roman" w:eastAsia="方正仿宋简体" w:cs="Times New Roman"/>
                <w:color w:val="auto"/>
                <w:sz w:val="28"/>
                <w:szCs w:val="28"/>
                <w:shd w:val="clear" w:color="auto" w:fill="FFFFFF"/>
                <w:lang w:val="en-US" w:eastAsia="zh-CN"/>
              </w:rPr>
              <w:t>2</w:t>
            </w:r>
          </w:p>
        </w:tc>
        <w:tc>
          <w:tcPr>
            <w:tcW w:w="874" w:type="pct"/>
            <w:noWrap w:val="0"/>
            <w:vAlign w:val="center"/>
          </w:tcPr>
          <w:p w14:paraId="0A0753BC">
            <w:pPr>
              <w:keepNext w:val="0"/>
              <w:keepLines w:val="0"/>
              <w:pageBreakBefore w:val="0"/>
              <w:kinsoku/>
              <w:wordWrap/>
              <w:overflowPunct w:val="0"/>
              <w:topLinePunct w:val="0"/>
              <w:autoSpaceDE/>
              <w:autoSpaceDN/>
              <w:bidi w:val="0"/>
              <w:snapToGrid/>
              <w:spacing w:beforeAutospacing="0" w:afterAutospacing="0" w:line="440" w:lineRule="exact"/>
              <w:ind w:left="0" w:leftChars="0"/>
              <w:jc w:val="left"/>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sz w:val="28"/>
                <w:szCs w:val="28"/>
                <w:shd w:val="clear" w:color="auto" w:fill="FFFFFF"/>
              </w:rPr>
              <w:t>推进标准与专利协同</w:t>
            </w:r>
            <w:r>
              <w:rPr>
                <w:rFonts w:hint="default" w:ascii="Times New Roman" w:hAnsi="Times New Roman" w:eastAsia="方正仿宋简体" w:cs="Times New Roman"/>
                <w:color w:val="auto"/>
                <w:sz w:val="28"/>
                <w:szCs w:val="28"/>
                <w:shd w:val="clear" w:color="auto" w:fill="FFFFFF"/>
                <w:lang w:eastAsia="zh-CN"/>
              </w:rPr>
              <w:t>融合，将企业核心发明专利写入国际标准，形成标准必要专利</w:t>
            </w:r>
          </w:p>
        </w:tc>
        <w:tc>
          <w:tcPr>
            <w:tcW w:w="3818" w:type="pct"/>
            <w:noWrap w:val="0"/>
            <w:vAlign w:val="center"/>
          </w:tcPr>
          <w:p w14:paraId="22AED7AE">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sz w:val="28"/>
                <w:szCs w:val="28"/>
                <w:shd w:val="clear" w:color="auto" w:fill="FFFFFF"/>
              </w:rPr>
              <w:t>眉山市市场监管局以“洪雅藤椒油”地理标志为切入点，创新知识产权与标准协同，推动产业国际化与品牌升级。通过强化政策资金支持、产学研协同攻关、构建三位一体知识产权保护体系，引导企业制定我国首个辛香料领域ISO国际标准《香料和调味品花椒调味油规范》，将核心专利技术写入</w:t>
            </w:r>
            <w:r>
              <w:rPr>
                <w:rFonts w:hint="eastAsia" w:ascii="Times New Roman" w:hAnsi="Times New Roman" w:eastAsia="方正仿宋简体" w:cs="Times New Roman"/>
                <w:color w:val="auto"/>
                <w:sz w:val="28"/>
                <w:szCs w:val="28"/>
                <w:shd w:val="clear" w:color="auto" w:fill="FFFFFF"/>
                <w:lang w:val="en-US" w:eastAsia="zh-CN"/>
              </w:rPr>
              <w:t>该国际标准</w:t>
            </w:r>
            <w:r>
              <w:rPr>
                <w:rFonts w:hint="default" w:ascii="Times New Roman" w:hAnsi="Times New Roman" w:eastAsia="方正仿宋简体" w:cs="Times New Roman"/>
                <w:color w:val="auto"/>
                <w:sz w:val="28"/>
                <w:szCs w:val="28"/>
                <w:shd w:val="clear" w:color="auto" w:fill="FFFFFF"/>
              </w:rPr>
              <w:t>，形成标准必要专利</w:t>
            </w:r>
            <w:r>
              <w:rPr>
                <w:rFonts w:hint="eastAsia" w:ascii="Times New Roman" w:hAnsi="Times New Roman" w:eastAsia="方正仿宋简体" w:cs="Times New Roman"/>
                <w:color w:val="auto"/>
                <w:sz w:val="28"/>
                <w:szCs w:val="28"/>
                <w:shd w:val="clear" w:color="auto" w:fill="FFFFFF"/>
                <w:lang w:eastAsia="zh-CN"/>
              </w:rPr>
              <w:t>，</w:t>
            </w:r>
            <w:r>
              <w:rPr>
                <w:rFonts w:hint="eastAsia" w:ascii="Times New Roman" w:hAnsi="Times New Roman" w:eastAsia="方正仿宋简体" w:cs="Times New Roman"/>
                <w:color w:val="auto"/>
                <w:sz w:val="28"/>
                <w:szCs w:val="28"/>
                <w:shd w:val="clear" w:color="auto" w:fill="FFFFFF"/>
                <w:lang w:val="en-US" w:eastAsia="zh-CN"/>
              </w:rPr>
              <w:t>并推动</w:t>
            </w:r>
            <w:r>
              <w:rPr>
                <w:rFonts w:hint="default" w:ascii="Times New Roman" w:hAnsi="Times New Roman" w:eastAsia="方正仿宋简体" w:cs="Times New Roman"/>
                <w:color w:val="auto"/>
                <w:sz w:val="28"/>
                <w:szCs w:val="28"/>
                <w:shd w:val="clear" w:color="auto" w:fill="FFFFFF"/>
              </w:rPr>
              <w:t>转化为国家标准《地理标志产品洪雅藤椒油》。标准实施后，相关产品出口额大幅增长，帮助企业实现“技术+标准+服务”输出转型，为“川字号”产品走向全球输出“中国经验”。</w:t>
            </w:r>
          </w:p>
        </w:tc>
      </w:tr>
      <w:tr w14:paraId="52DF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62CFB9C">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3</w:t>
            </w:r>
          </w:p>
        </w:tc>
        <w:tc>
          <w:tcPr>
            <w:tcW w:w="874" w:type="pct"/>
            <w:noWrap w:val="0"/>
            <w:vAlign w:val="center"/>
          </w:tcPr>
          <w:p w14:paraId="2D61139E">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以质押融资为抓手构建知识产权金融生态，推动金融科技深度融合</w:t>
            </w:r>
          </w:p>
        </w:tc>
        <w:tc>
          <w:tcPr>
            <w:tcW w:w="3818" w:type="pct"/>
            <w:noWrap w:val="0"/>
            <w:vAlign w:val="center"/>
          </w:tcPr>
          <w:p w14:paraId="4B746C10">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552"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eastAsia="zh-CN"/>
              </w:rPr>
              <w:t>绵阳市市场监管局科技城新区分局通过组建专家服务团、设立风险资金池、制定奖补政策等措施，形成“政府引导、市场主导、金融赋能”良性循环。聚焦重点产业开展专利导航，优化知识产权布局。引入银行及第三方评估机构，科学评估专利价值。投入风险补偿资金1000万元，激发企业贷款积极性。优化业务流程，开辟绿色通道，促进银企合作。搭建“一站式”服务平台，实现线上线下高效服务，缩短融资周期。2024年完成22家企业知识产权质押登记备案2</w:t>
            </w:r>
            <w:r>
              <w:rPr>
                <w:rFonts w:hint="default" w:ascii="Times New Roman" w:hAnsi="Times New Roman" w:eastAsia="方正仿宋简体" w:cs="Times New Roman"/>
                <w:color w:val="auto"/>
                <w:sz w:val="28"/>
                <w:szCs w:val="28"/>
                <w:lang w:val="en-US" w:eastAsia="zh-CN"/>
              </w:rPr>
              <w:t>.</w:t>
            </w:r>
            <w:r>
              <w:rPr>
                <w:rFonts w:hint="default" w:ascii="Times New Roman" w:hAnsi="Times New Roman" w:eastAsia="方正仿宋简体" w:cs="Times New Roman"/>
                <w:color w:val="auto"/>
                <w:sz w:val="28"/>
                <w:szCs w:val="28"/>
                <w:lang w:eastAsia="zh-CN"/>
              </w:rPr>
              <w:t>2亿元，有效缓解中小企业融资难题。</w:t>
            </w:r>
          </w:p>
        </w:tc>
      </w:tr>
      <w:tr w14:paraId="6D12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49F7D7B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center"/>
              <w:textAlignment w:val="auto"/>
              <w:rPr>
                <w:rFonts w:hint="default" w:ascii="Times New Roman" w:hAnsi="Times New Roman" w:eastAsia="方正仿宋简体" w:cs="Times New Roman"/>
                <w:b w:val="0"/>
                <w:bCs w:val="0"/>
                <w:color w:val="auto"/>
                <w:sz w:val="28"/>
                <w:szCs w:val="28"/>
                <w:vertAlign w:val="baseline"/>
                <w:lang w:val="en-US" w:eastAsia="zh-CN"/>
              </w:rPr>
            </w:pPr>
            <w:r>
              <w:rPr>
                <w:rFonts w:hint="default" w:ascii="Times New Roman" w:hAnsi="Times New Roman" w:eastAsia="方正仿宋简体" w:cs="Times New Roman"/>
                <w:b w:val="0"/>
                <w:bCs w:val="0"/>
                <w:color w:val="auto"/>
                <w:sz w:val="28"/>
                <w:szCs w:val="28"/>
                <w:vertAlign w:val="baseline"/>
                <w:lang w:val="en-US" w:eastAsia="zh-CN"/>
              </w:rPr>
              <w:t>4</w:t>
            </w:r>
          </w:p>
        </w:tc>
        <w:tc>
          <w:tcPr>
            <w:tcW w:w="874" w:type="pct"/>
            <w:noWrap w:val="0"/>
            <w:vAlign w:val="center"/>
          </w:tcPr>
          <w:p w14:paraId="014097B0">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48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val="0"/>
                <w:bCs w:val="0"/>
                <w:color w:val="auto"/>
                <w:sz w:val="28"/>
                <w:szCs w:val="28"/>
                <w:lang w:eastAsia="zh-CN"/>
              </w:rPr>
              <w:t>以建池子、搭台子、强链子的“穿透式工作法”推进高价值发明专利培育</w:t>
            </w:r>
          </w:p>
        </w:tc>
        <w:tc>
          <w:tcPr>
            <w:tcW w:w="3818" w:type="pct"/>
            <w:noWrap w:val="0"/>
            <w:vAlign w:val="center"/>
          </w:tcPr>
          <w:p w14:paraId="2AD95569">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480" w:lineRule="exact"/>
              <w:ind w:left="0" w:leftChars="0" w:firstLine="552" w:firstLineChars="200"/>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b w:val="0"/>
                <w:bCs w:val="0"/>
                <w:color w:val="auto"/>
                <w:sz w:val="28"/>
                <w:szCs w:val="28"/>
                <w:vertAlign w:val="baseline"/>
                <w:lang w:val="en-US" w:eastAsia="zh-CN"/>
              </w:rPr>
              <w:t>泸州市市场监管局</w:t>
            </w:r>
            <w:r>
              <w:rPr>
                <w:rFonts w:hint="default" w:ascii="Times New Roman" w:hAnsi="Times New Roman" w:eastAsia="方正仿宋简体" w:cs="Times New Roman"/>
                <w:b w:val="0"/>
                <w:bCs w:val="0"/>
                <w:color w:val="auto"/>
                <w:sz w:val="28"/>
                <w:szCs w:val="28"/>
                <w:lang w:val="en-US" w:eastAsia="zh-CN"/>
              </w:rPr>
              <w:t>打通“技术研发—专利布局—资本对接—产业变现”链条，推进高价值发明专利培育。建池子，围绕现有高价值发明专利和10年以上发明专利，推出企业联系人制度，开展知识产权托管服务。搭台子，以知识产权运营中心、知识产权公共服务平台为依托，提供“技术查新—专利预审—价值评估”服务，建立专利转化资源库。强链子，建立质押融资风险分担机制，鼓励银行开发“知识产权+”质贷模式，建立跨部门跨区域侵权线索共享机制。2024年全市有效发明专利增长17.8%，专利实施新增产值51亿元，实现知识产权质押融资1.9亿元，同比增长70.6%。</w:t>
            </w:r>
          </w:p>
        </w:tc>
      </w:tr>
      <w:tr w14:paraId="4FF7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4BCB860C">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5</w:t>
            </w:r>
          </w:p>
        </w:tc>
        <w:tc>
          <w:tcPr>
            <w:tcW w:w="874" w:type="pct"/>
            <w:noWrap w:val="0"/>
            <w:vAlign w:val="center"/>
          </w:tcPr>
          <w:p w14:paraId="574506C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建立专业人才支撑全链条多元知识产权纠纷化解模式</w:t>
            </w:r>
          </w:p>
        </w:tc>
        <w:tc>
          <w:tcPr>
            <w:tcW w:w="3818" w:type="pct"/>
            <w:noWrap w:val="0"/>
            <w:vAlign w:val="center"/>
          </w:tcPr>
          <w:p w14:paraId="12B6B75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552" w:firstLineChars="200"/>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德阳市</w:t>
            </w:r>
            <w:r>
              <w:rPr>
                <w:rFonts w:hint="default" w:ascii="Times New Roman" w:hAnsi="Times New Roman" w:eastAsia="方正仿宋简体" w:cs="Times New Roman"/>
                <w:color w:val="auto"/>
                <w:sz w:val="28"/>
                <w:szCs w:val="28"/>
                <w:lang w:val="en-US" w:eastAsia="zh-CN"/>
              </w:rPr>
              <w:t>市场监管局</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德阳市中级人民法院</w:t>
            </w:r>
            <w:r>
              <w:rPr>
                <w:rFonts w:hint="default" w:ascii="Times New Roman" w:hAnsi="Times New Roman" w:eastAsia="方正仿宋简体" w:cs="Times New Roman"/>
                <w:color w:val="auto"/>
                <w:sz w:val="28"/>
                <w:szCs w:val="28"/>
                <w:lang w:val="en-US" w:eastAsia="zh-CN"/>
              </w:rPr>
              <w:t>围绕</w:t>
            </w:r>
            <w:r>
              <w:rPr>
                <w:rFonts w:hint="default" w:ascii="Times New Roman" w:hAnsi="Times New Roman" w:eastAsia="方正仿宋简体" w:cs="Times New Roman"/>
                <w:color w:val="auto"/>
                <w:sz w:val="28"/>
                <w:szCs w:val="28"/>
              </w:rPr>
              <w:t>解决知识产权纠纷调解人才稀缺、赔偿金额达成一致难、协议履行难等问题，建立统筹调配的专业人才库</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拓宽</w:t>
            </w:r>
            <w:r>
              <w:rPr>
                <w:rFonts w:hint="default" w:ascii="Times New Roman" w:hAnsi="Times New Roman" w:eastAsia="方正仿宋简体" w:cs="Times New Roman"/>
                <w:color w:val="auto"/>
                <w:sz w:val="28"/>
                <w:szCs w:val="28"/>
                <w:lang w:val="en-US" w:eastAsia="zh-CN"/>
              </w:rPr>
              <w:t>调解</w:t>
            </w:r>
            <w:r>
              <w:rPr>
                <w:rFonts w:hint="default" w:ascii="Times New Roman" w:hAnsi="Times New Roman" w:eastAsia="方正仿宋简体" w:cs="Times New Roman"/>
                <w:color w:val="auto"/>
                <w:sz w:val="28"/>
                <w:szCs w:val="28"/>
              </w:rPr>
              <w:t>协议范围，在全省率先将知识产权交叉许可作为调解协议内容，避免当事人陷入拉锯式裁决或诉讼程序</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探索以违约金促调解协议履行、鼓励专利权人采用专利许可方式收取赔偿金、调解协议司法确认“小时办”等保障协议履行新方式</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开展后续指导服务，减少潜在纠纷发生率。通过该模式共化解商标、专利侵权纠纷206件，有效提升案件调解成功率和履行率。</w:t>
            </w:r>
          </w:p>
        </w:tc>
      </w:tr>
      <w:tr w14:paraId="5A54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DD82944">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6</w:t>
            </w:r>
          </w:p>
        </w:tc>
        <w:tc>
          <w:tcPr>
            <w:tcW w:w="874" w:type="pct"/>
            <w:noWrap w:val="0"/>
            <w:vAlign w:val="center"/>
          </w:tcPr>
          <w:p w14:paraId="63244D60">
            <w:pPr>
              <w:keepNext w:val="0"/>
              <w:keepLines w:val="0"/>
              <w:pageBreakBefore w:val="0"/>
              <w:kinsoku/>
              <w:wordWrap/>
              <w:overflowPunct w:val="0"/>
              <w:topLinePunct w:val="0"/>
              <w:autoSpaceDE/>
              <w:autoSpaceDN/>
              <w:bidi w:val="0"/>
              <w:adjustRightInd w:val="0"/>
              <w:snapToGrid/>
              <w:spacing w:beforeAutospacing="0" w:afterAutospacing="0" w:line="440" w:lineRule="exact"/>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eastAsia="zh"/>
              </w:rPr>
              <w:t>探索</w:t>
            </w:r>
            <w:r>
              <w:rPr>
                <w:rFonts w:hint="default" w:ascii="Times New Roman" w:hAnsi="Times New Roman" w:eastAsia="方正仿宋简体" w:cs="Times New Roman"/>
                <w:color w:val="auto"/>
                <w:sz w:val="28"/>
                <w:szCs w:val="28"/>
              </w:rPr>
              <w:t>建立知识产权</w:t>
            </w:r>
            <w:r>
              <w:rPr>
                <w:rFonts w:hint="default" w:ascii="Times New Roman" w:hAnsi="Times New Roman" w:eastAsia="方正仿宋简体" w:cs="Times New Roman"/>
                <w:color w:val="auto"/>
                <w:sz w:val="28"/>
                <w:szCs w:val="28"/>
                <w:lang w:eastAsia="zh"/>
              </w:rPr>
              <w:t>行政执法先行禁令</w:t>
            </w:r>
            <w:r>
              <w:rPr>
                <w:rFonts w:hint="default" w:ascii="Times New Roman" w:hAnsi="Times New Roman" w:eastAsia="方正仿宋简体" w:cs="Times New Roman"/>
                <w:color w:val="auto"/>
                <w:sz w:val="28"/>
                <w:szCs w:val="28"/>
              </w:rPr>
              <w:t>制度</w:t>
            </w:r>
          </w:p>
        </w:tc>
        <w:tc>
          <w:tcPr>
            <w:tcW w:w="3818" w:type="pct"/>
            <w:noWrap w:val="0"/>
            <w:vAlign w:val="center"/>
          </w:tcPr>
          <w:p w14:paraId="104EB4A9">
            <w:pPr>
              <w:keepNext w:val="0"/>
              <w:keepLines w:val="0"/>
              <w:pageBreakBefore w:val="0"/>
              <w:kinsoku/>
              <w:wordWrap/>
              <w:overflowPunct w:val="0"/>
              <w:topLinePunct w:val="0"/>
              <w:autoSpaceDE/>
              <w:autoSpaceDN/>
              <w:bidi w:val="0"/>
              <w:adjustRightInd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lang w:eastAsia="zh"/>
              </w:rPr>
            </w:pPr>
            <w:r>
              <w:rPr>
                <w:rFonts w:hint="default" w:ascii="Times New Roman" w:hAnsi="Times New Roman" w:eastAsia="方正仿宋简体" w:cs="Times New Roman"/>
                <w:color w:val="auto"/>
                <w:sz w:val="28"/>
                <w:szCs w:val="28"/>
                <w:lang w:val="en-US" w:eastAsia="zh-CN"/>
              </w:rPr>
              <w:t>遂宁市市场监管局</w:t>
            </w:r>
            <w:r>
              <w:rPr>
                <w:rFonts w:hint="default" w:ascii="Times New Roman" w:hAnsi="Times New Roman" w:eastAsia="方正仿宋简体" w:cs="Times New Roman"/>
                <w:color w:val="auto"/>
                <w:sz w:val="28"/>
                <w:szCs w:val="28"/>
                <w:lang w:eastAsia="zh"/>
              </w:rPr>
              <w:t>印发开展先行发布知识产权行政禁令工作方案，明确申请禁令的权利人或者利害关系人对禁令申请与禁令担保、知识产权法律状态进行审核审查，制定禁令发布期限、禁令期限延长及禁令决定送达规则，设定禁令自动解除、应当解除、可以解除等情形。依据《市场监督管理行政处罚程序规定》，审批、发布和送达知识产权行政禁令通知书，先行发布知识产权行政禁令异议救济途径。截至2024年12月，发布行政禁令27条。</w:t>
            </w:r>
          </w:p>
          <w:p w14:paraId="50E56A46">
            <w:pPr>
              <w:keepNext w:val="0"/>
              <w:keepLines w:val="0"/>
              <w:pageBreakBefore w:val="0"/>
              <w:kinsoku/>
              <w:wordWrap/>
              <w:overflowPunct w:val="0"/>
              <w:topLinePunct w:val="0"/>
              <w:autoSpaceDE/>
              <w:autoSpaceDN/>
              <w:bidi w:val="0"/>
              <w:adjustRightInd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bCs/>
                <w:color w:val="auto"/>
                <w:kern w:val="0"/>
                <w:sz w:val="28"/>
                <w:szCs w:val="28"/>
              </w:rPr>
              <w:t>成都市</w:t>
            </w:r>
            <w:r>
              <w:rPr>
                <w:rFonts w:hint="default" w:ascii="Times New Roman" w:hAnsi="Times New Roman" w:eastAsia="方正仿宋简体" w:cs="Times New Roman"/>
                <w:bCs/>
                <w:color w:val="auto"/>
                <w:kern w:val="0"/>
                <w:sz w:val="28"/>
                <w:szCs w:val="28"/>
                <w:lang w:eastAsia="zh-CN"/>
              </w:rPr>
              <w:t>市场监管局</w:t>
            </w:r>
            <w:r>
              <w:rPr>
                <w:rFonts w:hint="default" w:ascii="Times New Roman" w:hAnsi="Times New Roman" w:eastAsia="方正仿宋简体" w:cs="Times New Roman"/>
                <w:color w:val="auto"/>
                <w:sz w:val="28"/>
                <w:szCs w:val="28"/>
                <w:lang w:eastAsia="zh"/>
              </w:rPr>
              <w:t>印发《成都市市场监督管理局关于推行先行发布知识产权行政禁令的实施意见（试行）》，对有证据证明的知识产权侵权行为，通过先行发布行政禁令，快速制止侵权行为，最大程度减少对权利人的损害。</w:t>
            </w:r>
          </w:p>
        </w:tc>
      </w:tr>
      <w:tr w14:paraId="5230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2078EB6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center"/>
              <w:textAlignment w:val="auto"/>
              <w:rPr>
                <w:rFonts w:hint="default" w:ascii="Times New Roman" w:hAnsi="Times New Roman" w:eastAsia="方正仿宋简体" w:cs="Times New Roman"/>
                <w:color w:val="auto"/>
                <w:sz w:val="28"/>
                <w:szCs w:val="28"/>
                <w:vertAlign w:val="baseline"/>
                <w:lang w:val="en-US" w:eastAsia="zh-CN"/>
              </w:rPr>
            </w:pPr>
            <w:r>
              <w:rPr>
                <w:rFonts w:hint="default" w:ascii="Times New Roman" w:hAnsi="Times New Roman" w:eastAsia="方正仿宋简体" w:cs="Times New Roman"/>
                <w:color w:val="auto"/>
                <w:sz w:val="28"/>
                <w:szCs w:val="28"/>
                <w:vertAlign w:val="baseline"/>
                <w:lang w:val="en-US" w:eastAsia="zh-CN"/>
              </w:rPr>
              <w:t>7</w:t>
            </w:r>
          </w:p>
        </w:tc>
        <w:tc>
          <w:tcPr>
            <w:tcW w:w="874" w:type="pct"/>
            <w:noWrap w:val="0"/>
            <w:vAlign w:val="center"/>
          </w:tcPr>
          <w:p w14:paraId="7154895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left"/>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vertAlign w:val="baseline"/>
                <w:lang w:val="en-US" w:eastAsia="zh-CN"/>
              </w:rPr>
              <w:t>以“汉源花椒”国家地理标志为核心，构建“政府主导、多方协同”机制，赋能产业振兴发展</w:t>
            </w:r>
          </w:p>
        </w:tc>
        <w:tc>
          <w:tcPr>
            <w:tcW w:w="3818" w:type="pct"/>
            <w:noWrap w:val="0"/>
            <w:vAlign w:val="center"/>
          </w:tcPr>
          <w:p w14:paraId="60E65AE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552" w:firstLineChars="200"/>
              <w:jc w:val="left"/>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雅安市市场监管局</w:t>
            </w:r>
            <w:r>
              <w:rPr>
                <w:rFonts w:hint="default" w:ascii="Times New Roman" w:hAnsi="Times New Roman" w:eastAsia="方正仿宋简体" w:cs="Times New Roman"/>
                <w:color w:val="auto"/>
                <w:sz w:val="28"/>
                <w:szCs w:val="28"/>
                <w:vertAlign w:val="baseline"/>
                <w:lang w:val="en-US" w:eastAsia="zh-CN"/>
              </w:rPr>
              <w:t>通过标准体系引领、强化知识产权保护、品牌与产业深度融合、建设产品溯源体系，推动花椒产业标准化、品牌化发展。构建覆盖全产业链的“汉源花椒标准综合体”，参与制定《地理标志产品质量要求 汉源花椒》国家标准。“汉源花椒”和“汉源花椒油”用标企业83家，专用标志使用率超85%。建成花椒精深加工园区，形成“种植—加工—文旅”产业集群。将规模经营主体纳入省级农产品质量追溯系统，搭建网销农产品质量追溯平台，连续入选中国区域品牌百强。</w:t>
            </w:r>
          </w:p>
        </w:tc>
      </w:tr>
      <w:tr w14:paraId="010C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4056F5BD">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8</w:t>
            </w:r>
          </w:p>
        </w:tc>
        <w:tc>
          <w:tcPr>
            <w:tcW w:w="874" w:type="pct"/>
            <w:noWrap w:val="0"/>
            <w:vAlign w:val="center"/>
          </w:tcPr>
          <w:p w14:paraId="71519B4D">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立法、司法、执法、社会共治“四位一体”护航白酒产业维权保护</w:t>
            </w:r>
          </w:p>
        </w:tc>
        <w:tc>
          <w:tcPr>
            <w:tcW w:w="3818" w:type="pct"/>
            <w:noWrap w:val="0"/>
            <w:vAlign w:val="center"/>
          </w:tcPr>
          <w:p w14:paraId="73CC6D36">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宜宾市市场监管局</w:t>
            </w:r>
            <w:r>
              <w:rPr>
                <w:rFonts w:hint="default" w:ascii="Times New Roman" w:hAnsi="Times New Roman" w:eastAsia="方正仿宋简体" w:cs="Times New Roman"/>
                <w:color w:val="auto"/>
                <w:sz w:val="28"/>
                <w:szCs w:val="28"/>
                <w:lang w:val="en-US" w:eastAsia="zh-CN"/>
              </w:rPr>
              <w:t>推动</w:t>
            </w:r>
            <w:r>
              <w:rPr>
                <w:rFonts w:hint="default" w:ascii="Times New Roman" w:hAnsi="Times New Roman" w:eastAsia="方正仿宋简体" w:cs="Times New Roman"/>
                <w:color w:val="auto"/>
                <w:sz w:val="28"/>
                <w:szCs w:val="28"/>
              </w:rPr>
              <w:t>出台《宜宾市白酒历史文化保护条例》，将非物质文化遗产纳入保护范围；在五粮液工业园区</w:t>
            </w:r>
            <w:r>
              <w:rPr>
                <w:rFonts w:hint="default" w:ascii="Times New Roman" w:hAnsi="Times New Roman" w:eastAsia="方正仿宋简体" w:cs="Times New Roman"/>
                <w:color w:val="auto"/>
                <w:sz w:val="28"/>
                <w:szCs w:val="28"/>
                <w:lang w:val="en-US" w:eastAsia="zh-CN"/>
              </w:rPr>
              <w:t>设立</w:t>
            </w:r>
            <w:r>
              <w:rPr>
                <w:rFonts w:hint="default" w:ascii="Times New Roman" w:hAnsi="Times New Roman" w:eastAsia="方正仿宋简体" w:cs="Times New Roman"/>
                <w:color w:val="auto"/>
                <w:sz w:val="28"/>
                <w:szCs w:val="28"/>
              </w:rPr>
              <w:t>翠屏区法院知识产权审判庭、五粮液知识产权检察保护工作站和宜宾法院白酒知识产权司法保护中心，</w:t>
            </w:r>
            <w:r>
              <w:rPr>
                <w:rFonts w:hint="default" w:ascii="Times New Roman" w:hAnsi="Times New Roman" w:eastAsia="方正仿宋简体" w:cs="Times New Roman"/>
                <w:color w:val="auto"/>
                <w:sz w:val="28"/>
                <w:szCs w:val="28"/>
                <w:lang w:val="en-US" w:eastAsia="zh-CN"/>
              </w:rPr>
              <w:t>推进</w:t>
            </w:r>
            <w:r>
              <w:rPr>
                <w:rFonts w:hint="default" w:ascii="Times New Roman" w:hAnsi="Times New Roman" w:eastAsia="方正仿宋简体" w:cs="Times New Roman"/>
                <w:color w:val="auto"/>
                <w:sz w:val="28"/>
                <w:szCs w:val="28"/>
              </w:rPr>
              <w:t>“三审合一”；成立五粮液驰名商标保护领导小组</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建立执法保护信息共享平台和打击假酒犯罪数据平台；</w:t>
            </w:r>
            <w:r>
              <w:rPr>
                <w:rFonts w:hint="default" w:ascii="Times New Roman" w:hAnsi="Times New Roman" w:eastAsia="方正仿宋简体" w:cs="Times New Roman"/>
                <w:color w:val="auto"/>
                <w:sz w:val="28"/>
                <w:szCs w:val="28"/>
                <w:lang w:val="en-US" w:eastAsia="zh-CN"/>
              </w:rPr>
              <w:t>持续开展</w:t>
            </w:r>
            <w:r>
              <w:rPr>
                <w:rFonts w:hint="default" w:ascii="Times New Roman" w:hAnsi="Times New Roman" w:eastAsia="方正仿宋简体" w:cs="Times New Roman"/>
                <w:color w:val="auto"/>
                <w:sz w:val="28"/>
                <w:szCs w:val="28"/>
              </w:rPr>
              <w:t>产业导航预警、地方（团体）标准制定。2024年查处白酒知识产权行政案件55件，侦办侵犯白酒知识产权案件48件（公安部挂牌督办7件），开展诉前调解118件。</w:t>
            </w:r>
          </w:p>
        </w:tc>
      </w:tr>
      <w:tr w14:paraId="29C5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3A5A9638">
            <w:pPr>
              <w:pStyle w:val="7"/>
              <w:keepNext w:val="0"/>
              <w:keepLines w:val="0"/>
              <w:pageBreakBefore w:val="0"/>
              <w:widowControl/>
              <w:suppressLineNumbers w:val="0"/>
              <w:suppressAutoHyphens/>
              <w:kinsoku/>
              <w:wordWrap/>
              <w:overflowPunct w:val="0"/>
              <w:topLinePunct w:val="0"/>
              <w:autoSpaceDE/>
              <w:autoSpaceDN/>
              <w:bidi w:val="0"/>
              <w:adjustRightInd/>
              <w:snapToGrid/>
              <w:spacing w:before="0" w:beforeAutospacing="0" w:after="0" w:afterAutospacing="0" w:line="440" w:lineRule="exact"/>
              <w:ind w:right="0" w:rightChars="0"/>
              <w:jc w:val="center"/>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9</w:t>
            </w:r>
          </w:p>
        </w:tc>
        <w:tc>
          <w:tcPr>
            <w:tcW w:w="874" w:type="pct"/>
            <w:noWrap w:val="0"/>
            <w:vAlign w:val="center"/>
          </w:tcPr>
          <w:p w14:paraId="757B95AF">
            <w:pPr>
              <w:pStyle w:val="7"/>
              <w:keepNext w:val="0"/>
              <w:keepLines w:val="0"/>
              <w:pageBreakBefore w:val="0"/>
              <w:widowControl/>
              <w:suppressLineNumbers w:val="0"/>
              <w:suppressAutoHyphens/>
              <w:kinsoku/>
              <w:wordWrap/>
              <w:overflowPunct w:val="0"/>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kern w:val="2"/>
                <w:sz w:val="28"/>
                <w:szCs w:val="28"/>
                <w:lang w:val="en-US" w:eastAsia="zh-CN" w:bidi="ar-SA"/>
              </w:rPr>
              <w:t>通过新媒体加强宣传普及，让知产保护“触手可及”</w:t>
            </w:r>
          </w:p>
        </w:tc>
        <w:tc>
          <w:tcPr>
            <w:tcW w:w="3818" w:type="pct"/>
            <w:noWrap w:val="0"/>
            <w:vAlign w:val="center"/>
          </w:tcPr>
          <w:p w14:paraId="12472A6E">
            <w:pPr>
              <w:pStyle w:val="7"/>
              <w:keepNext w:val="0"/>
              <w:keepLines w:val="0"/>
              <w:pageBreakBefore w:val="0"/>
              <w:widowControl/>
              <w:suppressLineNumbers w:val="0"/>
              <w:suppressAutoHyphens/>
              <w:kinsoku/>
              <w:wordWrap/>
              <w:overflowPunct w:val="0"/>
              <w:topLinePunct w:val="0"/>
              <w:autoSpaceDE/>
              <w:autoSpaceDN/>
              <w:bidi w:val="0"/>
              <w:adjustRightInd/>
              <w:snapToGrid/>
              <w:spacing w:before="0" w:beforeAutospacing="0" w:after="0" w:afterAutospacing="0" w:line="440" w:lineRule="exact"/>
              <w:ind w:right="0" w:rightChars="0" w:firstLine="552" w:firstLineChars="200"/>
              <w:jc w:val="left"/>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kern w:val="2"/>
                <w:sz w:val="28"/>
                <w:szCs w:val="28"/>
                <w:lang w:val="en-US" w:eastAsia="zh-CN" w:bidi="ar-SA"/>
              </w:rPr>
              <w:t>自贡市市场监管局二级调研员罗坚在抖音、微信小视频和快手等网络平台开设个人账号“坚哥说知识产权”，面向社会特别是中小企业宣传知识产权法律法规知识，通过以案说法，讲解专利、商标、商业秘密以及著作权等知识产权保护知识。制作发布普及知识产权宣传视频123个，累计播放量116万次，吸引全国各地粉丝3500余人，获赞3.3万，在知识产权领域形成一定影响力。</w:t>
            </w:r>
          </w:p>
        </w:tc>
      </w:tr>
      <w:tr w14:paraId="1A07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7B4BB08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center"/>
              <w:textAlignment w:val="auto"/>
              <w:rPr>
                <w:rFonts w:hint="default" w:ascii="Times New Roman" w:hAnsi="Times New Roman" w:eastAsia="方正仿宋简体" w:cs="Times New Roman"/>
                <w:color w:val="auto"/>
                <w:sz w:val="28"/>
                <w:szCs w:val="28"/>
                <w:vertAlign w:val="baseline"/>
                <w:lang w:val="en-US" w:eastAsia="zh-CN"/>
              </w:rPr>
            </w:pPr>
            <w:r>
              <w:rPr>
                <w:rFonts w:hint="default" w:ascii="Times New Roman" w:hAnsi="Times New Roman" w:eastAsia="方正仿宋简体" w:cs="Times New Roman"/>
                <w:color w:val="auto"/>
                <w:sz w:val="28"/>
                <w:szCs w:val="28"/>
                <w:vertAlign w:val="baseline"/>
                <w:lang w:val="en-US" w:eastAsia="zh-CN"/>
              </w:rPr>
              <w:t>10</w:t>
            </w:r>
          </w:p>
        </w:tc>
        <w:tc>
          <w:tcPr>
            <w:tcW w:w="874" w:type="pct"/>
            <w:noWrap w:val="0"/>
            <w:vAlign w:val="center"/>
          </w:tcPr>
          <w:p w14:paraId="181E264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left"/>
              <w:textAlignment w:val="auto"/>
              <w:rPr>
                <w:rFonts w:hint="default" w:ascii="Times New Roman" w:hAnsi="Times New Roman" w:eastAsia="方正仿宋简体" w:cs="Times New Roman"/>
                <w:color w:val="auto"/>
                <w:sz w:val="28"/>
                <w:szCs w:val="28"/>
                <w:vertAlign w:val="baseline"/>
                <w:lang w:val="en-US" w:eastAsia="zh-CN"/>
              </w:rPr>
            </w:pPr>
            <w:r>
              <w:rPr>
                <w:rFonts w:hint="default" w:ascii="Times New Roman" w:hAnsi="Times New Roman" w:eastAsia="方正仿宋简体" w:cs="Times New Roman"/>
                <w:color w:val="auto"/>
                <w:sz w:val="28"/>
                <w:szCs w:val="28"/>
                <w:vertAlign w:val="baseline"/>
                <w:lang w:val="en-US" w:eastAsia="zh-CN"/>
              </w:rPr>
              <w:t>加强民间文艺版权保护运用，推进优秀传统文化产业化</w:t>
            </w:r>
          </w:p>
        </w:tc>
        <w:tc>
          <w:tcPr>
            <w:tcW w:w="3818" w:type="pct"/>
            <w:noWrap w:val="0"/>
            <w:vAlign w:val="center"/>
          </w:tcPr>
          <w:p w14:paraId="6156256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552" w:firstLineChars="200"/>
              <w:jc w:val="left"/>
              <w:textAlignment w:val="auto"/>
              <w:rPr>
                <w:rFonts w:hint="default" w:ascii="Times New Roman" w:hAnsi="Times New Roman" w:eastAsia="方正仿宋简体" w:cs="Times New Roman"/>
                <w:color w:val="auto"/>
                <w:sz w:val="28"/>
                <w:szCs w:val="28"/>
                <w:vertAlign w:val="baseline"/>
                <w:lang w:val="en-US" w:eastAsia="zh-CN"/>
              </w:rPr>
            </w:pPr>
            <w:r>
              <w:rPr>
                <w:rFonts w:hint="default" w:ascii="Times New Roman" w:hAnsi="Times New Roman" w:eastAsia="方正仿宋简体" w:cs="Times New Roman"/>
                <w:color w:val="auto"/>
                <w:sz w:val="28"/>
                <w:szCs w:val="28"/>
                <w:vertAlign w:val="baseline"/>
                <w:lang w:val="en-US" w:eastAsia="zh-CN"/>
              </w:rPr>
              <w:t>乐山市委宣传部创新“六个一”工作模式，即健全一套工作机制、创建一个示范单位、完成一批版权登记、推进一批成果转化、开展一系列版权培训、承接一系列研学活动，加强民间文艺版权创造、运用、保护和服务。推广设立民间文艺版权工作新站点，构建乐山市民间文艺版权保护数据库，深入开展打击网络侵权盗版专项治理“剑网”行动和民间文艺版权进企业活动。峨眉山市被列为2024年全国民间文艺版权保护与促进试点地区（四川唯一）。成功捐赠五通桥根书艺术、夹江县手工造纸技艺入藏中国国家版本馆。</w:t>
            </w:r>
          </w:p>
        </w:tc>
      </w:tr>
      <w:tr w14:paraId="0BCB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10385455">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bidi="ar-SA"/>
              </w:rPr>
            </w:pPr>
            <w:r>
              <w:rPr>
                <w:rFonts w:hint="default" w:ascii="Times New Roman" w:hAnsi="Times New Roman" w:eastAsia="方正仿宋简体" w:cs="Times New Roman"/>
                <w:color w:val="auto"/>
                <w:sz w:val="28"/>
                <w:szCs w:val="28"/>
                <w:lang w:val="en-US" w:eastAsia="zh-CN"/>
              </w:rPr>
              <w:t>11</w:t>
            </w:r>
          </w:p>
        </w:tc>
        <w:tc>
          <w:tcPr>
            <w:tcW w:w="874" w:type="pct"/>
            <w:noWrap w:val="0"/>
            <w:vAlign w:val="center"/>
          </w:tcPr>
          <w:p w14:paraId="003A0FFE">
            <w:pPr>
              <w:pStyle w:val="18"/>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bidi="ar-SA"/>
              </w:rPr>
              <w:t>通过“求速、求实、求效”三维发力，护航“一带一路”跨境班列高质量发展</w:t>
            </w:r>
          </w:p>
        </w:tc>
        <w:tc>
          <w:tcPr>
            <w:tcW w:w="3818" w:type="pct"/>
            <w:noWrap w:val="0"/>
            <w:vAlign w:val="center"/>
          </w:tcPr>
          <w:p w14:paraId="7C627BA0">
            <w:pPr>
              <w:pStyle w:val="18"/>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bidi="ar-SA"/>
              </w:rPr>
              <w:t>成都海关针对跨境班列时效性强</w:t>
            </w:r>
            <w:r>
              <w:rPr>
                <w:rFonts w:hint="default" w:ascii="Times New Roman" w:hAnsi="Times New Roman" w:cs="Times New Roman"/>
                <w:color w:val="auto"/>
                <w:sz w:val="28"/>
                <w:szCs w:val="28"/>
                <w:lang w:val="en-US" w:eastAsia="zh-CN" w:bidi="ar-SA"/>
              </w:rPr>
              <w:t>的特点</w:t>
            </w:r>
            <w:r>
              <w:rPr>
                <w:rFonts w:hint="default" w:ascii="Times New Roman" w:hAnsi="Times New Roman" w:eastAsia="方正仿宋简体" w:cs="Times New Roman"/>
                <w:color w:val="auto"/>
                <w:sz w:val="28"/>
                <w:szCs w:val="28"/>
                <w:lang w:bidi="ar-SA"/>
              </w:rPr>
              <w:t>，提升班列货物确权办理优先级、建立“日清催办”机制。绘制高风险企业、高风险商品、高风险目的地</w:t>
            </w:r>
            <w:r>
              <w:rPr>
                <w:rFonts w:hint="default" w:ascii="Times New Roman" w:hAnsi="Times New Roman" w:cs="Times New Roman"/>
                <w:color w:val="auto"/>
                <w:sz w:val="28"/>
                <w:szCs w:val="28"/>
                <w:lang w:eastAsia="zh-CN" w:bidi="ar-SA"/>
              </w:rPr>
              <w:t>“</w:t>
            </w:r>
            <w:r>
              <w:rPr>
                <w:rFonts w:hint="default" w:ascii="Times New Roman" w:hAnsi="Times New Roman" w:cs="Times New Roman"/>
                <w:color w:val="auto"/>
                <w:sz w:val="28"/>
                <w:szCs w:val="28"/>
                <w:lang w:val="en-US" w:eastAsia="zh-CN" w:bidi="ar-SA"/>
              </w:rPr>
              <w:t>三张</w:t>
            </w:r>
            <w:r>
              <w:rPr>
                <w:rFonts w:hint="default" w:ascii="Times New Roman" w:hAnsi="Times New Roman" w:eastAsia="方正仿宋简体" w:cs="Times New Roman"/>
                <w:color w:val="auto"/>
                <w:sz w:val="28"/>
                <w:szCs w:val="28"/>
                <w:lang w:bidi="ar-SA"/>
              </w:rPr>
              <w:t>图谱</w:t>
            </w:r>
            <w:r>
              <w:rPr>
                <w:rFonts w:hint="default" w:ascii="Times New Roman" w:hAnsi="Times New Roman" w:cs="Times New Roman"/>
                <w:color w:val="auto"/>
                <w:sz w:val="28"/>
                <w:szCs w:val="28"/>
                <w:lang w:eastAsia="zh-CN" w:bidi="ar-SA"/>
              </w:rPr>
              <w:t>”</w:t>
            </w:r>
            <w:r>
              <w:rPr>
                <w:rFonts w:hint="default" w:ascii="Times New Roman" w:hAnsi="Times New Roman" w:eastAsia="方正仿宋简体" w:cs="Times New Roman"/>
                <w:color w:val="auto"/>
                <w:sz w:val="28"/>
                <w:szCs w:val="28"/>
                <w:lang w:bidi="ar-SA"/>
              </w:rPr>
              <w:t>。建立西部陆海新通道区域海关知识产权保护工作机制，严防区域内侵权商品“口岸漂移”。为各类拥有自主知识产权的企业“一企一策”</w:t>
            </w:r>
            <w:r>
              <w:rPr>
                <w:rFonts w:hint="eastAsia" w:ascii="Times New Roman" w:cs="Times New Roman"/>
                <w:color w:val="auto"/>
                <w:sz w:val="28"/>
                <w:szCs w:val="28"/>
                <w:lang w:val="en-US" w:eastAsia="zh-CN" w:bidi="ar-SA"/>
              </w:rPr>
              <w:t>提供</w:t>
            </w:r>
            <w:r>
              <w:rPr>
                <w:rFonts w:hint="default" w:ascii="Times New Roman" w:hAnsi="Times New Roman" w:eastAsia="方正仿宋简体" w:cs="Times New Roman"/>
                <w:color w:val="auto"/>
                <w:sz w:val="28"/>
                <w:szCs w:val="28"/>
                <w:lang w:bidi="ar-SA"/>
              </w:rPr>
              <w:t>指导，引导企业申请知识产权海关保护备案。2024年下达针对性风险布控指令</w:t>
            </w:r>
            <w:r>
              <w:rPr>
                <w:rFonts w:hint="eastAsia" w:ascii="Times New Roman" w:cs="Times New Roman"/>
                <w:color w:val="auto"/>
                <w:sz w:val="28"/>
                <w:szCs w:val="28"/>
                <w:lang w:eastAsia="zh-CN" w:bidi="ar-SA"/>
              </w:rPr>
              <w:t>、</w:t>
            </w:r>
            <w:r>
              <w:rPr>
                <w:rFonts w:hint="default" w:ascii="Times New Roman" w:hAnsi="Times New Roman" w:eastAsia="方正仿宋简体" w:cs="Times New Roman"/>
                <w:color w:val="auto"/>
                <w:sz w:val="28"/>
                <w:szCs w:val="28"/>
                <w:lang w:bidi="ar-SA"/>
              </w:rPr>
              <w:t>与区域海关共享侵权案件信息1078条，查扣跨境电商等新业态领域侵权货物494批次，辖区新增知识产权海关保护备案124件。</w:t>
            </w:r>
          </w:p>
        </w:tc>
      </w:tr>
      <w:tr w14:paraId="469B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11897B3A">
            <w:pPr>
              <w:pStyle w:val="18"/>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vertAlign w:val="baseline"/>
                <w:lang w:val="en-US" w:eastAsia="zh-CN"/>
              </w:rPr>
            </w:pPr>
            <w:r>
              <w:rPr>
                <w:rFonts w:hint="default" w:ascii="Times New Roman" w:hAnsi="Times New Roman" w:eastAsia="方正仿宋简体" w:cs="Times New Roman"/>
                <w:color w:val="auto"/>
                <w:sz w:val="28"/>
                <w:szCs w:val="28"/>
                <w:lang w:val="en-US" w:eastAsia="zh-CN" w:bidi="ar-SA"/>
              </w:rPr>
              <w:t>12</w:t>
            </w:r>
          </w:p>
        </w:tc>
        <w:tc>
          <w:tcPr>
            <w:tcW w:w="874" w:type="pct"/>
            <w:noWrap w:val="0"/>
            <w:vAlign w:val="center"/>
          </w:tcPr>
          <w:p w14:paraId="48E09341">
            <w:pPr>
              <w:pStyle w:val="3"/>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vertAlign w:val="baseline"/>
                <w:lang w:eastAsia="zh-CN"/>
              </w:rPr>
              <w:t>系统开展知识产权创造运用，赋能无人机产业创新发展</w:t>
            </w:r>
          </w:p>
        </w:tc>
        <w:tc>
          <w:tcPr>
            <w:tcW w:w="3818" w:type="pct"/>
            <w:noWrap w:val="0"/>
            <w:vAlign w:val="center"/>
          </w:tcPr>
          <w:p w14:paraId="1D5BE352">
            <w:pPr>
              <w:pStyle w:val="7"/>
              <w:keepNext w:val="0"/>
              <w:keepLines w:val="0"/>
              <w:pageBreakBefore w:val="0"/>
              <w:widowControl/>
              <w:kinsoku/>
              <w:wordWrap/>
              <w:overflowPunct w:val="0"/>
              <w:topLinePunct w:val="0"/>
              <w:autoSpaceDE/>
              <w:autoSpaceDN/>
              <w:bidi w:val="0"/>
              <w:adjustRightInd/>
              <w:snapToGrid/>
              <w:spacing w:before="0" w:beforeAutospacing="0" w:after="0" w:afterAutospacing="0" w:line="440" w:lineRule="exact"/>
              <w:ind w:firstLine="552" w:firstLineChars="200"/>
              <w:jc w:val="left"/>
              <w:textAlignment w:val="baseline"/>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vertAlign w:val="baseline"/>
                <w:lang w:eastAsia="zh-CN"/>
              </w:rPr>
              <w:t>四川省无人机产业创新中心</w:t>
            </w:r>
            <w:r>
              <w:rPr>
                <w:rFonts w:hint="default" w:ascii="Times New Roman" w:hAnsi="Times New Roman" w:eastAsia="方正仿宋简体" w:cs="Times New Roman"/>
                <w:color w:val="auto"/>
                <w:sz w:val="28"/>
                <w:szCs w:val="28"/>
              </w:rPr>
              <w:t>将知识产权运营作为“强链增效”抓手，建设“9大平台+数据库+专利池+标准委”，带动无人机产业创新发展。搭建先进材料试验、动力系统综合性能试验等技术研发平台，获授权发明专利59项。建立无人机产业知识产权数据库，汇聚知识产权运营数据近30万条</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产业专利数据50万条。发布《四川省无人机产业创新联盟团体标准管理办法》，启动编制1项国家标准、7项团体标准。</w:t>
            </w:r>
            <w:r>
              <w:rPr>
                <w:rFonts w:hint="eastAsia" w:ascii="Times New Roman" w:hAnsi="Times New Roman" w:eastAsia="方正仿宋简体" w:cs="Times New Roman"/>
                <w:color w:val="auto"/>
                <w:sz w:val="28"/>
                <w:szCs w:val="28"/>
                <w:lang w:val="en-US" w:eastAsia="zh-CN"/>
              </w:rPr>
              <w:t>设立</w:t>
            </w:r>
            <w:r>
              <w:rPr>
                <w:rFonts w:hint="default" w:ascii="Times New Roman" w:hAnsi="Times New Roman" w:eastAsia="方正仿宋简体" w:cs="Times New Roman"/>
                <w:color w:val="auto"/>
                <w:sz w:val="28"/>
                <w:szCs w:val="28"/>
              </w:rPr>
              <w:t>无人机产业专利池，收储核心专利技术230余项，筛选关键技术60余项，服务产业链主体38家。</w:t>
            </w:r>
          </w:p>
        </w:tc>
      </w:tr>
      <w:tr w14:paraId="4194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85E88DF">
            <w:pPr>
              <w:pStyle w:val="3"/>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center"/>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vertAlign w:val="baseline"/>
                <w:lang w:val="en-US" w:eastAsia="zh-CN"/>
              </w:rPr>
              <w:t>13</w:t>
            </w:r>
          </w:p>
        </w:tc>
        <w:tc>
          <w:tcPr>
            <w:tcW w:w="874" w:type="pct"/>
            <w:noWrap w:val="0"/>
            <w:vAlign w:val="center"/>
          </w:tcPr>
          <w:p w14:paraId="080B178F">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推广应用“四川公安知识产权云警务”</w:t>
            </w:r>
            <w:r>
              <w:rPr>
                <w:rFonts w:hint="default" w:ascii="Times New Roman" w:hAnsi="Times New Roman" w:eastAsia="方正仿宋简体" w:cs="Times New Roman"/>
                <w:color w:val="auto"/>
                <w:sz w:val="28"/>
                <w:szCs w:val="28"/>
                <w:lang w:eastAsia="zh-CN"/>
              </w:rPr>
              <w:t>小程序，健全知识产权保护工作体系机制</w:t>
            </w:r>
          </w:p>
        </w:tc>
        <w:tc>
          <w:tcPr>
            <w:tcW w:w="3818" w:type="pct"/>
            <w:noWrap w:val="0"/>
            <w:vAlign w:val="center"/>
          </w:tcPr>
          <w:p w14:paraId="2141DBD9">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公安厅</w:t>
            </w:r>
            <w:r>
              <w:rPr>
                <w:rFonts w:hint="eastAsia" w:ascii="Times New Roman" w:hAnsi="Times New Roman" w:eastAsia="方正仿宋简体" w:cs="Times New Roman"/>
                <w:color w:val="auto"/>
                <w:sz w:val="28"/>
                <w:szCs w:val="28"/>
                <w:lang w:val="en-US" w:eastAsia="zh-CN"/>
              </w:rPr>
              <w:t>在</w:t>
            </w:r>
            <w:r>
              <w:rPr>
                <w:rFonts w:hint="default" w:ascii="Times New Roman" w:hAnsi="Times New Roman" w:eastAsia="方正仿宋简体" w:cs="Times New Roman"/>
                <w:color w:val="auto"/>
                <w:sz w:val="28"/>
                <w:szCs w:val="28"/>
              </w:rPr>
              <w:t>全省推广应用“四川公安知识产权云警务”微信小程序，宣传知识产权法律法规和典型案例，收集案件线索、转化案件侦办。建成知识产权“法律法规查询库”“检测鉴定机构咨询库”。开通问题咨询</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线索反</w:t>
            </w:r>
            <w:r>
              <w:rPr>
                <w:rFonts w:hint="eastAsia" w:ascii="Times New Roman" w:hAnsi="Times New Roman" w:cs="Times New Roman"/>
                <w:color w:val="auto"/>
                <w:sz w:val="28"/>
                <w:szCs w:val="28"/>
                <w:lang w:eastAsia="zh-CN"/>
              </w:rPr>
              <w:t>映</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走访预约等功能，为企业实现“一键报警”“一键问询”“一键预约”。设立媒体聚焦版块，通报全省知识产权刑事保护工作动态。平台</w:t>
            </w:r>
            <w:r>
              <w:rPr>
                <w:rFonts w:hint="eastAsia" w:ascii="Times New Roman" w:hAnsi="Times New Roman" w:eastAsia="方正仿宋简体" w:cs="Times New Roman"/>
                <w:color w:val="auto"/>
                <w:sz w:val="28"/>
                <w:szCs w:val="28"/>
                <w:lang w:val="en-US" w:eastAsia="zh-CN"/>
              </w:rPr>
              <w:t>现有</w:t>
            </w:r>
            <w:r>
              <w:rPr>
                <w:rFonts w:hint="default" w:ascii="Times New Roman" w:hAnsi="Times New Roman" w:eastAsia="方正仿宋简体" w:cs="Times New Roman"/>
                <w:color w:val="auto"/>
                <w:sz w:val="28"/>
                <w:szCs w:val="28"/>
              </w:rPr>
              <w:t>注册入驻企业7857家，</w:t>
            </w:r>
            <w:r>
              <w:rPr>
                <w:rFonts w:hint="eastAsia" w:ascii="Times New Roman" w:hAnsi="Times New Roman" w:eastAsia="方正仿宋简体" w:cs="Times New Roman"/>
                <w:color w:val="auto"/>
                <w:sz w:val="28"/>
                <w:szCs w:val="28"/>
                <w:lang w:val="en-US" w:eastAsia="zh-CN"/>
              </w:rPr>
              <w:t>答复</w:t>
            </w:r>
            <w:r>
              <w:rPr>
                <w:rFonts w:hint="default" w:ascii="Times New Roman" w:hAnsi="Times New Roman" w:eastAsia="方正仿宋简体" w:cs="Times New Roman"/>
                <w:color w:val="auto"/>
                <w:sz w:val="28"/>
                <w:szCs w:val="28"/>
              </w:rPr>
              <w:t>知识产权保护问题</w:t>
            </w:r>
            <w:r>
              <w:rPr>
                <w:rFonts w:hint="eastAsia" w:ascii="Times New Roman" w:hAnsi="Times New Roman" w:eastAsia="方正仿宋简体" w:cs="Times New Roman"/>
                <w:color w:val="auto"/>
                <w:sz w:val="28"/>
                <w:szCs w:val="28"/>
                <w:lang w:val="en-US" w:eastAsia="zh-CN"/>
              </w:rPr>
              <w:t>咨询</w:t>
            </w:r>
            <w:r>
              <w:rPr>
                <w:rFonts w:hint="default" w:ascii="Times New Roman" w:hAnsi="Times New Roman" w:eastAsia="方正仿宋简体" w:cs="Times New Roman"/>
                <w:color w:val="auto"/>
                <w:sz w:val="28"/>
                <w:szCs w:val="28"/>
              </w:rPr>
              <w:t>103</w:t>
            </w:r>
            <w:r>
              <w:rPr>
                <w:rFonts w:hint="eastAsia" w:ascii="Times New Roman" w:hAnsi="Times New Roman" w:eastAsia="方正仿宋简体" w:cs="Times New Roman"/>
                <w:color w:val="auto"/>
                <w:sz w:val="28"/>
                <w:szCs w:val="28"/>
                <w:lang w:val="en-US" w:eastAsia="zh-CN"/>
              </w:rPr>
              <w:t>件</w:t>
            </w:r>
            <w:r>
              <w:rPr>
                <w:rFonts w:hint="default" w:ascii="Times New Roman" w:hAnsi="Times New Roman" w:eastAsia="方正仿宋简体" w:cs="Times New Roman"/>
                <w:color w:val="auto"/>
                <w:sz w:val="28"/>
                <w:szCs w:val="28"/>
              </w:rPr>
              <w:t>，收集案件线索15条，成案8起，抓获嫌疑人21名。</w:t>
            </w:r>
          </w:p>
        </w:tc>
      </w:tr>
      <w:tr w14:paraId="7941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059882E0">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14</w:t>
            </w:r>
          </w:p>
        </w:tc>
        <w:tc>
          <w:tcPr>
            <w:tcW w:w="874" w:type="pct"/>
            <w:noWrap w:val="0"/>
            <w:vAlign w:val="center"/>
          </w:tcPr>
          <w:p w14:paraId="7B26D060">
            <w:pPr>
              <w:keepNext w:val="0"/>
              <w:keepLines w:val="0"/>
              <w:pageBreakBefore w:val="0"/>
              <w:widowControl w:val="0"/>
              <w:kinsoku/>
              <w:wordWrap/>
              <w:overflowPunct w:val="0"/>
              <w:topLinePunct w:val="0"/>
              <w:autoSpaceDE/>
              <w:autoSpaceDN/>
              <w:bidi w:val="0"/>
              <w:snapToGrid/>
              <w:spacing w:beforeAutospacing="0" w:afterAutospacing="0" w:line="440" w:lineRule="exact"/>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培育打造“天府粮仓”省级公用品牌，提升“川字号”农产品知名度和影响力</w:t>
            </w:r>
          </w:p>
        </w:tc>
        <w:tc>
          <w:tcPr>
            <w:tcW w:w="3818" w:type="pct"/>
            <w:noWrap w:val="0"/>
            <w:vAlign w:val="center"/>
          </w:tcPr>
          <w:p w14:paraId="4CA2C427">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552" w:firstLineChars="200"/>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四川省农产品质量安全中心</w:t>
            </w:r>
            <w:r>
              <w:rPr>
                <w:rFonts w:hint="default" w:ascii="Times New Roman" w:hAnsi="Times New Roman" w:eastAsia="方正仿宋简体" w:cs="Times New Roman"/>
                <w:color w:val="auto"/>
                <w:sz w:val="28"/>
                <w:szCs w:val="28"/>
                <w:lang w:val="en-US" w:eastAsia="zh-CN"/>
              </w:rPr>
              <w:t>聚焦“建机制、育精品、强营销”关键环节</w:t>
            </w:r>
            <w:r>
              <w:rPr>
                <w:rFonts w:hint="eastAsia" w:ascii="Times New Roman" w:hAnsi="Times New Roman" w:eastAsia="方正仿宋简体" w:cs="Times New Roman"/>
                <w:color w:val="auto"/>
                <w:sz w:val="28"/>
                <w:szCs w:val="28"/>
                <w:lang w:val="en-US" w:eastAsia="zh-CN"/>
              </w:rPr>
              <w:t>，推进</w:t>
            </w:r>
            <w:r>
              <w:rPr>
                <w:rFonts w:hint="default" w:ascii="Times New Roman" w:hAnsi="Times New Roman" w:eastAsia="方正仿宋简体" w:cs="Times New Roman"/>
                <w:color w:val="auto"/>
                <w:sz w:val="28"/>
                <w:szCs w:val="28"/>
                <w:lang w:val="en-US" w:eastAsia="zh-CN"/>
              </w:rPr>
              <w:t>“天府粮仓”省级公用品牌培育打造和监管保护工作</w:t>
            </w:r>
            <w:r>
              <w:rPr>
                <w:rFonts w:hint="eastAsia" w:ascii="Times New Roman" w:hAnsi="Times New Roman" w:eastAsia="方正仿宋简体" w:cs="Times New Roman"/>
                <w:color w:val="auto"/>
                <w:sz w:val="28"/>
                <w:szCs w:val="28"/>
                <w:lang w:val="en-US" w:eastAsia="zh-CN"/>
              </w:rPr>
              <w:t>。</w:t>
            </w:r>
            <w:r>
              <w:rPr>
                <w:rFonts w:hint="default" w:ascii="Times New Roman" w:hAnsi="Times New Roman" w:eastAsia="方正仿宋简体" w:cs="Times New Roman"/>
                <w:color w:val="auto"/>
                <w:sz w:val="28"/>
                <w:szCs w:val="28"/>
                <w:lang w:val="en-US" w:eastAsia="zh-CN"/>
              </w:rPr>
              <w:t>注册“天府粮仓”集体商标，出台“天府粮仓”农业品牌建设行动方案、“天府粮仓”省级公用品牌标识管理办法</w:t>
            </w:r>
            <w:r>
              <w:rPr>
                <w:rFonts w:hint="eastAsia" w:ascii="Times New Roman" w:hAnsi="Times New Roman" w:eastAsia="方正仿宋简体" w:cs="Times New Roman"/>
                <w:color w:val="auto"/>
                <w:sz w:val="28"/>
                <w:szCs w:val="28"/>
                <w:lang w:val="en-US" w:eastAsia="zh-CN"/>
              </w:rPr>
              <w:t>，</w:t>
            </w:r>
            <w:r>
              <w:rPr>
                <w:rFonts w:hint="default" w:ascii="Times New Roman" w:hAnsi="Times New Roman" w:eastAsia="方正仿宋简体" w:cs="Times New Roman"/>
                <w:color w:val="auto"/>
                <w:sz w:val="28"/>
                <w:szCs w:val="28"/>
                <w:lang w:val="en-US" w:eastAsia="zh-CN"/>
              </w:rPr>
              <w:t>实施“天府粮仓”精品品牌培育计划，</w:t>
            </w:r>
            <w:r>
              <w:rPr>
                <w:rFonts w:hint="eastAsia" w:ascii="Times New Roman" w:hAnsi="Times New Roman" w:eastAsia="方正仿宋简体" w:cs="Times New Roman"/>
                <w:color w:val="auto"/>
                <w:sz w:val="28"/>
                <w:szCs w:val="28"/>
                <w:lang w:val="en-US" w:eastAsia="zh-CN"/>
              </w:rPr>
              <w:t>建立</w:t>
            </w:r>
            <w:r>
              <w:rPr>
                <w:rFonts w:hint="default" w:ascii="Times New Roman" w:hAnsi="Times New Roman" w:eastAsia="方正仿宋简体" w:cs="Times New Roman"/>
                <w:color w:val="auto"/>
                <w:sz w:val="28"/>
                <w:szCs w:val="28"/>
                <w:lang w:val="en-US" w:eastAsia="zh-CN"/>
              </w:rPr>
              <w:t>四川省农业品牌目录制度，遴选254个优秀农业品牌纳入目录实施动态管理，培育“天府粮仓”精品品牌200个，举办“天府粮仓”精品全国推介系列活动</w:t>
            </w:r>
            <w:r>
              <w:rPr>
                <w:rFonts w:hint="eastAsia" w:ascii="Times New Roman" w:hAnsi="Times New Roman" w:eastAsia="方正仿宋简体" w:cs="Times New Roman"/>
                <w:color w:val="auto"/>
                <w:sz w:val="28"/>
                <w:szCs w:val="28"/>
                <w:lang w:val="en-US" w:eastAsia="zh-CN"/>
              </w:rPr>
              <w:t>，</w:t>
            </w:r>
            <w:r>
              <w:rPr>
                <w:rFonts w:hint="default" w:ascii="Times New Roman" w:hAnsi="Times New Roman" w:eastAsia="方正仿宋简体" w:cs="Times New Roman"/>
                <w:color w:val="auto"/>
                <w:sz w:val="28"/>
                <w:szCs w:val="28"/>
                <w:lang w:val="en-US" w:eastAsia="zh-CN"/>
              </w:rPr>
              <w:t>有效解决农业品牌“小散弱”问题。</w:t>
            </w:r>
          </w:p>
        </w:tc>
      </w:tr>
      <w:tr w14:paraId="54D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3BE5E9B8">
            <w:pPr>
              <w:keepNext w:val="0"/>
              <w:keepLines w:val="0"/>
              <w:pageBreakBefore w:val="0"/>
              <w:widowControl w:val="0"/>
              <w:kinsoku/>
              <w:wordWrap/>
              <w:overflowPunct w:val="0"/>
              <w:topLinePunct w:val="0"/>
              <w:autoSpaceDE/>
              <w:autoSpaceDN/>
              <w:bidi w:val="0"/>
              <w:snapToGrid/>
              <w:spacing w:beforeAutospacing="0" w:afterAutospacing="0" w:line="440" w:lineRule="exact"/>
              <w:jc w:val="center"/>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lang w:val="en-US" w:eastAsia="zh-CN"/>
              </w:rPr>
              <w:t>15</w:t>
            </w:r>
          </w:p>
        </w:tc>
        <w:tc>
          <w:tcPr>
            <w:tcW w:w="874" w:type="pct"/>
            <w:noWrap w:val="0"/>
            <w:vAlign w:val="center"/>
          </w:tcPr>
          <w:p w14:paraId="76AC8116">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440" w:lineRule="exact"/>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highlight w:val="none"/>
                <w:lang w:val="en-US" w:eastAsia="zh-CN"/>
              </w:rPr>
              <w:t>建立覆盖全省的涉外知识产权替代性争议解决机制</w:t>
            </w:r>
          </w:p>
        </w:tc>
        <w:tc>
          <w:tcPr>
            <w:tcW w:w="3818" w:type="pct"/>
            <w:noWrap w:val="0"/>
            <w:vAlign w:val="center"/>
          </w:tcPr>
          <w:p w14:paraId="2F344EAA">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440" w:lineRule="exact"/>
              <w:ind w:firstLine="552" w:firstLineChars="200"/>
              <w:jc w:val="left"/>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highlight w:val="none"/>
                <w:lang w:val="en-US" w:eastAsia="zh-CN"/>
              </w:rPr>
              <w:t>省法院</w:t>
            </w:r>
            <w:r>
              <w:rPr>
                <w:rFonts w:hint="default" w:ascii="Times New Roman" w:hAnsi="Times New Roman" w:eastAsia="方正仿宋简体" w:cs="Times New Roman"/>
                <w:color w:val="auto"/>
                <w:sz w:val="28"/>
                <w:szCs w:val="28"/>
                <w:highlight w:val="none"/>
              </w:rPr>
              <w:t>与世界知识产权组织仲裁与调解中心（简称WIPO仲调中心）签署《加强知识产权领域替代性争议解决交流与合作协议》，建立覆盖全省的涉外知识产权替代性争议解决机制，通过诉调对接、资源整合</w:t>
            </w:r>
            <w:r>
              <w:rPr>
                <w:rFonts w:hint="eastAsia"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流程创新，为涉外知识产权纠纷提供高效权威解决途径</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在天府中央法务区设立全国首个WIPO仲调中心实体联络点，将四川省三级涉外知识产权案件管辖法院纳入合作网络，开放全省知识产权案件管辖法院调解室及在线平台资源，通过专业化调解与司法确认衔接，实现纠纷处理周期大幅压缩、成本有效降低，推动四川法院涉外知识产权审判质效显著提升。</w:t>
            </w:r>
          </w:p>
        </w:tc>
      </w:tr>
      <w:tr w14:paraId="37C2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C0C3F32">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440" w:lineRule="exact"/>
              <w:jc w:val="center"/>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highlight w:val="none"/>
                <w:lang w:val="en-US" w:eastAsia="zh-CN"/>
              </w:rPr>
              <w:t>16</w:t>
            </w:r>
          </w:p>
        </w:tc>
        <w:tc>
          <w:tcPr>
            <w:tcW w:w="874" w:type="pct"/>
            <w:noWrap w:val="0"/>
            <w:vAlign w:val="center"/>
          </w:tcPr>
          <w:p w14:paraId="60429719">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构建“政府引导+平台支撑+市场运作”的专利转化服务体系，打造精准供需对接平台</w:t>
            </w:r>
          </w:p>
        </w:tc>
        <w:tc>
          <w:tcPr>
            <w:tcW w:w="3818" w:type="pct"/>
            <w:noWrap w:val="0"/>
            <w:vAlign w:val="center"/>
          </w:tcPr>
          <w:p w14:paraId="2BF6B73B">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成都知识产权交易中心有限公司建立“一校一专员”对接体系，依托专利分级分类智能分析系统，帮助高校院所完成专利资产清核、分级分类管理</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根据专利转化优先级建立专利转化资源库</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构建“专利转化资源库+企业专家库”，形成60类国民经济行业、40类战略性新兴产业的专利转化供给清单。开发一体化评价系统，组织企业专家开展专利价值多维评估，通过“线上初评+线下路演+专家复评”组合机制完成专利评价。创新开展“产业专场+专利组合”转化模式，举办新材料、食品等跨区域产业专场对接会，构建“转化服务直通车”机制。</w:t>
            </w:r>
          </w:p>
        </w:tc>
      </w:tr>
      <w:tr w14:paraId="5CD4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3539F319">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center"/>
              <w:textAlignment w:val="auto"/>
              <w:rPr>
                <w:rFonts w:hint="default" w:ascii="Times New Roman" w:hAnsi="Times New Roman" w:eastAsia="方正仿宋简体" w:cs="Times New Roman"/>
                <w:color w:val="auto"/>
                <w:kern w:val="64"/>
                <w:sz w:val="28"/>
                <w:szCs w:val="28"/>
                <w:vertAlign w:val="baseline"/>
                <w:lang w:val="en-US" w:eastAsia="zh-CN"/>
              </w:rPr>
            </w:pPr>
            <w:r>
              <w:rPr>
                <w:rFonts w:hint="default" w:ascii="Times New Roman" w:hAnsi="Times New Roman" w:eastAsia="方正仿宋简体" w:cs="Times New Roman"/>
                <w:color w:val="auto"/>
                <w:sz w:val="28"/>
                <w:szCs w:val="28"/>
                <w:lang w:val="en-US" w:eastAsia="zh-CN"/>
              </w:rPr>
              <w:t>17</w:t>
            </w:r>
          </w:p>
        </w:tc>
        <w:tc>
          <w:tcPr>
            <w:tcW w:w="874" w:type="pct"/>
            <w:noWrap w:val="0"/>
            <w:vAlign w:val="center"/>
          </w:tcPr>
          <w:p w14:paraId="0C59C7B4">
            <w:pPr>
              <w:keepNext w:val="0"/>
              <w:keepLines w:val="0"/>
              <w:pageBreakBefore w:val="0"/>
              <w:widowControl w:val="0"/>
              <w:kinsoku/>
              <w:wordWrap/>
              <w:overflowPunct w:val="0"/>
              <w:topLinePunct w:val="0"/>
              <w:autoSpaceDE/>
              <w:autoSpaceDN/>
              <w:bidi w:val="0"/>
              <w:adjustRightInd/>
              <w:snapToGrid/>
              <w:spacing w:line="440" w:lineRule="exact"/>
              <w:jc w:val="left"/>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kern w:val="64"/>
                <w:sz w:val="28"/>
                <w:szCs w:val="28"/>
                <w:lang w:val="en-US" w:eastAsia="zh-CN"/>
              </w:rPr>
              <w:t>运营天府文旅资源</w:t>
            </w:r>
            <w:r>
              <w:rPr>
                <w:rFonts w:hint="eastAsia" w:ascii="Times New Roman" w:hAnsi="Times New Roman" w:cs="Times New Roman"/>
                <w:color w:val="auto"/>
                <w:kern w:val="64"/>
                <w:sz w:val="28"/>
                <w:szCs w:val="28"/>
                <w:lang w:val="en-US" w:eastAsia="zh-CN"/>
              </w:rPr>
              <w:t>授</w:t>
            </w:r>
            <w:r>
              <w:rPr>
                <w:rFonts w:hint="default" w:ascii="Times New Roman" w:hAnsi="Times New Roman" w:eastAsia="方正仿宋简体" w:cs="Times New Roman"/>
                <w:color w:val="auto"/>
                <w:kern w:val="64"/>
                <w:sz w:val="28"/>
                <w:szCs w:val="28"/>
                <w:lang w:val="en-US" w:eastAsia="zh-CN"/>
              </w:rPr>
              <w:t>权交易平台，探索文旅领域授权交易市场化新路径</w:t>
            </w:r>
          </w:p>
        </w:tc>
        <w:tc>
          <w:tcPr>
            <w:tcW w:w="3818" w:type="pct"/>
            <w:noWrap w:val="0"/>
            <w:vAlign w:val="center"/>
          </w:tcPr>
          <w:p w14:paraId="2DA56CF3">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kern w:val="64"/>
                <w:sz w:val="28"/>
                <w:szCs w:val="28"/>
                <w:vertAlign w:val="baseline"/>
                <w:lang w:val="en-US" w:eastAsia="zh-CN"/>
              </w:rPr>
              <w:t>四川文化创意产业研究院</w:t>
            </w:r>
            <w:r>
              <w:rPr>
                <w:rFonts w:hint="default" w:ascii="Times New Roman" w:hAnsi="Times New Roman" w:eastAsia="方正仿宋简体" w:cs="Times New Roman"/>
                <w:color w:val="auto"/>
                <w:kern w:val="64"/>
                <w:sz w:val="28"/>
                <w:szCs w:val="28"/>
                <w:lang w:val="en-US" w:eastAsia="zh-CN"/>
              </w:rPr>
              <w:t>与西南联合产权交易所共同建设天府文旅IP资源授权交易平台，整合文旅企业股权转让、资产处置、招商招租等功能，建立全省景区、文博、非遗、动漫、艺术IP等资源在内的天府文旅IP项目库，储备一批具有市场转化价值及潜在授权合作可能性的品牌客户。提供“一站式”供需对接服务</w:t>
            </w:r>
            <w:r>
              <w:rPr>
                <w:rFonts w:hint="eastAsia" w:ascii="Times New Roman" w:hAnsi="Times New Roman" w:eastAsia="方正仿宋简体" w:cs="Times New Roman"/>
                <w:color w:val="auto"/>
                <w:kern w:val="64"/>
                <w:sz w:val="28"/>
                <w:szCs w:val="28"/>
                <w:lang w:val="en-US" w:eastAsia="zh-CN"/>
              </w:rPr>
              <w:t>，</w:t>
            </w:r>
            <w:r>
              <w:rPr>
                <w:rFonts w:hint="default" w:ascii="Times New Roman" w:hAnsi="Times New Roman" w:eastAsia="方正仿宋简体" w:cs="Times New Roman"/>
                <w:color w:val="auto"/>
                <w:kern w:val="64"/>
                <w:sz w:val="28"/>
                <w:szCs w:val="28"/>
                <w:lang w:val="en-US" w:eastAsia="zh-CN"/>
              </w:rPr>
              <w:t>以公开挂牌方式促成文旅知识产权交易，解决文旅产权要素资源有序流转问题。2024年平台完成挂牌文旅资源交易项目100余宗。</w:t>
            </w:r>
          </w:p>
        </w:tc>
      </w:tr>
      <w:tr w14:paraId="1051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7FEEECF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jc w:val="center"/>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bidi="ar-SA"/>
              </w:rPr>
              <w:t>18</w:t>
            </w:r>
          </w:p>
        </w:tc>
        <w:tc>
          <w:tcPr>
            <w:tcW w:w="874" w:type="pct"/>
            <w:noWrap w:val="0"/>
            <w:vAlign w:val="center"/>
          </w:tcPr>
          <w:p w14:paraId="4D6BD917">
            <w:pPr>
              <w:keepNext w:val="0"/>
              <w:keepLines w:val="0"/>
              <w:pageBreakBefore w:val="0"/>
              <w:kinsoku/>
              <w:wordWrap/>
              <w:overflowPunct w:val="0"/>
              <w:topLinePunct w:val="0"/>
              <w:autoSpaceDE/>
              <w:autoSpaceDN/>
              <w:bidi w:val="0"/>
              <w:adjustRightInd w:val="0"/>
              <w:snapToGrid/>
              <w:spacing w:beforeAutospacing="0" w:afterAutospacing="0" w:line="440" w:lineRule="exact"/>
              <w:jc w:val="left"/>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打造“文创+金融”深度融合新模式，落地</w:t>
            </w:r>
            <w:r>
              <w:rPr>
                <w:rFonts w:hint="default" w:ascii="Times New Roman" w:hAnsi="Times New Roman" w:eastAsia="方正仿宋简体" w:cs="Times New Roman"/>
                <w:color w:val="auto"/>
                <w:sz w:val="28"/>
                <w:szCs w:val="28"/>
                <w:lang w:eastAsia="zh-CN"/>
              </w:rPr>
              <w:t>全国首单版权</w:t>
            </w:r>
            <w:r>
              <w:rPr>
                <w:rFonts w:hint="default" w:ascii="Times New Roman" w:hAnsi="Times New Roman" w:eastAsia="方正仿宋简体" w:cs="Times New Roman"/>
                <w:color w:val="auto"/>
                <w:sz w:val="28"/>
                <w:szCs w:val="28"/>
                <w:lang w:val="en-US" w:eastAsia="zh-CN"/>
              </w:rPr>
              <w:t>ABN</w:t>
            </w:r>
          </w:p>
        </w:tc>
        <w:tc>
          <w:tcPr>
            <w:tcW w:w="3818" w:type="pct"/>
            <w:noWrap w:val="0"/>
            <w:vAlign w:val="center"/>
          </w:tcPr>
          <w:p w14:paraId="25DF0CE6">
            <w:pPr>
              <w:keepNext w:val="0"/>
              <w:keepLines w:val="0"/>
              <w:pageBreakBefore w:val="0"/>
              <w:kinsoku/>
              <w:wordWrap/>
              <w:overflowPunct w:val="0"/>
              <w:topLinePunct w:val="0"/>
              <w:autoSpaceDE/>
              <w:autoSpaceDN/>
              <w:bidi w:val="0"/>
              <w:adjustRightInd w:val="0"/>
              <w:snapToGrid/>
              <w:spacing w:beforeAutospacing="0" w:afterAutospacing="0" w:line="440" w:lineRule="exact"/>
              <w:ind w:firstLine="552" w:firstLineChars="200"/>
              <w:jc w:val="left"/>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成都银行</w:t>
            </w:r>
            <w:r>
              <w:rPr>
                <w:rFonts w:hint="eastAsia" w:ascii="Times New Roman" w:hAnsi="Times New Roman" w:eastAsia="方正仿宋简体" w:cs="Times New Roman"/>
                <w:color w:val="auto"/>
                <w:sz w:val="28"/>
                <w:szCs w:val="28"/>
                <w:lang w:val="en-US" w:eastAsia="zh-CN"/>
              </w:rPr>
              <w:t>积极</w:t>
            </w:r>
            <w:r>
              <w:rPr>
                <w:rFonts w:hint="default" w:ascii="Times New Roman" w:hAnsi="Times New Roman" w:eastAsia="方正仿宋简体" w:cs="Times New Roman"/>
                <w:color w:val="auto"/>
                <w:sz w:val="28"/>
                <w:szCs w:val="28"/>
              </w:rPr>
              <w:t>开发差异化和特色债务融资工具，2024年12月成功承销发行全国首单底层资产全部为版权的知识产权ABN（2024年度成银蓉城知识产权</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版权</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第一期定向资产支持票据），通过结构化设计助力企业无形资产价值确认，协助文创企业盘活版权资产，实现成本更低的直接融资，首期发行规模1亿元，利率2.1%。从产品结构、注册发行、底层资产筛选、版权资产管理等</w:t>
            </w:r>
            <w:r>
              <w:rPr>
                <w:rFonts w:hint="eastAsia" w:ascii="Times New Roman" w:hAnsi="Times New Roman" w:eastAsia="方正仿宋简体" w:cs="Times New Roman"/>
                <w:color w:val="auto"/>
                <w:sz w:val="28"/>
                <w:szCs w:val="28"/>
                <w:lang w:val="en-US" w:eastAsia="zh-CN"/>
              </w:rPr>
              <w:t>方面开展创新</w:t>
            </w:r>
            <w:r>
              <w:rPr>
                <w:rFonts w:hint="default" w:ascii="Times New Roman" w:hAnsi="Times New Roman" w:eastAsia="方正仿宋简体" w:cs="Times New Roman"/>
                <w:color w:val="auto"/>
                <w:sz w:val="28"/>
                <w:szCs w:val="28"/>
              </w:rPr>
              <w:t>设计，首期入池9家文创类中小微企业共1300余件版权资产通过项目实现价值评估。</w:t>
            </w:r>
          </w:p>
        </w:tc>
      </w:tr>
      <w:tr w14:paraId="4389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27090155">
            <w:pPr>
              <w:keepNext w:val="0"/>
              <w:keepLines w:val="0"/>
              <w:pageBreakBefore w:val="0"/>
              <w:kinsoku/>
              <w:wordWrap/>
              <w:overflowPunct w:val="0"/>
              <w:topLinePunct w:val="0"/>
              <w:autoSpaceDE/>
              <w:autoSpaceDN/>
              <w:bidi w:val="0"/>
              <w:adjustRightInd w:val="0"/>
              <w:snapToGrid/>
              <w:spacing w:beforeAutospacing="0" w:afterAutospacing="0" w:line="440" w:lineRule="exact"/>
              <w:jc w:val="center"/>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19</w:t>
            </w:r>
          </w:p>
        </w:tc>
        <w:tc>
          <w:tcPr>
            <w:tcW w:w="874" w:type="pct"/>
            <w:noWrap w:val="0"/>
            <w:vAlign w:val="center"/>
          </w:tcPr>
          <w:p w14:paraId="761E4347">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eastAsia="zh-CN"/>
              </w:rPr>
              <w:t>基于</w:t>
            </w:r>
            <w:r>
              <w:rPr>
                <w:rFonts w:hint="default" w:ascii="Times New Roman" w:hAnsi="Times New Roman" w:eastAsia="方正仿宋简体" w:cs="Times New Roman"/>
                <w:color w:val="auto"/>
                <w:sz w:val="28"/>
                <w:szCs w:val="28"/>
              </w:rPr>
              <w:t>区块链、大数据技术</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建强数字版权综合服务平台</w:t>
            </w:r>
          </w:p>
        </w:tc>
        <w:tc>
          <w:tcPr>
            <w:tcW w:w="3818" w:type="pct"/>
            <w:noWrap w:val="0"/>
            <w:vAlign w:val="center"/>
          </w:tcPr>
          <w:p w14:paraId="0161F84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552" w:firstLineChars="200"/>
              <w:jc w:val="left"/>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成都市版权局</w:t>
            </w:r>
            <w:r>
              <w:rPr>
                <w:rFonts w:hint="default" w:ascii="Times New Roman" w:hAnsi="Times New Roman" w:eastAsia="方正仿宋简体" w:cs="Times New Roman"/>
                <w:color w:val="auto"/>
                <w:sz w:val="28"/>
                <w:szCs w:val="28"/>
              </w:rPr>
              <w:t>以区块链、大数据为技术核心</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集成全国首个区块链确权存证系统，率先建成城市级数字版权综合服务枢纽，</w:t>
            </w:r>
            <w:r>
              <w:rPr>
                <w:rFonts w:hint="default" w:ascii="Times New Roman" w:hAnsi="Times New Roman" w:eastAsia="方正仿宋简体" w:cs="Times New Roman"/>
                <w:color w:val="auto"/>
                <w:sz w:val="28"/>
                <w:szCs w:val="28"/>
                <w:lang w:val="en-US" w:eastAsia="zh-CN"/>
              </w:rPr>
              <w:t>链接</w:t>
            </w:r>
            <w:r>
              <w:rPr>
                <w:rFonts w:hint="default" w:ascii="Times New Roman" w:hAnsi="Times New Roman" w:eastAsia="方正仿宋简体" w:cs="Times New Roman"/>
                <w:color w:val="auto"/>
                <w:sz w:val="28"/>
                <w:szCs w:val="28"/>
              </w:rPr>
              <w:t>成都市23个区（市）县</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打通40余个版权工作站</w:t>
            </w:r>
            <w:r>
              <w:rPr>
                <w:rFonts w:hint="default" w:ascii="Times New Roman" w:hAnsi="Times New Roman" w:eastAsia="方正仿宋简体" w:cs="Times New Roman"/>
                <w:color w:val="auto"/>
                <w:sz w:val="28"/>
                <w:szCs w:val="28"/>
              </w:rPr>
              <w:t>，构建</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1+23+N</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版权公共服务体系，</w:t>
            </w:r>
            <w:r>
              <w:rPr>
                <w:rFonts w:hint="default" w:ascii="Times New Roman" w:hAnsi="Times New Roman" w:eastAsia="方正仿宋简体" w:cs="Times New Roman"/>
                <w:color w:val="auto"/>
                <w:sz w:val="28"/>
                <w:szCs w:val="28"/>
                <w:lang w:val="en-US" w:eastAsia="zh-CN"/>
              </w:rPr>
              <w:t>免费</w:t>
            </w:r>
            <w:r>
              <w:rPr>
                <w:rFonts w:hint="default" w:ascii="Times New Roman" w:hAnsi="Times New Roman" w:eastAsia="方正仿宋简体" w:cs="Times New Roman"/>
                <w:color w:val="auto"/>
                <w:sz w:val="28"/>
                <w:szCs w:val="28"/>
              </w:rPr>
              <w:t>在线提供版权确权、技术存证、信息查询、在线监测等服务</w:t>
            </w:r>
            <w:r>
              <w:rPr>
                <w:rFonts w:hint="default" w:ascii="Times New Roman" w:hAnsi="Times New Roman" w:eastAsia="方正仿宋简体" w:cs="Times New Roman"/>
                <w:color w:val="auto"/>
                <w:sz w:val="28"/>
                <w:szCs w:val="28"/>
                <w:lang w:eastAsia="zh-CN"/>
              </w:rPr>
              <w:t>，实现版权服务“一网通办”</w:t>
            </w:r>
            <w:r>
              <w:rPr>
                <w:rFonts w:hint="default" w:ascii="Times New Roman" w:hAnsi="Times New Roman" w:eastAsia="方正仿宋简体" w:cs="Times New Roman"/>
                <w:color w:val="auto"/>
                <w:sz w:val="28"/>
                <w:szCs w:val="28"/>
              </w:rPr>
              <w:t>。通过</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技术+机制</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双轮驱动，累计服务用户60万</w:t>
            </w:r>
            <w:r>
              <w:rPr>
                <w:rFonts w:hint="default" w:ascii="Times New Roman" w:hAnsi="Times New Roman" w:eastAsia="方正仿宋简体" w:cs="Times New Roman"/>
                <w:color w:val="auto"/>
                <w:sz w:val="28"/>
                <w:szCs w:val="28"/>
                <w:lang w:val="en-US" w:eastAsia="zh-CN"/>
              </w:rPr>
              <w:t>人</w:t>
            </w:r>
            <w:r>
              <w:rPr>
                <w:rFonts w:hint="default" w:ascii="Times New Roman" w:hAnsi="Times New Roman" w:eastAsia="方正仿宋简体" w:cs="Times New Roman"/>
                <w:color w:val="auto"/>
                <w:sz w:val="28"/>
                <w:szCs w:val="28"/>
              </w:rPr>
              <w:t>次，实现作品版权登记68万余件、技术存证300万余件。其构建的区块链存证标准、跨区域协作机制被中西部5省11市借鉴应用，推动建成覆盖西南地区的数字版权协同发展生态圈</w:t>
            </w:r>
            <w:r>
              <w:rPr>
                <w:rFonts w:hint="default" w:ascii="Times New Roman" w:hAnsi="Times New Roman" w:eastAsia="方正仿宋简体" w:cs="Times New Roman"/>
                <w:color w:val="auto"/>
                <w:sz w:val="28"/>
                <w:szCs w:val="28"/>
                <w:lang w:eastAsia="zh-CN"/>
              </w:rPr>
              <w:t>。</w:t>
            </w:r>
          </w:p>
        </w:tc>
      </w:tr>
      <w:tr w14:paraId="3B7D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69DE25D">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20</w:t>
            </w:r>
          </w:p>
        </w:tc>
        <w:tc>
          <w:tcPr>
            <w:tcW w:w="874" w:type="pct"/>
            <w:noWrap w:val="0"/>
            <w:vAlign w:val="center"/>
          </w:tcPr>
          <w:p w14:paraId="639851B3">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eastAsia="zh-CN"/>
              </w:rPr>
              <w:t>建立</w:t>
            </w:r>
            <w:r>
              <w:rPr>
                <w:rFonts w:hint="default" w:ascii="Times New Roman" w:hAnsi="Times New Roman" w:eastAsia="方正仿宋简体" w:cs="Times New Roman"/>
                <w:color w:val="auto"/>
                <w:sz w:val="28"/>
                <w:szCs w:val="28"/>
              </w:rPr>
              <w:t>“四级联动+多维协同”技术调查官机制，破解知识产权案件技术壁垒</w:t>
            </w:r>
          </w:p>
        </w:tc>
        <w:tc>
          <w:tcPr>
            <w:tcW w:w="3818" w:type="pct"/>
            <w:noWrap w:val="0"/>
            <w:vAlign w:val="center"/>
          </w:tcPr>
          <w:p w14:paraId="5288E0DA">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国家知识产权局专利局</w:t>
            </w:r>
            <w:r>
              <w:rPr>
                <w:rFonts w:hint="eastAsia" w:ascii="Times New Roman" w:hAnsi="Times New Roman" w:eastAsia="方正仿宋简体" w:cs="Times New Roman"/>
                <w:color w:val="auto"/>
                <w:sz w:val="28"/>
                <w:szCs w:val="28"/>
                <w:lang w:val="en-US" w:eastAsia="zh-CN"/>
              </w:rPr>
              <w:t>专利审查协作</w:t>
            </w:r>
            <w:r>
              <w:rPr>
                <w:rFonts w:hint="default" w:ascii="Times New Roman" w:hAnsi="Times New Roman" w:eastAsia="方正仿宋简体" w:cs="Times New Roman"/>
                <w:color w:val="auto"/>
                <w:sz w:val="28"/>
                <w:szCs w:val="28"/>
              </w:rPr>
              <w:t>四川中心针对知识产权案件技术性强、涉及领域广、取证难度大等痛点，创新构建“四级联动+多维协同”技术调查官机制，联合最高院知识产权法庭</w:t>
            </w:r>
            <w:r>
              <w:rPr>
                <w:rFonts w:hint="eastAsia" w:ascii="Times New Roman" w:hAnsi="Times New Roman" w:eastAsia="方正仿宋简体" w:cs="Times New Roman"/>
                <w:color w:val="auto"/>
                <w:sz w:val="28"/>
                <w:szCs w:val="28"/>
                <w:lang w:val="en-US" w:eastAsia="zh-CN"/>
              </w:rPr>
              <w:t>和</w:t>
            </w:r>
            <w:r>
              <w:rPr>
                <w:rFonts w:hint="default" w:ascii="Times New Roman" w:hAnsi="Times New Roman" w:eastAsia="方正仿宋简体" w:cs="Times New Roman"/>
                <w:color w:val="auto"/>
                <w:sz w:val="28"/>
                <w:szCs w:val="28"/>
              </w:rPr>
              <w:t>省</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市</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县法院，构建“司法审判+技术调查”协同机制，实现技术专家全程参与技术类知识产权案件审理；依托国家级专利审查人才库，与10个西部重点城市签订战略合作协议；开展企业知识产权咨询、维权援助辅导、专利诉讼支撑及普法宣传教育，累计服务企业500余家。参与专利、商业秘密、软件著作权等各类知识产权侵权案件320余件，案件平均审理周期缩短30%。</w:t>
            </w:r>
          </w:p>
        </w:tc>
      </w:tr>
      <w:tr w14:paraId="7A6A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noWrap w:val="0"/>
            <w:vAlign w:val="center"/>
          </w:tcPr>
          <w:p w14:paraId="387D347C">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楷体简体" w:cs="Times New Roman"/>
                <w:b/>
                <w:bCs w:val="0"/>
                <w:color w:val="auto"/>
                <w:sz w:val="28"/>
                <w:szCs w:val="28"/>
                <w:shd w:val="clear" w:color="auto" w:fill="FFFFFF"/>
                <w:lang w:eastAsia="zh-CN" w:bidi="ar"/>
              </w:rPr>
              <w:t>专利转化运用类</w:t>
            </w:r>
          </w:p>
        </w:tc>
      </w:tr>
      <w:tr w14:paraId="2228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8DA8B14">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21</w:t>
            </w:r>
          </w:p>
        </w:tc>
        <w:tc>
          <w:tcPr>
            <w:tcW w:w="874" w:type="pct"/>
            <w:noWrap w:val="0"/>
            <w:vAlign w:val="center"/>
          </w:tcPr>
          <w:p w14:paraId="72AE43E9">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“核药”专利成果转化助力健康中国建设</w:t>
            </w:r>
          </w:p>
        </w:tc>
        <w:tc>
          <w:tcPr>
            <w:tcW w:w="3818" w:type="pct"/>
            <w:noWrap w:val="0"/>
            <w:vAlign w:val="center"/>
          </w:tcPr>
          <w:p w14:paraId="67B1E626">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西南医科大学附属医院立足核医学基础研究及临床转化，推动骨转移瘤核素诊疗一体相关分子靶向诊疗专利技术产业化，通过“产学研”联合，将具备完全自主知识产权的诊疗一体化放射性药物（DOTA—伊班膦酸）与医药生产公司达成独占许可。该放射诊疗药物作为院内制剂临床应用4000余人次，已获批新药临床试验申请（IND），将</w:t>
            </w:r>
            <w:r>
              <w:rPr>
                <w:rFonts w:hint="eastAsia" w:ascii="Times New Roman" w:hAnsi="Times New Roman" w:eastAsia="方正仿宋简体" w:cs="Times New Roman"/>
                <w:color w:val="auto"/>
                <w:kern w:val="64"/>
                <w:sz w:val="28"/>
                <w:szCs w:val="28"/>
                <w:lang w:val="en-US" w:eastAsia="zh-CN"/>
              </w:rPr>
              <w:t>大幅</w:t>
            </w:r>
            <w:r>
              <w:rPr>
                <w:rFonts w:hint="default" w:ascii="Times New Roman" w:hAnsi="Times New Roman" w:eastAsia="方正仿宋简体" w:cs="Times New Roman"/>
                <w:color w:val="auto"/>
                <w:kern w:val="64"/>
                <w:sz w:val="28"/>
                <w:szCs w:val="28"/>
                <w:lang w:val="en-US" w:eastAsia="zh-CN"/>
              </w:rPr>
              <w:t>改善肿瘤骨转移患者治疗</w:t>
            </w:r>
            <w:r>
              <w:rPr>
                <w:rFonts w:hint="eastAsia" w:ascii="Times New Roman" w:hAnsi="Times New Roman" w:eastAsia="方正仿宋简体" w:cs="Times New Roman"/>
                <w:color w:val="auto"/>
                <w:kern w:val="64"/>
                <w:sz w:val="28"/>
                <w:szCs w:val="28"/>
                <w:lang w:val="en-US" w:eastAsia="zh-CN"/>
              </w:rPr>
              <w:t>效果</w:t>
            </w:r>
            <w:r>
              <w:rPr>
                <w:rFonts w:hint="default" w:ascii="Times New Roman" w:hAnsi="Times New Roman" w:eastAsia="方正仿宋简体" w:cs="Times New Roman"/>
                <w:color w:val="auto"/>
                <w:kern w:val="64"/>
                <w:sz w:val="28"/>
                <w:szCs w:val="28"/>
                <w:lang w:val="en-US" w:eastAsia="zh-CN"/>
              </w:rPr>
              <w:t>。</w:t>
            </w:r>
          </w:p>
        </w:tc>
      </w:tr>
      <w:tr w14:paraId="38B7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41E84A94">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22</w:t>
            </w:r>
          </w:p>
        </w:tc>
        <w:tc>
          <w:tcPr>
            <w:tcW w:w="874" w:type="pct"/>
            <w:noWrap w:val="0"/>
            <w:vAlign w:val="center"/>
          </w:tcPr>
          <w:p w14:paraId="6A389BFA">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高价值创新药专利许可赋能开辟国际医药产业新路径</w:t>
            </w:r>
          </w:p>
        </w:tc>
        <w:tc>
          <w:tcPr>
            <w:tcW w:w="3818" w:type="pct"/>
            <w:noWrap w:val="0"/>
            <w:vAlign w:val="center"/>
          </w:tcPr>
          <w:p w14:paraId="15655466">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康诺亚生物医药科技（成都）有限公司</w:t>
            </w:r>
            <w:r>
              <w:rPr>
                <w:rFonts w:hint="eastAsia" w:ascii="Times New Roman" w:hAnsi="Times New Roman" w:eastAsia="方正仿宋简体" w:cs="Times New Roman"/>
                <w:color w:val="auto"/>
                <w:kern w:val="64"/>
                <w:sz w:val="28"/>
                <w:szCs w:val="28"/>
                <w:lang w:val="en-US" w:eastAsia="zh-CN"/>
              </w:rPr>
              <w:t>采取</w:t>
            </w:r>
            <w:r>
              <w:rPr>
                <w:rFonts w:hint="default" w:ascii="Times New Roman" w:hAnsi="Times New Roman" w:eastAsia="方正仿宋简体" w:cs="Times New Roman"/>
                <w:color w:val="auto"/>
                <w:kern w:val="64"/>
                <w:sz w:val="28"/>
                <w:szCs w:val="28"/>
                <w:lang w:val="en-US" w:eastAsia="zh-CN"/>
              </w:rPr>
              <w:t>Licence-out</w:t>
            </w:r>
            <w:r>
              <w:rPr>
                <w:rFonts w:hint="eastAsia" w:ascii="Times New Roman" w:hAnsi="Times New Roman" w:eastAsia="方正仿宋简体" w:cs="Times New Roman"/>
                <w:color w:val="auto"/>
                <w:kern w:val="64"/>
                <w:sz w:val="28"/>
                <w:szCs w:val="28"/>
                <w:lang w:val="en-US" w:eastAsia="zh-CN"/>
              </w:rPr>
              <w:t>、</w:t>
            </w:r>
            <w:r>
              <w:rPr>
                <w:rFonts w:hint="default" w:ascii="Times New Roman" w:hAnsi="Times New Roman" w:eastAsia="方正仿宋简体" w:cs="Times New Roman"/>
                <w:color w:val="auto"/>
                <w:kern w:val="64"/>
                <w:sz w:val="28"/>
                <w:szCs w:val="28"/>
                <w:lang w:val="en-US" w:eastAsia="zh-CN"/>
              </w:rPr>
              <w:t>NewCO两种模式</w:t>
            </w:r>
            <w:r>
              <w:rPr>
                <w:rFonts w:hint="eastAsia" w:ascii="Times New Roman" w:hAnsi="Times New Roman" w:eastAsia="方正仿宋简体" w:cs="Times New Roman"/>
                <w:color w:val="auto"/>
                <w:kern w:val="64"/>
                <w:sz w:val="28"/>
                <w:szCs w:val="28"/>
                <w:lang w:val="en-US" w:eastAsia="zh-CN"/>
              </w:rPr>
              <w:t>推进</w:t>
            </w:r>
            <w:r>
              <w:rPr>
                <w:rFonts w:hint="default" w:ascii="Times New Roman" w:hAnsi="Times New Roman" w:eastAsia="方正仿宋简体" w:cs="Times New Roman"/>
                <w:color w:val="auto"/>
                <w:kern w:val="64"/>
                <w:sz w:val="28"/>
                <w:szCs w:val="28"/>
                <w:lang w:val="en-US" w:eastAsia="zh-CN"/>
              </w:rPr>
              <w:t>专利许可，通过高潜力创新药专利项目实现资源整合，其中许可方以专利技术入股，被许可方投入资金、生产及临床资源，双方团队紧密协作，同时明确知识产权归属与商业化策略，已完成7个创新药项目授权合作，涉及9项知识产权许可，获得4家外资企业股权，实现许可收益9.08亿元，有效帮助解决创新药研发面临的资金、国际资源与高风险难题。</w:t>
            </w:r>
          </w:p>
        </w:tc>
      </w:tr>
      <w:tr w14:paraId="572C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563A0F10">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23</w:t>
            </w:r>
          </w:p>
        </w:tc>
        <w:tc>
          <w:tcPr>
            <w:tcW w:w="874" w:type="pct"/>
            <w:noWrap w:val="0"/>
            <w:vAlign w:val="center"/>
          </w:tcPr>
          <w:p w14:paraId="1762A234">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“专利许可+”组合式成果转化，推动高校科研优势有力促进产业创新</w:t>
            </w:r>
          </w:p>
        </w:tc>
        <w:tc>
          <w:tcPr>
            <w:tcW w:w="3818" w:type="pct"/>
            <w:noWrap w:val="0"/>
            <w:vAlign w:val="center"/>
          </w:tcPr>
          <w:p w14:paraId="13A2132E">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四川大学以“专利技术许可+”</w:t>
            </w:r>
            <w:r>
              <w:rPr>
                <w:rFonts w:hint="eastAsia" w:ascii="Times New Roman" w:hAnsi="Times New Roman" w:eastAsia="方正仿宋简体" w:cs="Times New Roman"/>
                <w:color w:val="auto"/>
                <w:kern w:val="64"/>
                <w:sz w:val="28"/>
                <w:szCs w:val="28"/>
                <w:lang w:val="en-US" w:eastAsia="zh-CN"/>
              </w:rPr>
              <w:t>推进</w:t>
            </w:r>
            <w:r>
              <w:rPr>
                <w:rFonts w:hint="default" w:ascii="Times New Roman" w:hAnsi="Times New Roman" w:eastAsia="方正仿宋简体" w:cs="Times New Roman"/>
                <w:color w:val="auto"/>
                <w:kern w:val="64"/>
                <w:sz w:val="28"/>
                <w:szCs w:val="28"/>
                <w:lang w:val="en-US" w:eastAsia="zh-CN"/>
              </w:rPr>
              <w:t>组合式科技成果转化，在存量专利盘活工作中鼓励基于产业发展需求和技术应用特点，通过“专利技术许可+技术秘密”“专利技术许可+中试熟化”，实现专利技术成果与企业协同创新相结合，开展二次开发、技术验证、熟化、产业化和工程化，实现复杂工艺系统科技成果市场化应用，攻克领域内相关技术“卡脖子”难题，累计向产业主体许可11次，实现专利许可收益2.1亿元。</w:t>
            </w:r>
          </w:p>
        </w:tc>
      </w:tr>
      <w:tr w14:paraId="7F10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1AEB55EA">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24</w:t>
            </w:r>
          </w:p>
        </w:tc>
        <w:tc>
          <w:tcPr>
            <w:tcW w:w="874" w:type="pct"/>
            <w:noWrap w:val="0"/>
            <w:vAlign w:val="center"/>
          </w:tcPr>
          <w:p w14:paraId="00A31214">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柔性智造自主专利技术助力大国重器守护祖国空天</w:t>
            </w:r>
          </w:p>
        </w:tc>
        <w:tc>
          <w:tcPr>
            <w:tcW w:w="3818" w:type="pct"/>
            <w:noWrap w:val="0"/>
            <w:vAlign w:val="center"/>
          </w:tcPr>
          <w:p w14:paraId="61493B8C">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成都飞机工业（集团）有限责任公司聚焦飞机复杂结构件柔性智能加工，通过产学研用联合攻关与知识沉淀，突破工艺自决策、异常自感知、全要素高效协同等关键技术瓶颈，实施运用高价值发明专利61项</w:t>
            </w:r>
            <w:r>
              <w:rPr>
                <w:rFonts w:hint="eastAsia" w:ascii="Times New Roman" w:hAnsi="Times New Roman" w:eastAsia="方正仿宋简体" w:cs="Times New Roman"/>
                <w:color w:val="auto"/>
                <w:kern w:val="64"/>
                <w:sz w:val="28"/>
                <w:szCs w:val="28"/>
                <w:lang w:val="en-US" w:eastAsia="zh-CN"/>
              </w:rPr>
              <w:t>、</w:t>
            </w:r>
            <w:r>
              <w:rPr>
                <w:rFonts w:hint="default" w:ascii="Times New Roman" w:hAnsi="Times New Roman" w:eastAsia="方正仿宋简体" w:cs="Times New Roman"/>
                <w:color w:val="auto"/>
                <w:kern w:val="64"/>
                <w:sz w:val="28"/>
                <w:szCs w:val="28"/>
                <w:lang w:val="en-US" w:eastAsia="zh-CN"/>
              </w:rPr>
              <w:t>登记软件著作权25项，建成飞机复杂结构件大规模柔性智能车间，构建具有自主知识产权的数字化制造技术产品体系，形成“智改数转”工具包，建强结构件批量生产供应链，打造“黑灯工厂”航空智能制造新范式，先后为50余家制造企业提供数字化转型技术服务。</w:t>
            </w:r>
          </w:p>
        </w:tc>
      </w:tr>
      <w:tr w14:paraId="61F6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886074B">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25</w:t>
            </w:r>
          </w:p>
        </w:tc>
        <w:tc>
          <w:tcPr>
            <w:tcW w:w="874" w:type="pct"/>
            <w:noWrap w:val="0"/>
            <w:vAlign w:val="center"/>
          </w:tcPr>
          <w:p w14:paraId="738E1F37">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以专利密集型产品示范应用支撑关键核心装备自主可控</w:t>
            </w:r>
          </w:p>
        </w:tc>
        <w:tc>
          <w:tcPr>
            <w:tcW w:w="3818" w:type="pct"/>
            <w:noWrap w:val="0"/>
            <w:vAlign w:val="center"/>
          </w:tcPr>
          <w:p w14:paraId="3372D2A2">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东方电气集团东方电机有限公司围绕核心技术方法、装置和结构，在国家重大水利工程建设所需的关键核心装备上充分开展专利挖掘和“丛林式”专利布局，通过在全球单机容量最大的白鹤滩水电机组和中国水头第一的长龙山抽水蓄能机组进行场景真机应用和示范应用，实现核心技术与关键装备自主可控，帮助节约成本1.5亿元，进一步推广应用于洛宁、平江、鲁山抽蓄机组以及扎拉冲击式机组，项目合同总金额达76.27亿元，有力支撑国家重大战略工程建设。</w:t>
            </w:r>
          </w:p>
        </w:tc>
      </w:tr>
      <w:tr w14:paraId="29C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57DEA3F9">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26</w:t>
            </w:r>
          </w:p>
        </w:tc>
        <w:tc>
          <w:tcPr>
            <w:tcW w:w="874" w:type="pct"/>
            <w:noWrap w:val="0"/>
            <w:vAlign w:val="center"/>
          </w:tcPr>
          <w:p w14:paraId="536370C7">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药物发现革新专利技术产业化，赋能创新药物行业高质量发展</w:t>
            </w:r>
          </w:p>
        </w:tc>
        <w:tc>
          <w:tcPr>
            <w:tcW w:w="3818" w:type="pct"/>
            <w:noWrap w:val="0"/>
            <w:vAlign w:val="center"/>
          </w:tcPr>
          <w:p w14:paraId="0E84701E">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成都先导药物开发股份有限公司围绕自主知识产权专利技术—DNA编码化合物库技术的产业化运用，实现小分子新药发现领域突破，解决创新药物研发源头难题，广泛应用于工业化药物研发。基于该专利技术</w:t>
            </w:r>
            <w:r>
              <w:rPr>
                <w:rFonts w:hint="eastAsia" w:ascii="Times New Roman" w:hAnsi="Times New Roman" w:eastAsia="方正仿宋简体" w:cs="Times New Roman"/>
                <w:color w:val="auto"/>
                <w:kern w:val="64"/>
                <w:sz w:val="28"/>
                <w:szCs w:val="28"/>
                <w:lang w:val="en-US" w:eastAsia="zh-CN"/>
              </w:rPr>
              <w:t>，</w:t>
            </w:r>
            <w:r>
              <w:rPr>
                <w:rFonts w:hint="default" w:ascii="Times New Roman" w:hAnsi="Times New Roman" w:eastAsia="方正仿宋简体" w:cs="Times New Roman"/>
                <w:color w:val="auto"/>
                <w:kern w:val="64"/>
                <w:sz w:val="28"/>
                <w:szCs w:val="28"/>
                <w:lang w:val="en-US" w:eastAsia="zh-CN"/>
              </w:rPr>
              <w:t>构建全球已知最大的1.2万亿级DNA编码小分子实体化合物库，在北美、欧洲、亚洲、非洲及澳大利亚等地建立商业合作，成为DEL技术领域公开合作项目最多的企业，近两年通过相关专利技术服务实现收入超4亿元。</w:t>
            </w:r>
          </w:p>
        </w:tc>
      </w:tr>
      <w:tr w14:paraId="5CEE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5A96156B">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27</w:t>
            </w:r>
          </w:p>
        </w:tc>
        <w:tc>
          <w:tcPr>
            <w:tcW w:w="874" w:type="pct"/>
            <w:noWrap w:val="0"/>
            <w:vAlign w:val="center"/>
          </w:tcPr>
          <w:p w14:paraId="2E1AE2DF">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聚焦建圈强链 赋能产业创新——轨道交通柔性牵引供电系统及其关键专利技术产业化应用</w:t>
            </w:r>
          </w:p>
        </w:tc>
        <w:tc>
          <w:tcPr>
            <w:tcW w:w="3818" w:type="pct"/>
            <w:noWrap w:val="0"/>
            <w:vAlign w:val="center"/>
          </w:tcPr>
          <w:p w14:paraId="0FD5038F">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西南交通大学、成都拓及兴通科技有限公司签订产学研合作协议</w:t>
            </w:r>
            <w:r>
              <w:rPr>
                <w:rFonts w:hint="eastAsia" w:ascii="Times New Roman" w:hAnsi="Times New Roman" w:eastAsia="方正仿宋简体" w:cs="Times New Roman"/>
                <w:color w:val="auto"/>
                <w:kern w:val="64"/>
                <w:sz w:val="28"/>
                <w:szCs w:val="28"/>
                <w:lang w:val="en-US" w:eastAsia="zh-CN"/>
              </w:rPr>
              <w:t>，</w:t>
            </w:r>
            <w:r>
              <w:rPr>
                <w:rFonts w:hint="default" w:ascii="Times New Roman" w:hAnsi="Times New Roman" w:eastAsia="方正仿宋简体" w:cs="Times New Roman"/>
                <w:color w:val="auto"/>
                <w:kern w:val="64"/>
                <w:sz w:val="28"/>
                <w:szCs w:val="28"/>
                <w:lang w:val="en-US" w:eastAsia="zh-CN"/>
              </w:rPr>
              <w:t>围绕轨道交通柔性牵引供电系统及其关键技术攻关和产业化，开展高价值专利布局</w:t>
            </w:r>
            <w:r>
              <w:rPr>
                <w:rFonts w:hint="eastAsia" w:ascii="Times New Roman" w:hAnsi="Times New Roman" w:eastAsia="方正仿宋简体" w:cs="Times New Roman"/>
                <w:color w:val="auto"/>
                <w:kern w:val="64"/>
                <w:sz w:val="28"/>
                <w:szCs w:val="28"/>
                <w:lang w:val="en-US" w:eastAsia="zh-CN"/>
              </w:rPr>
              <w:t>和</w:t>
            </w:r>
            <w:r>
              <w:rPr>
                <w:rFonts w:hint="default" w:ascii="Times New Roman" w:hAnsi="Times New Roman" w:eastAsia="方正仿宋简体" w:cs="Times New Roman"/>
                <w:color w:val="auto"/>
                <w:kern w:val="64"/>
                <w:sz w:val="28"/>
                <w:szCs w:val="28"/>
                <w:lang w:val="en-US" w:eastAsia="zh-CN"/>
              </w:rPr>
              <w:t>技术成熟度验证。该成果13件</w:t>
            </w:r>
            <w:r>
              <w:rPr>
                <w:rFonts w:hint="eastAsia" w:ascii="Times New Roman" w:hAnsi="Times New Roman" w:eastAsia="方正仿宋简体" w:cs="Times New Roman"/>
                <w:color w:val="auto"/>
                <w:kern w:val="64"/>
                <w:sz w:val="28"/>
                <w:szCs w:val="28"/>
                <w:lang w:val="en-US" w:eastAsia="zh-CN"/>
              </w:rPr>
              <w:t>相关</w:t>
            </w:r>
            <w:r>
              <w:rPr>
                <w:rFonts w:hint="default" w:ascii="Times New Roman" w:hAnsi="Times New Roman" w:eastAsia="方正仿宋简体" w:cs="Times New Roman"/>
                <w:color w:val="auto"/>
                <w:kern w:val="64"/>
                <w:sz w:val="28"/>
                <w:szCs w:val="28"/>
                <w:lang w:val="en-US" w:eastAsia="zh-CN"/>
              </w:rPr>
              <w:t>专利按照学校和科研人员3：7的比例完成知识产权分割确权，其中技术发明团队的70%权益以1882万元估值作价入股公司，学校的30%权益由公司出资564万元购买，顺利推动轨道交通柔性牵引供电系统及其关键技术实现产业化，产品累计销售收入超12.5亿元，纳税超1.25亿元，创造就业岗位220个，产业化效果显著。</w:t>
            </w:r>
          </w:p>
        </w:tc>
      </w:tr>
      <w:tr w14:paraId="1DE3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5AF4AD6">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28</w:t>
            </w:r>
          </w:p>
        </w:tc>
        <w:tc>
          <w:tcPr>
            <w:tcW w:w="874" w:type="pct"/>
            <w:noWrap w:val="0"/>
            <w:vAlign w:val="center"/>
          </w:tcPr>
          <w:p w14:paraId="59DA4906">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引领产业技术升级，助力国家能源体系转型与“双碳”目标实现——太阳能电池专利技术的产业化应用</w:t>
            </w:r>
          </w:p>
        </w:tc>
        <w:tc>
          <w:tcPr>
            <w:tcW w:w="3818" w:type="pct"/>
            <w:noWrap w:val="0"/>
            <w:vAlign w:val="center"/>
          </w:tcPr>
          <w:p w14:paraId="1AA0C3A1">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通威太阳能（成都）有限公司围绕太阳能电池技术与产业升级，布局专利组合20余项，拥有专利1000余件（通威太阳能各基地总量），获得软件著作权50件以上，涵盖电池结构、工艺、原料、生产和设备等多个相关技术领域。专利实施产品M6大尺寸电池</w:t>
            </w:r>
            <w:r>
              <w:rPr>
                <w:rFonts w:hint="eastAsia" w:ascii="Times New Roman" w:hAnsi="Times New Roman" w:eastAsia="方正仿宋简体" w:cs="Times New Roman"/>
                <w:color w:val="auto"/>
                <w:kern w:val="64"/>
                <w:sz w:val="28"/>
                <w:szCs w:val="28"/>
                <w:lang w:val="en-US" w:eastAsia="zh-CN"/>
              </w:rPr>
              <w:t>以</w:t>
            </w:r>
            <w:r>
              <w:rPr>
                <w:rFonts w:hint="default" w:ascii="Times New Roman" w:hAnsi="Times New Roman" w:eastAsia="方正仿宋简体" w:cs="Times New Roman"/>
                <w:color w:val="auto"/>
                <w:kern w:val="64"/>
                <w:sz w:val="28"/>
                <w:szCs w:val="28"/>
                <w:lang w:val="en-US" w:eastAsia="zh-CN"/>
              </w:rPr>
              <w:t>23.47%</w:t>
            </w:r>
            <w:r>
              <w:rPr>
                <w:rFonts w:hint="eastAsia" w:ascii="Times New Roman" w:hAnsi="Times New Roman" w:eastAsia="方正仿宋简体" w:cs="Times New Roman"/>
                <w:color w:val="auto"/>
                <w:kern w:val="64"/>
                <w:sz w:val="28"/>
                <w:szCs w:val="28"/>
                <w:lang w:val="en-US" w:eastAsia="zh-CN"/>
              </w:rPr>
              <w:t>的</w:t>
            </w:r>
            <w:r>
              <w:rPr>
                <w:rFonts w:hint="default" w:ascii="Times New Roman" w:hAnsi="Times New Roman" w:eastAsia="方正仿宋简体" w:cs="Times New Roman"/>
                <w:color w:val="auto"/>
                <w:kern w:val="64"/>
                <w:sz w:val="28"/>
                <w:szCs w:val="28"/>
                <w:lang w:val="en-US" w:eastAsia="zh-CN"/>
              </w:rPr>
              <w:t>光电转化效率</w:t>
            </w:r>
            <w:r>
              <w:rPr>
                <w:rFonts w:hint="eastAsia" w:ascii="Times New Roman" w:hAnsi="Times New Roman" w:eastAsia="方正仿宋简体" w:cs="Times New Roman"/>
                <w:color w:val="auto"/>
                <w:kern w:val="64"/>
                <w:sz w:val="28"/>
                <w:szCs w:val="28"/>
                <w:lang w:val="en-US" w:eastAsia="zh-CN"/>
              </w:rPr>
              <w:t>达到世界领先水平。</w:t>
            </w:r>
            <w:r>
              <w:rPr>
                <w:rFonts w:hint="default" w:ascii="Times New Roman" w:hAnsi="Times New Roman" w:eastAsia="方正仿宋简体" w:cs="Times New Roman"/>
                <w:color w:val="auto"/>
                <w:kern w:val="64"/>
                <w:sz w:val="28"/>
                <w:szCs w:val="28"/>
                <w:lang w:val="en-US" w:eastAsia="zh-CN"/>
              </w:rPr>
              <w:t>与国内数十家大型龙头企业达成战略合作，截至2025年3月专利产品销量超1.3万兆瓦，销售收入超120亿元，累计出口额超10亿元，积极助力国家能源体系转型与“双碳”目标实现。</w:t>
            </w:r>
          </w:p>
        </w:tc>
      </w:tr>
      <w:tr w14:paraId="65C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643ABE26">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29</w:t>
            </w:r>
          </w:p>
        </w:tc>
        <w:tc>
          <w:tcPr>
            <w:tcW w:w="874" w:type="pct"/>
            <w:noWrap w:val="0"/>
            <w:vAlign w:val="center"/>
          </w:tcPr>
          <w:p w14:paraId="1206895C">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全钒液流电池专利组合产业化推动清洁能源产业快速发展</w:t>
            </w:r>
          </w:p>
        </w:tc>
        <w:tc>
          <w:tcPr>
            <w:tcW w:w="3818" w:type="pct"/>
            <w:noWrap w:val="0"/>
            <w:vAlign w:val="center"/>
          </w:tcPr>
          <w:p w14:paraId="00E2B073">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四川伟力得能源股份有限公司聚焦全钒液流电池长时储能技术研发，突破电堆封装工艺、智能化生产线、系统集成等核心技术，布局发明专利18项、实用新型53项，主导制定国家行业标准13项，入选《国家绿色技术推广目录》，自主研发的激光封装工艺全球首创，较传统工艺提升30%。先后承担22.5MWh光伏侧全钒液流储能项目、250MW/1GWh商业化储能项目，</w:t>
            </w:r>
            <w:r>
              <w:rPr>
                <w:rFonts w:hint="eastAsia" w:ascii="Times New Roman" w:hAnsi="Times New Roman" w:eastAsia="方正仿宋简体" w:cs="Times New Roman"/>
                <w:color w:val="auto"/>
                <w:kern w:val="64"/>
                <w:sz w:val="28"/>
                <w:szCs w:val="28"/>
                <w:lang w:val="en-US" w:eastAsia="zh-CN"/>
              </w:rPr>
              <w:t>以</w:t>
            </w:r>
            <w:r>
              <w:rPr>
                <w:rFonts w:hint="default" w:ascii="Times New Roman" w:hAnsi="Times New Roman" w:eastAsia="方正仿宋简体" w:cs="Times New Roman"/>
                <w:color w:val="auto"/>
                <w:kern w:val="64"/>
                <w:sz w:val="28"/>
                <w:szCs w:val="28"/>
                <w:lang w:val="en-US" w:eastAsia="zh-CN"/>
              </w:rPr>
              <w:t>专利组合技术产业化带动钒电解液、电堆材料等全产业链发展。</w:t>
            </w:r>
          </w:p>
        </w:tc>
      </w:tr>
      <w:tr w14:paraId="78B9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6" w:type="pct"/>
            <w:noWrap w:val="0"/>
            <w:vAlign w:val="center"/>
          </w:tcPr>
          <w:p w14:paraId="7F534867">
            <w:pPr>
              <w:keepNext w:val="0"/>
              <w:keepLines w:val="0"/>
              <w:pageBreakBefore w:val="0"/>
              <w:kinsoku/>
              <w:wordWrap/>
              <w:overflowPunct w:val="0"/>
              <w:topLinePunct w:val="0"/>
              <w:autoSpaceDE/>
              <w:autoSpaceDN/>
              <w:bidi w:val="0"/>
              <w:snapToGrid/>
              <w:spacing w:beforeAutospacing="0" w:afterAutospacing="0" w:line="44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30</w:t>
            </w:r>
          </w:p>
        </w:tc>
        <w:tc>
          <w:tcPr>
            <w:tcW w:w="874" w:type="pct"/>
            <w:noWrap w:val="0"/>
            <w:vAlign w:val="center"/>
          </w:tcPr>
          <w:p w14:paraId="6244E945">
            <w:pPr>
              <w:keepNext w:val="0"/>
              <w:keepLines w:val="0"/>
              <w:pageBreakBefore w:val="0"/>
              <w:kinsoku/>
              <w:wordWrap/>
              <w:overflowPunct w:val="0"/>
              <w:topLinePunct w:val="0"/>
              <w:autoSpaceDE/>
              <w:autoSpaceDN/>
              <w:bidi w:val="0"/>
              <w:snapToGrid/>
              <w:spacing w:beforeAutospacing="0" w:afterAutospacing="0" w:line="440" w:lineRule="exact"/>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输电线路等值覆冰厚度获得方法创新与转化运用实践</w:t>
            </w:r>
          </w:p>
        </w:tc>
        <w:tc>
          <w:tcPr>
            <w:tcW w:w="3818" w:type="pct"/>
            <w:noWrap w:val="0"/>
            <w:vAlign w:val="center"/>
          </w:tcPr>
          <w:p w14:paraId="1CFDC2A0">
            <w:pPr>
              <w:keepNext w:val="0"/>
              <w:keepLines w:val="0"/>
              <w:pageBreakBefore w:val="0"/>
              <w:kinsoku/>
              <w:wordWrap/>
              <w:overflowPunct w:val="0"/>
              <w:topLinePunct w:val="0"/>
              <w:autoSpaceDE/>
              <w:autoSpaceDN/>
              <w:bidi w:val="0"/>
              <w:snapToGrid/>
              <w:spacing w:beforeAutospacing="0" w:afterAutospacing="0" w:line="440" w:lineRule="exact"/>
              <w:ind w:firstLine="552" w:firstLineChars="200"/>
              <w:jc w:val="left"/>
              <w:rPr>
                <w:rFonts w:hint="default" w:ascii="Times New Roman" w:hAnsi="Times New Roman" w:eastAsia="方正仿宋简体" w:cs="Times New Roman"/>
                <w:color w:val="auto"/>
                <w:kern w:val="64"/>
                <w:sz w:val="28"/>
                <w:szCs w:val="28"/>
                <w:lang w:val="en-US" w:eastAsia="zh-CN"/>
              </w:rPr>
            </w:pPr>
            <w:r>
              <w:rPr>
                <w:rFonts w:hint="default" w:ascii="Times New Roman" w:hAnsi="Times New Roman" w:eastAsia="方正仿宋简体" w:cs="Times New Roman"/>
                <w:color w:val="auto"/>
                <w:kern w:val="64"/>
                <w:sz w:val="28"/>
                <w:szCs w:val="28"/>
                <w:lang w:val="en-US" w:eastAsia="zh-CN"/>
              </w:rPr>
              <w:t>国网四川省电力公司电力科学研究院聚焦输电线路覆冰监测难题，构建以数据驱动的电网智能防灾大模型，自主研发等值覆冰厚度监测装置，建立输电线路覆冰实时监测网络，植入四川电网智能运检管控平台，实现覆冰数据秒级响应与精准预警，形成“数据监测—智慧决策—主动融冰”全链条防冰体系，开创“零空间作业”“连续时间作业”电网智能防灾模式，形成专利产品3项，孵化高新技术企业4家，规模化运用后直接创收11.76亿元，保障大电网连续10年“零倒塔断线”，为极端环境下电网安全运维提供解决方案。</w:t>
            </w:r>
          </w:p>
        </w:tc>
      </w:tr>
    </w:tbl>
    <w:p w14:paraId="24EBAB86">
      <w:pPr>
        <w:keepNext w:val="0"/>
        <w:keepLines w:val="0"/>
        <w:pageBreakBefore w:val="0"/>
        <w:widowControl w:val="0"/>
        <w:kinsoku/>
        <w:wordWrap w:val="0"/>
        <w:overflowPunct w:val="0"/>
        <w:topLinePunct w:val="0"/>
        <w:autoSpaceDE/>
        <w:autoSpaceDN/>
        <w:bidi w:val="0"/>
        <w:adjustRightInd/>
        <w:snapToGrid/>
        <w:spacing w:line="560" w:lineRule="exact"/>
        <w:jc w:val="both"/>
        <w:textAlignment w:val="auto"/>
        <w:rPr>
          <w:rFonts w:hint="default" w:ascii="Times New Roman" w:hAnsi="Times New Roman" w:eastAsia="方正仿宋简体" w:cs="Times New Roman"/>
          <w:lang w:val="en-US" w:eastAsia="zh-CN"/>
        </w:rPr>
      </w:pPr>
    </w:p>
    <w:p w14:paraId="48C548C2"/>
    <w:p w14:paraId="743CC48F"/>
    <w:p w14:paraId="38AB85E3"/>
    <w:p w14:paraId="3FF94D00"/>
    <w:sectPr>
      <w:headerReference r:id="rId3" w:type="first"/>
      <w:footerReference r:id="rId5" w:type="first"/>
      <w:footerReference r:id="rId4" w:type="default"/>
      <w:pgSz w:w="11906" w:h="16838"/>
      <w:pgMar w:top="2098" w:right="1474" w:bottom="1984" w:left="1587" w:header="851" w:footer="1304" w:gutter="0"/>
      <w:pgNumType w:fmt="decimal"/>
      <w:cols w:space="720" w:num="1"/>
      <w:titlePg/>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E3178">
    <w:pPr>
      <w:pStyle w:val="5"/>
      <w:jc w:val="right"/>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E21391">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14:paraId="04E21391">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9E9B">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A65B2">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Geit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kZ6K3gEAAL4DAAAOAAAAAAAA&#10;AAEAIAAAAB4BAABkcnMvZTJvRG9jLnhtbFBLBQYAAAAABgAGAFkBAABuBQAAAAA=&#10;">
              <v:fill on="f" focussize="0,0"/>
              <v:stroke on="f"/>
              <v:imagedata o:title=""/>
              <o:lock v:ext="edit" aspectratio="f"/>
              <v:textbox inset="0mm,0mm,0mm,0mm" style="mso-fit-shape-to-text:t;">
                <w:txbxContent>
                  <w:p w14:paraId="167A65B2">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0977">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CE"/>
    <w:rsid w:val="0001633C"/>
    <w:rsid w:val="00030607"/>
    <w:rsid w:val="000328B3"/>
    <w:rsid w:val="000370DF"/>
    <w:rsid w:val="00045C20"/>
    <w:rsid w:val="00060383"/>
    <w:rsid w:val="000673C5"/>
    <w:rsid w:val="00072DE8"/>
    <w:rsid w:val="0008776E"/>
    <w:rsid w:val="00087D5D"/>
    <w:rsid w:val="00095DEA"/>
    <w:rsid w:val="000D018A"/>
    <w:rsid w:val="000E7CBB"/>
    <w:rsid w:val="000F1AC8"/>
    <w:rsid w:val="000F518D"/>
    <w:rsid w:val="000F61C2"/>
    <w:rsid w:val="0010506A"/>
    <w:rsid w:val="00112EC4"/>
    <w:rsid w:val="00121326"/>
    <w:rsid w:val="00130AF7"/>
    <w:rsid w:val="001405D2"/>
    <w:rsid w:val="001463E4"/>
    <w:rsid w:val="00146E0B"/>
    <w:rsid w:val="00153892"/>
    <w:rsid w:val="0016131F"/>
    <w:rsid w:val="001624E5"/>
    <w:rsid w:val="00164341"/>
    <w:rsid w:val="001E333B"/>
    <w:rsid w:val="001F2F59"/>
    <w:rsid w:val="00220A53"/>
    <w:rsid w:val="002441DE"/>
    <w:rsid w:val="00267C05"/>
    <w:rsid w:val="002B71FB"/>
    <w:rsid w:val="002F13D2"/>
    <w:rsid w:val="00301C4D"/>
    <w:rsid w:val="00303ACF"/>
    <w:rsid w:val="0032116F"/>
    <w:rsid w:val="003265DE"/>
    <w:rsid w:val="00334FFC"/>
    <w:rsid w:val="00367A30"/>
    <w:rsid w:val="0037709A"/>
    <w:rsid w:val="003941BD"/>
    <w:rsid w:val="003B1D38"/>
    <w:rsid w:val="003B6A7F"/>
    <w:rsid w:val="003D62F9"/>
    <w:rsid w:val="003F6572"/>
    <w:rsid w:val="00404653"/>
    <w:rsid w:val="00454712"/>
    <w:rsid w:val="004701A2"/>
    <w:rsid w:val="004C16C8"/>
    <w:rsid w:val="004F6EF0"/>
    <w:rsid w:val="00505F57"/>
    <w:rsid w:val="00533B79"/>
    <w:rsid w:val="0056610C"/>
    <w:rsid w:val="00577A68"/>
    <w:rsid w:val="00581EBF"/>
    <w:rsid w:val="005950E4"/>
    <w:rsid w:val="005A1C48"/>
    <w:rsid w:val="005F62B0"/>
    <w:rsid w:val="0060194C"/>
    <w:rsid w:val="006D5D8A"/>
    <w:rsid w:val="006F7B98"/>
    <w:rsid w:val="00701D77"/>
    <w:rsid w:val="007106B1"/>
    <w:rsid w:val="007161E7"/>
    <w:rsid w:val="00720EDB"/>
    <w:rsid w:val="00746D28"/>
    <w:rsid w:val="0076423B"/>
    <w:rsid w:val="0078484A"/>
    <w:rsid w:val="007876BF"/>
    <w:rsid w:val="007A6ED7"/>
    <w:rsid w:val="007E425A"/>
    <w:rsid w:val="007E65AD"/>
    <w:rsid w:val="008020C1"/>
    <w:rsid w:val="00804592"/>
    <w:rsid w:val="008501BA"/>
    <w:rsid w:val="00885AB8"/>
    <w:rsid w:val="008C01BE"/>
    <w:rsid w:val="008C3844"/>
    <w:rsid w:val="008D05DC"/>
    <w:rsid w:val="008D1BBA"/>
    <w:rsid w:val="009177FE"/>
    <w:rsid w:val="009303D3"/>
    <w:rsid w:val="00935C26"/>
    <w:rsid w:val="009723D1"/>
    <w:rsid w:val="00991BC2"/>
    <w:rsid w:val="009C4755"/>
    <w:rsid w:val="009E0417"/>
    <w:rsid w:val="009E414F"/>
    <w:rsid w:val="009E7028"/>
    <w:rsid w:val="00A27170"/>
    <w:rsid w:val="00A412C0"/>
    <w:rsid w:val="00A5576F"/>
    <w:rsid w:val="00A82B72"/>
    <w:rsid w:val="00AA53F3"/>
    <w:rsid w:val="00AB4851"/>
    <w:rsid w:val="00AF1E4C"/>
    <w:rsid w:val="00AF2B4B"/>
    <w:rsid w:val="00B240FF"/>
    <w:rsid w:val="00B44D70"/>
    <w:rsid w:val="00B54E20"/>
    <w:rsid w:val="00B80DBF"/>
    <w:rsid w:val="00B87B26"/>
    <w:rsid w:val="00B93AF8"/>
    <w:rsid w:val="00BB5229"/>
    <w:rsid w:val="00BC3B82"/>
    <w:rsid w:val="00BE1D84"/>
    <w:rsid w:val="00BF178E"/>
    <w:rsid w:val="00BF511F"/>
    <w:rsid w:val="00C03B61"/>
    <w:rsid w:val="00C11700"/>
    <w:rsid w:val="00C12DC2"/>
    <w:rsid w:val="00C31E3C"/>
    <w:rsid w:val="00C324AA"/>
    <w:rsid w:val="00C811F0"/>
    <w:rsid w:val="00C82C14"/>
    <w:rsid w:val="00CA2AD6"/>
    <w:rsid w:val="00CA4221"/>
    <w:rsid w:val="00CB76B6"/>
    <w:rsid w:val="00CD1ED8"/>
    <w:rsid w:val="00CE0A89"/>
    <w:rsid w:val="00D136F0"/>
    <w:rsid w:val="00D25BCE"/>
    <w:rsid w:val="00D34003"/>
    <w:rsid w:val="00D34EDE"/>
    <w:rsid w:val="00D46F20"/>
    <w:rsid w:val="00E03385"/>
    <w:rsid w:val="00E14352"/>
    <w:rsid w:val="00E3718F"/>
    <w:rsid w:val="00E506FE"/>
    <w:rsid w:val="00E51011"/>
    <w:rsid w:val="00E574BC"/>
    <w:rsid w:val="00E87ED2"/>
    <w:rsid w:val="00EA2D50"/>
    <w:rsid w:val="00EB26B4"/>
    <w:rsid w:val="00ED46F2"/>
    <w:rsid w:val="00F12DFD"/>
    <w:rsid w:val="00F21F7B"/>
    <w:rsid w:val="00F35CEA"/>
    <w:rsid w:val="00F56700"/>
    <w:rsid w:val="00F731DD"/>
    <w:rsid w:val="00F82F0D"/>
    <w:rsid w:val="00FA75F2"/>
    <w:rsid w:val="00FA7BBC"/>
    <w:rsid w:val="00FD2ABF"/>
    <w:rsid w:val="00FD7A2A"/>
    <w:rsid w:val="01FD3F09"/>
    <w:rsid w:val="2B274290"/>
    <w:rsid w:val="5EFE96C8"/>
    <w:rsid w:val="6322790A"/>
    <w:rsid w:val="6FAF9D8D"/>
    <w:rsid w:val="77CB1303"/>
    <w:rsid w:val="77F9DF07"/>
    <w:rsid w:val="7BEFA78A"/>
    <w:rsid w:val="7EFF5F48"/>
    <w:rsid w:val="AFFF5214"/>
    <w:rsid w:val="D4FE412F"/>
    <w:rsid w:val="FAB7E089"/>
    <w:rsid w:val="FFFF8E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hAnsi="Calibri" w:eastAsia="方正仿宋简体" w:cs="Times New Roman"/>
      <w:kern w:val="2"/>
      <w:sz w:val="32"/>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adjustRightInd w:val="0"/>
      <w:spacing w:line="396" w:lineRule="atLeast"/>
      <w:jc w:val="left"/>
      <w:textAlignment w:val="baseline"/>
    </w:pPr>
    <w:rPr>
      <w:rFonts w:ascii="宋体" w:cs="宋体"/>
      <w:sz w:val="28"/>
      <w:szCs w:val="28"/>
    </w:rPr>
  </w:style>
  <w:style w:type="paragraph" w:styleId="4">
    <w:name w:val="Balloon Text"/>
    <w:basedOn w:val="1"/>
    <w:link w:val="13"/>
    <w:unhideWhenUsed/>
    <w:uiPriority w:val="99"/>
    <w:rPr>
      <w:sz w:val="18"/>
      <w:szCs w:val="18"/>
    </w:rPr>
  </w:style>
  <w:style w:type="paragraph" w:styleId="5">
    <w:name w:val="footer"/>
    <w:basedOn w:val="1"/>
    <w:next w:val="1"/>
    <w:link w:val="14"/>
    <w:unhideWhenUsed/>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60" w:lineRule="atLeast"/>
      <w:jc w:val="left"/>
    </w:pPr>
    <w:rPr>
      <w:rFonts w:ascii="宋体" w:hAnsi="宋体" w:eastAsia="宋体" w:cs="宋体"/>
      <w:kern w:val="0"/>
      <w:sz w:val="21"/>
      <w:szCs w:val="21"/>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unhideWhenUsed/>
    <w:uiPriority w:val="99"/>
    <w:rPr>
      <w:color w:val="0000FF"/>
      <w:u w:val="single"/>
    </w:rPr>
  </w:style>
  <w:style w:type="character" w:customStyle="1" w:styleId="13">
    <w:name w:val="批注框文本 Char"/>
    <w:link w:val="4"/>
    <w:semiHidden/>
    <w:qFormat/>
    <w:uiPriority w:val="99"/>
    <w:rPr>
      <w:sz w:val="18"/>
      <w:szCs w:val="18"/>
    </w:rPr>
  </w:style>
  <w:style w:type="character" w:customStyle="1" w:styleId="14">
    <w:name w:val="页脚 Char"/>
    <w:link w:val="5"/>
    <w:qFormat/>
    <w:uiPriority w:val="99"/>
    <w:rPr>
      <w:sz w:val="18"/>
      <w:szCs w:val="18"/>
    </w:rPr>
  </w:style>
  <w:style w:type="character" w:customStyle="1" w:styleId="15">
    <w:name w:val="页眉 Char"/>
    <w:link w:val="6"/>
    <w:uiPriority w:val="99"/>
    <w:rPr>
      <w:sz w:val="18"/>
      <w:szCs w:val="18"/>
    </w:rPr>
  </w:style>
  <w:style w:type="paragraph" w:customStyle="1" w:styleId="16">
    <w:name w:val="default paragraph font Char"/>
    <w:basedOn w:val="1"/>
    <w:qFormat/>
    <w:uiPriority w:val="0"/>
    <w:pPr>
      <w:spacing w:line="240" w:lineRule="atLeast"/>
      <w:ind w:left="420" w:firstLine="420"/>
    </w:pPr>
    <w:rPr>
      <w:rFonts w:ascii="Times New Roman" w:hAnsi="Times New Roman" w:eastAsia="宋体" w:cs="Times New Roman"/>
      <w:szCs w:val="24"/>
    </w:rPr>
  </w:style>
  <w:style w:type="paragraph" w:customStyle="1" w:styleId="17">
    <w:name w:val="[基本段落]"/>
    <w:basedOn w:val="1"/>
    <w:qFormat/>
    <w:uiPriority w:val="0"/>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18">
    <w:name w:val="样式 1 三号"/>
    <w:qFormat/>
    <w:uiPriority w:val="0"/>
    <w:pPr>
      <w:widowControl w:val="0"/>
      <w:jc w:val="both"/>
    </w:pPr>
    <w:rPr>
      <w:rFonts w:ascii="方正仿宋简体" w:hAnsi="Times New Roman" w:eastAsia="方正仿宋简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399</Words>
  <Characters>407</Characters>
  <Lines>1</Lines>
  <Paragraphs>1</Paragraphs>
  <TotalTime>21</TotalTime>
  <ScaleCrop>false</ScaleCrop>
  <LinksUpToDate>false</LinksUpToDate>
  <CharactersWithSpaces>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2020-03-16T22:30:00Z</dcterms:created>
  <dc:creator>四川省质量技术监督局：卢波</dc:creator>
  <cp:lastModifiedBy>素袖清裳</cp:lastModifiedBy>
  <cp:lastPrinted>2025-05-29T09:57:00Z</cp:lastPrinted>
  <dcterms:modified xsi:type="dcterms:W3CDTF">2025-07-02T01:15:48Z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B09D98CBCBE0490DBC246EF44AA2DF5F_13</vt:lpwstr>
  </property>
  <property fmtid="{D5CDD505-2E9C-101B-9397-08002B2CF9AE}" pid="4" name="KSOTemplateDocerSaveRecord">
    <vt:lpwstr>eyJoZGlkIjoiNDM5YjY0ZDZhNGI1MDI5NWM3YTViOTViODI4ZmVhNjYiLCJ1c2VySWQiOiIzMzI4NjA2NjgifQ==</vt:lpwstr>
  </property>
</Properties>
</file>