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场车使用单位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
      <w:pPr>
        <w:jc w:val="center"/>
        <w:rPr>
          <w:rFonts w:ascii="黑体" w:hAnsi="黑体" w:eastAsia="黑体" w:cs="黑体"/>
          <w:sz w:val="44"/>
          <w:szCs w:val="44"/>
        </w:rPr>
      </w:pPr>
      <w:r>
        <w:rPr>
          <w:rFonts w:hint="eastAsia" w:ascii="黑体" w:hAnsi="黑体" w:eastAsia="黑体" w:cs="黑体"/>
          <w:sz w:val="44"/>
          <w:szCs w:val="44"/>
        </w:rPr>
        <w:t>场车安全总监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81—2022）的规定，工厂厂区，指有明确管理边界，从事加工、组装等的制造厂厂区，港口(码头)，铁路货场和物流园区。（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81—2022）的规定，场车安全管理人员和相关人员应当到场配合、协助检验工作，负责现场安全监护。（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81—2022）的规定，在场车首次投入使用前，向特种设备检验机构申请首次检验。（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81—2022）的规定，改造，是指改变原叉车的动力方式、传动方式、车架结构、驾驶方式，观光车辆的动力方式、传动方式，或者改变场车原主参数或者载荷曲线的活动。（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hint="eastAsia" w:ascii="宋体" w:hAnsi="宋体" w:eastAsia="宋体" w:cs="宋体"/>
          <w:color w:val="000000"/>
          <w:kern w:val="0"/>
          <w:sz w:val="24"/>
          <w:szCs w:val="22"/>
        </w:rPr>
      </w:pPr>
      <w:r>
        <w:rPr>
          <w:rFonts w:hint="eastAsia" w:ascii="宋体" w:hAnsi="宋体" w:eastAsia="宋体" w:cs="宋体"/>
          <w:color w:val="000000"/>
          <w:kern w:val="0"/>
          <w:sz w:val="24"/>
          <w:szCs w:val="22"/>
        </w:rPr>
        <w:t>5、根据《特种设备安全监督检查办法》的规定，特种设备未经监督检验或者经检验、检测不合格，继续使用的，属于严重事故隐患。（      ）</w:t>
      </w:r>
      <w:bookmarkStart w:id="0" w:name="_GoBack"/>
      <w:bookmarkEnd w:id="0"/>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6、根据《特种设备安全监督检查办法》的规定，特种设备发生过事故或者有明显故障，未对其进行全面检查、消除事故隐患，继续使用的，不属于严重事故隐患。（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9、根据《中华人民共和国特种设备安全法》的规定，特种设备存在严重事故隐患，无改造、修理价值，或者达到安全技术规范规定的其他报废条件的，特种设备使用单位应当依法履行报废义务。（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10、根据《特种设备安全监察条例》的规定，特种设备使用单位应当建立特种设备安全技术档案。（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11、根据《特种设备使用管理规则》的规定，使用单位可拒绝接受特种设备安全监管部门依法实施的监督检查。（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12、根据《特种设备使用管理规则》的规定，使用特种设备(不含气瓶)总量 50 台以上(含 50 台)的的使用单位应设置特种设备安全管理机构。（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13、根据《特种设备作业人员监督管理办法》的规定，作业人员未能参加用人单位培训的，可以选择专业培训机构进行培训。（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14、根据《特种设备作业人员监督管理办法》的规定，申请人隐瞒有关情况或者提供虚假材料申请特种设备作业人员证的，不予受理或者不予批准发证，并在1年内不得再次申请特种设备作业人员证。（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hint="eastAsia" w:ascii="宋体" w:hAnsi="宋体" w:eastAsia="宋体" w:cs="宋体"/>
          <w:color w:val="000000"/>
          <w:kern w:val="0"/>
          <w:sz w:val="24"/>
          <w:szCs w:val="22"/>
        </w:rPr>
      </w:pPr>
      <w:r>
        <w:rPr>
          <w:rFonts w:hint="eastAsia" w:ascii="宋体" w:hAnsi="宋体" w:eastAsia="宋体" w:cs="宋体"/>
          <w:color w:val="000000"/>
          <w:kern w:val="0"/>
          <w:sz w:val="24"/>
          <w:szCs w:val="22"/>
        </w:rPr>
        <w:t>15、根据《特种设备使用单位落实使用安全主体责任监督管理规定》的规定，场车使用单位主要负责人对本单位场车使用安全全面负责。（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特种设备使用单位落实使用安全主体责任监督管理规定》的规定，场车安全总监要每周至少组织一次风险隐患排查，分析研判场车使用安全管理情况，研究解决日管控中发现的问题，形成每周场车安全排查治理报告。（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特种设备使用单位落实使用安全主体责任监督管理规定》的规定，场车使用单位应当将主要负责人、场车安全总监和场车安全员的设立、调整情况，场车安全风险管控清单场车安全总监职责场车安全员守则以及场车安全总监、场车安全员提出的意见建议、报告和问题整改落实等履职情况予以记录并存档备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18、根据《特种设备使用单位落实使用安全主体责任监督管理规定》的规定，监督抽查考核不合格，不再符合场车使用要求的，使用单位应当立即采取整改措施。（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19、根据《场(厂)内专用机动车辆安全技术规程》（TSG 81—2022）的规定，旅游景区，指有明确管理边界，纳入风景游览区、公园、动物园、植物园范畴管理的区域。（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20、根据《场(厂)内专用机动车辆安全技术规程》（TSG 81—2022）的规定，游乐场所，指有明确管理边界，纳入游乐场、主题乐园范畴管理的区域。（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81—2022）的规定，以下区域不属于旅游景区的是（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A、风景游览区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B、公园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C、工厂厂区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D、动物园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81—2022）的规定，定期检验是指在场车生产单位或者（      ）单位进行自行检查的基础上，由经核准的特种设备检验机构依据《场车规程》对场车按照一定的周期进行的检验。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A、维保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81—2022）的规定，在用叉车的定期检验每（      ）年1次。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81—2022）的规定，观光车辆的行驶路线中不得存在爆炸性环境，路面边沿3m(弯道处为4.5m)内有悬崖、深谷、深沟或水域的路段，应当（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A、设置防护能力与车辆相匹配的路侧护栏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B、设置警示标志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C、设置警示语句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D、安排专人值守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81—2022）的规定，改造是指改变原叉车车架结构、驾驶方式，动力方式、传动方式，或者改变叉车原（      ）或者载荷曲线的活动。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A、长度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B、重量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C、宽度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D、主参数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6、根据《场(厂)内专用机动车辆安全技术规程》（TSG 81—2022）的规定，改造后，场车整车安全性能由（      ）单位负责。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81—2022）的规定，场车改造、修理后，改造、修理单位应当按照要求完成检验，检验报告和相关技术资料应当移交（      ）单位存档。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8、根据《特种设备安全监督检查办法》的规定，特种设备未取得许可生产、国家明令淘汰、已经报废或者达到报废条件，继续使用的，属于（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9、根据《特种设备安全监督检查办法》的规定，特种设备发生过事故或者有明显故障，未对其进行全面检查、消除事故隐患，继续使用的，属于（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10、根据《特种设备安全监督检查办法》的规定，特种设备未经监督检验或者经检验、检测不合格，继续使用的，属于（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11、根据《特种设备安全监督检查办法》的规定，特种设备安全附件、安全保护装置缺失或者失灵，继续使用的，属于（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hint="eastAsia" w:ascii="宋体" w:hAnsi="宋体" w:eastAsia="宋体" w:cs="宋体"/>
          <w:color w:val="000000"/>
          <w:kern w:val="0"/>
          <w:sz w:val="24"/>
          <w:szCs w:val="22"/>
        </w:rPr>
      </w:pPr>
      <w:r>
        <w:rPr>
          <w:rFonts w:hint="eastAsia" w:ascii="宋体" w:hAnsi="宋体" w:eastAsia="宋体" w:cs="宋体"/>
          <w:color w:val="000000"/>
          <w:kern w:val="0"/>
          <w:sz w:val="24"/>
          <w:szCs w:val="22"/>
        </w:rPr>
        <w:t>12、根据《特种设备事故报告和调查处理导则》（TSG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14、根据《中华人民共和国特种设备安全法》的规定，特种设备进行改造、修理，按照规定需要变更使用登记的，应当办理（      ），方可继续使用。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A、变更登记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B、报废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C、停用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D、重新登记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15、根据《特种设备安全监察条例》的规定，特种设备使用单位应当使用符合（      ）要求的特种设备。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A、安全技术规范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D、上级部门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16、根据《特种设备安全监察条例》的规定，特种设备不符合能效指标的，特种设备使用单位应当采取相应措施进行（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D、报废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17、根据《特种设备使用管理规则》的规定，主要负责人是指特种设备使用单位的实际最高管理者，对其单位所使用的特种设备安全节能负总责，每（      ）至少组织召开一次安全调度会议。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D、季度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18、根据《特种设备使用管理规则》的规定，按照特种设备使用管理规则要求设置安 全管理机构的使用单位安全管理负责人， （      ）取得相应的特种设备安全管理人员资格证书。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D、根据需要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19、根据《特种设备使用管理规则》的规定，高耗能特种设备使用单位应当配备（      ）管理人员，负责宣传贯彻特种设备节能的法律法规。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B、技术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C、经费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D、节能</w:t>
      </w:r>
    </w:p>
    <w:p>
      <w:pPr>
        <w:widowControl/>
        <w:jc w:val="left"/>
        <w:textAlignment w:val="center"/>
        <w:rPr>
          <w:rFonts w:hint="eastAsia" w:ascii="宋体" w:hAnsi="宋体" w:eastAsia="宋体" w:cs="宋体"/>
          <w:color w:val="000000"/>
          <w:kern w:val="0"/>
          <w:sz w:val="24"/>
          <w:szCs w:val="22"/>
        </w:rPr>
      </w:pPr>
      <w:r>
        <w:rPr>
          <w:rFonts w:hint="eastAsia" w:ascii="宋体" w:hAnsi="宋体" w:eastAsia="宋体" w:cs="宋体"/>
          <w:color w:val="000000"/>
          <w:kern w:val="0"/>
          <w:sz w:val="24"/>
          <w:szCs w:val="22"/>
        </w:rPr>
        <w:t>20、根据《特种设备作业人员监督管理办法》的规定，锅炉、压力容器（含气瓶）、压力管道、电梯、起重机械、客运索道、大型游乐设施、场（厂）内专用机动车辆等特种设备的作业人员及其相关管理人员统称特种设备（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D、控制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21、根据《特种设备作业人员监督管理办法》的规定，（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22、根据《特种设备作业人员监督管理办法》的规定，持有特种设备作业人员证的人员，必须经用人单位的法定代表人（负责人）或者其授权人（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D、同意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23、根据《特种设备使用单位落实使用安全主体责任监督管理规定》的规定，场车使用单位应当根据本单位场车的数量、用途、使用环境等情况，配备场车安全总监和足够数量的场车安全员，并（      ）明确负责的场车安全员。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B、自行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C、逐台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D、立即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24、根据《特种设备使用单位落实使用安全主体责任监督管理规定》的规定，场车使用单位应当建立基于场车（      ）防控的动态管理机制，结合本单位实际，落实自查要求，制定场车安全风险管控清单，建立健全日管控、周排查、月调度工作制度和机制。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B、风险隐患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C、安全风险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D、安全管理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25、根据《特种设备使用单位落实使用安全主体责任监督管理规定》的规定，场车安全总监要每（      ）至少组织一次风险隐患排查，分析研判场车使用安全管理情况，研究解决日管控中发现的问题，形成每周场车安全排查治理报告。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26、根据《特种设备使用单位落实使用安全主体责任监督管理规定》的规定，场车使用单位主要负责人要每（      ）至少听取一次场车安全总监管理工作情况汇报，对当月场车安全日常管理、风险隐患排查治理等情况进行总结，对下个月重点工作作出调度安排，形成每月场车安全调度会议纪要。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27、根据《特种设备使用单位落实使用安全主体责任监督管理规定》的规定，场车使用单位及其主要负责人无正当理由未采纳场车安全总监和场车安全员依照《特种设备使用单位落实使用安全主体责任监督管理规定》第一百三十六条提出的意见或者建议的，应当认为场车安全总监和场车安全员已经（      ），不予处罚。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A、开展工作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B、努力工作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C、依法履职尽责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D、尽心尽力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28、根据《特种设备使用单位落实使用安全主体责任监督管理规定》的规定，场车使用单位主要负责人、场车安全总监、场车安全员未按规定要求落实（      ）安全责任的，由县级以上地方市场监督管理部门责令改正并给予通报批评；拒不改正的，对责任人处二千元以上一万元以下罚款。法律、行政法规另有规定的，依照其规定执行。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D、调试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29、根据《场(厂)内专用机动车辆安全技术规程》（TSG 81—2022）的规定，非公路用旅游观光车辆(以下简称观光车辆)，指具有4个以上车轮、（      ）、座位数(含司机座位)不小于6且用于旅游观光运营服务的自行式乘用车辆，包括观光车和观光列车。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A、有轨道无架线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B、非轨道有架线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C、有轨道有架线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D、非轨道无架线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30、根据《场(厂)内专用机动车辆安全技术规程》（TSG 81—2022）的规定，使用单位购置观光车辆时，保证观光车辆的最大行驶坡度能够满足使用单位行驶路线中的（      ）的要求，并且在销售合同中明确。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A、平均坡度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B、最小坡度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C、最大坡度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D、最小坡度与最大坡度之和</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FiZDIzMjBhYjY3YjcwYmIxYWI1NjM4YzVmYjEyMDMifQ=="/>
  </w:docVars>
  <w:rsids>
    <w:rsidRoot w:val="00172A27"/>
    <w:rsid w:val="00172A27"/>
    <w:rsid w:val="00572310"/>
    <w:rsid w:val="006D7B51"/>
    <w:rsid w:val="007B3905"/>
    <w:rsid w:val="008F75F9"/>
    <w:rsid w:val="009308FE"/>
    <w:rsid w:val="12126F0F"/>
    <w:rsid w:val="18A43CD5"/>
    <w:rsid w:val="1F4130C0"/>
    <w:rsid w:val="216817E6"/>
    <w:rsid w:val="245A1466"/>
    <w:rsid w:val="39FA01F5"/>
    <w:rsid w:val="40B51A50"/>
    <w:rsid w:val="4C5864D9"/>
    <w:rsid w:val="4FF53A68"/>
    <w:rsid w:val="51FE1B1E"/>
    <w:rsid w:val="58D46270"/>
    <w:rsid w:val="647B4D4D"/>
    <w:rsid w:val="6F060E0B"/>
    <w:rsid w:val="721A2C2C"/>
    <w:rsid w:val="72D36533"/>
    <w:rsid w:val="75B74E17"/>
    <w:rsid w:val="78EF198E"/>
    <w:rsid w:val="79714DCE"/>
    <w:rsid w:val="7FFFA356"/>
    <w:rsid w:val="FE7E51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heme="minorHAnsi" w:hAnsiTheme="minorHAnsi" w:eastAsiaTheme="minorEastAsia" w:cstheme="minorBidi"/>
      <w:kern w:val="2"/>
      <w:sz w:val="18"/>
      <w:szCs w:val="18"/>
    </w:rPr>
  </w:style>
  <w:style w:type="character" w:customStyle="1" w:styleId="8">
    <w:name w:val="页脚 Char"/>
    <w:basedOn w:val="6"/>
    <w:link w:val="3"/>
    <w:qFormat/>
    <w:uiPriority w:val="0"/>
    <w:rPr>
      <w:rFonts w:asciiTheme="minorHAnsi" w:hAnsiTheme="minorHAnsi" w:eastAsiaTheme="minorEastAsia" w:cstheme="minorBidi"/>
      <w:kern w:val="2"/>
      <w:sz w:val="18"/>
      <w:szCs w:val="18"/>
    </w:rPr>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12201</Words>
  <Characters>12581</Characters>
  <Lines>10</Lines>
  <Paragraphs>26</Paragraphs>
  <TotalTime>3</TotalTime>
  <ScaleCrop>false</ScaleCrop>
  <LinksUpToDate>false</LinksUpToDate>
  <CharactersWithSpaces>13012</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李超</cp:lastModifiedBy>
  <dcterms:modified xsi:type="dcterms:W3CDTF">2024-07-25T16:39:57Z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