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锅炉使用单位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pPr>
    </w:p>
    <w:p>
      <w:pPr>
        <w:widowControl/>
        <w:jc w:val="left"/>
        <w:textAlignment w:val="center"/>
        <w:rPr>
          <w:rFonts w:ascii="宋体" w:hAnsi="宋体" w:eastAsia="宋体" w:cs="宋体"/>
          <w:color w:val="000000"/>
          <w:kern w:val="0"/>
          <w:sz w:val="24"/>
          <w:szCs w:val="22"/>
          <w:lang w:bidi="ar"/>
        </w:rPr>
      </w:pPr>
    </w:p>
    <w:p>
      <w:pPr>
        <w:jc w:val="center"/>
        <w:rPr>
          <w:rFonts w:ascii="黑体" w:hAnsi="黑体" w:eastAsia="黑体" w:cs="黑体"/>
          <w:sz w:val="44"/>
          <w:szCs w:val="44"/>
        </w:rPr>
      </w:pPr>
      <w:r>
        <w:rPr>
          <w:rFonts w:hint="eastAsia" w:ascii="黑体" w:hAnsi="黑体" w:eastAsia="黑体" w:cs="黑体"/>
          <w:sz w:val="44"/>
          <w:szCs w:val="44"/>
        </w:rPr>
        <w:t>锅炉安全总监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tbl>
      <w:tblPr>
        <w:tblStyle w:val="3"/>
        <w:tblW w:w="8306" w:type="dxa"/>
        <w:tblInd w:w="108" w:type="dxa"/>
        <w:tblLayout w:type="autofit"/>
        <w:tblCellMar>
          <w:top w:w="0" w:type="dxa"/>
          <w:left w:w="108" w:type="dxa"/>
          <w:bottom w:w="0" w:type="dxa"/>
          <w:right w:w="108" w:type="dxa"/>
        </w:tblCellMar>
      </w:tblPr>
      <w:tblGrid>
        <w:gridCol w:w="8306"/>
      </w:tblGrid>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numPr>
                <w:ilvl w:val="0"/>
                <w:numId w:val="2"/>
              </w:numPr>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根据《锅炉安全技术规程》（TSG 11-2020）的规定，锅炉内部</w:t>
            </w:r>
            <w:r>
              <w:rPr>
                <w:rFonts w:hint="eastAsia" w:ascii="等线" w:hAnsi="等线" w:eastAsia="等线" w:cs="宋体"/>
                <w:color w:val="000000"/>
                <w:kern w:val="0"/>
                <w:sz w:val="22"/>
                <w:szCs w:val="22"/>
                <w:lang w:val="en-US" w:eastAsia="zh-CN"/>
              </w:rPr>
              <w:t>检验</w:t>
            </w:r>
            <w:r>
              <w:rPr>
                <w:rFonts w:hint="eastAsia" w:ascii="等线" w:hAnsi="等线" w:eastAsia="等线" w:cs="宋体"/>
                <w:color w:val="000000"/>
                <w:kern w:val="0"/>
                <w:sz w:val="22"/>
                <w:szCs w:val="22"/>
              </w:rPr>
              <w:t>需要停炉状态下进行。（      ）</w:t>
            </w:r>
          </w:p>
          <w:p>
            <w:pPr>
              <w:widowControl/>
              <w:numPr>
                <w:ilvl w:val="0"/>
                <w:numId w:val="3"/>
              </w:numPr>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正确</w:t>
            </w:r>
          </w:p>
          <w:p>
            <w:pPr>
              <w:widowControl/>
              <w:numPr>
                <w:ilvl w:val="0"/>
                <w:numId w:val="3"/>
              </w:numPr>
              <w:ind w:left="0" w:leftChars="0" w:firstLine="0" w:firstLineChars="0"/>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错误</w:t>
            </w:r>
          </w:p>
          <w:p>
            <w:pPr>
              <w:widowControl/>
              <w:numPr>
                <w:ilvl w:val="-1"/>
                <w:numId w:val="0"/>
              </w:numPr>
              <w:ind w:left="0" w:leftChars="0" w:firstLine="0" w:firstLineChars="0"/>
              <w:jc w:val="left"/>
              <w:rPr>
                <w:rFonts w:hint="eastAsia" w:ascii="等线" w:hAnsi="等线" w:eastAsia="等线" w:cs="宋体"/>
                <w:color w:val="000000"/>
                <w:kern w:val="0"/>
                <w:sz w:val="22"/>
                <w:szCs w:val="22"/>
              </w:rPr>
            </w:pPr>
          </w:p>
          <w:p>
            <w:pPr>
              <w:widowControl/>
              <w:numPr>
                <w:ilvl w:val="-1"/>
                <w:numId w:val="0"/>
              </w:numPr>
              <w:ind w:left="0" w:leftChars="0" w:firstLine="0" w:firstLineChars="0"/>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numPr>
                <w:ilvl w:val="0"/>
                <w:numId w:val="2"/>
              </w:numPr>
              <w:ind w:left="0" w:leftChars="0" w:firstLine="0" w:firstLineChars="0"/>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根据《锅炉安全技术规程》（TSG 11-2020）的规定，因结构原因无法进行锅炉内部检验时，应该每3年进行一次水压试验。（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p>
          <w:p>
            <w:pPr>
              <w:widowControl/>
              <w:numPr>
                <w:ilvl w:val="0"/>
                <w:numId w:val="4"/>
              </w:numPr>
              <w:ind w:leftChars="0"/>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错误</w:t>
            </w:r>
          </w:p>
          <w:p>
            <w:pPr>
              <w:widowControl/>
              <w:numPr>
                <w:ilvl w:val="0"/>
                <w:numId w:val="0"/>
              </w:numPr>
              <w:jc w:val="left"/>
              <w:rPr>
                <w:rFonts w:hint="eastAsia" w:ascii="等线" w:hAnsi="等线" w:eastAsia="等线" w:cs="宋体"/>
                <w:color w:val="000000"/>
                <w:kern w:val="0"/>
                <w:sz w:val="22"/>
                <w:szCs w:val="22"/>
              </w:rPr>
            </w:pPr>
          </w:p>
          <w:p>
            <w:pPr>
              <w:widowControl/>
              <w:numPr>
                <w:ilvl w:val="0"/>
                <w:numId w:val="0"/>
              </w:numPr>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3、根据《锅炉安全技术规程》（TSG 11-2020）的规定，移装锅炉时不需要进行内部检验。（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4、根据《锅炉安全技术规程》（TSG 11-2020）的规定，锅炉安全技术档案包括锅炉日常使用状况记录和定期自行检查记录。（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5、根据《锅炉安全技术规程》（TSG 11-2020）的规定，蒸汽锅炉安全阀排汽管应当直通安全地点，并且有足够的流通截面积，保证排汽畅通。（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6、根据《特种设备安全监督检查办法》的规定，特种设备未取得许可生产、国家明令淘汰、已经报废或者达到报废条件，继续使用的，属于严重事故隐患。（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7、根据《特种设备安全监督检查办法》的规定，特种设备未经监督检验或者经检验、检测不合格，继续使用的，属于严重事故隐患。（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10、根据《中华人民共和国特种设备安全法》的规定，特种设备存在严重事故隐患，无改造、修理价值，或者达到安全技术规范规定的其他报废条件的，特种设备使用单位应当依法履行报废义务。（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11、根据《特种设备安全监察条例》的规定，特种设备使用单位应当建立特种设备安全技术档案。（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12、根据《特种设备使用管理规则》的规定，使用单位如有正当理由，可拒绝接受特种设备安全监管部门依法实施的监督检查。（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13、根据《特种设备使用管理规则》的规定，使用电站锅炉或者石化与化工成套装置的使用单位应设置特种设备安全管理机构。（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14、根据《特种设备作业人员监督管理办法》的规定，作业人员未能参加用人单位培训的，可以选择专业培训机构进行培训。（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15、根据《特种设备作业人员监督管理办法》的规定，申请人隐瞒有关情况或者提供虚假材料申请特种设备作业人员证的，不予受理或者不予批准发证，并在1年内不得再次申请特种设备作业人员证。（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16、根据《高耗能特种设备节能监督管理办法》的规定，高耗能特种设备，是指在使用过程中能源消耗量或者转换量大，并具有较大节能空间的锅炉、换热压力容器等特种设备。（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17、根据《高耗能特种设备节能监督管理办法》的规定，锅炉属于高耗能特种设备。（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18、根据《特种设备使用单位落实使用安全主体责任监督管理规定》的规定，锅炉使用单位主要负责人对本单位锅炉使用安全全面负责。（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19、根据《特种设备使用单位落实使用安全主体责任监督管理规定》的规定，锅炉安全总监要每周至少组织一次风险隐患排查，分析研判锅炉使用安全管理情况，研究解决日管控中发现的问题，形成每周锅炉安全排查治理报告。（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20、根据《锅炉安全技术规程》（TSG 11-2020）的规定，电站锅炉整套启动时，炉膛安全监控系统应当经过调试，并且投入运行。（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bl>
    <w:p>
      <w:pPr>
        <w:numPr>
          <w:ilvl w:val="0"/>
          <w:numId w:val="1"/>
        </w:numPr>
        <w:rPr>
          <w:rFonts w:ascii="黑体" w:hAnsi="黑体" w:eastAsia="黑体" w:cs="黑体"/>
          <w:sz w:val="32"/>
          <w:szCs w:val="32"/>
        </w:rPr>
      </w:pPr>
      <w:r>
        <w:rPr>
          <w:rFonts w:hint="eastAsia" w:ascii="黑体" w:hAnsi="黑体" w:eastAsia="黑体" w:cs="黑体"/>
          <w:sz w:val="32"/>
          <w:szCs w:val="32"/>
        </w:rPr>
        <w:t>选择题</w:t>
      </w:r>
    </w:p>
    <w:tbl>
      <w:tblPr>
        <w:tblStyle w:val="3"/>
        <w:tblW w:w="8306" w:type="dxa"/>
        <w:tblInd w:w="108" w:type="dxa"/>
        <w:tblLayout w:type="autofit"/>
        <w:tblCellMar>
          <w:top w:w="0" w:type="dxa"/>
          <w:left w:w="108" w:type="dxa"/>
          <w:bottom w:w="0" w:type="dxa"/>
          <w:right w:w="108" w:type="dxa"/>
        </w:tblCellMar>
      </w:tblPr>
      <w:tblGrid>
        <w:gridCol w:w="8306"/>
      </w:tblGrid>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1、根据《锅炉安全技术规程》（TSG 11-2020）的规定，锅炉外部检验每年进行（      ）次。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A、4</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D、1</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2、根据《锅炉安全技术规程》（TSG 11-2020）的规定，锅炉使用单位应在锅炉下次检验日期前（      ）向具有相应资质的检验机构提出检验要求。</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A、1周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B、半个月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C、1个月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D、2个月</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3、根据《锅炉安全技术规程》（TSG 11-2020）的规定，每月对所使用的锅炉至少进行（      ）次月度检查，并且记录检查情况。</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A、1</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D、4</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4、根据《锅炉安全技术规程》（TSG 11-2020）的规定，（      ）级及以下全自动锅炉可以不设跟班锅炉作业人员，但是应当建立定期巡回检查制度。</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D、D</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5、根据《锅炉安全技术规程》（TSG 11-2020）的规定，在用锅炉的安全阀（      ）至少校验1次。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A、每月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B、每3月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C、每半年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D、每年</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6、根据《特种设备安全监督检查办法》的规定，特种设备未取得许可生产、国家明令淘汰、已经报废或者达到报废条件，继续使用的，属于（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7、根据《特种设备安全监督检查办法》的规定，特种设备发生过事故或者有明显故障，未对其进行全面检查、消除事故隐患，继续使用的，属于（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8、根据《特种设备安全监督检查办法》的规定，特种设备未经监督检验或者经检验、检测不合格，继续使用的，属于（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9、根据《特种设备安全监督检查办法》的规定，特种设备安全附件、安全保护装置缺失或者失灵，继续使用的，属于（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10、根据《特种设备事故报告和调查处理导则》（TSG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B、1</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D、3</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11、根据《特种设备事故报告和调查处理导则》（TSG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A、负责人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B、特种设备主管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C、特种设备安全管理员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D、特种设备作业人员</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12、根据《中华人民共和国特种设备安全法》的规定，特种设备进行改造、修理，按照规定需要变更使用登记的，应当办理（      ），方可继续使用。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A、变更登记</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B、报废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C、停用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D、重新登记</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13、根据《特种设备安全监察条例》的规定，特种设备使用单位应当使用符合（      ）要求的特种设备。</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A、安全技术规范</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B、使用单位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C、检查人员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D、上级部门</w:t>
            </w:r>
            <w:r>
              <w:rPr>
                <w:rFonts w:hint="eastAsia" w:ascii="等线" w:hAnsi="等线" w:eastAsia="等线" w:cs="宋体"/>
                <w:color w:val="000000"/>
                <w:kern w:val="0"/>
                <w:sz w:val="22"/>
                <w:szCs w:val="22"/>
              </w:rPr>
              <w:br w:type="textWrapping"/>
            </w:r>
            <w:del w:id="0" w:author="韩双林" w:date="2024-07-25T16:27:53Z">
              <w:bookmarkStart w:id="0" w:name="_GoBack"/>
              <w:bookmarkEnd w:id="0"/>
              <w:r>
                <w:rPr>
                  <w:rFonts w:hint="eastAsia" w:ascii="等线" w:hAnsi="等线" w:eastAsia="黑体" w:cs="宋体"/>
                  <w:color w:val="000000"/>
                  <w:kern w:val="0"/>
                  <w:sz w:val="22"/>
                  <w:szCs w:val="22"/>
                </w:rPr>
                <w:delText>【来源】</w:delText>
              </w:r>
            </w:del>
            <w:del w:id="1" w:author="韩双林" w:date="2024-07-25T16:27:53Z">
              <w:r>
                <w:rPr>
                  <w:rFonts w:hint="eastAsia" w:ascii="等线" w:hAnsi="等线" w:eastAsia="等线" w:cs="宋体"/>
                  <w:color w:val="000000"/>
                  <w:kern w:val="0"/>
                  <w:sz w:val="22"/>
                  <w:szCs w:val="22"/>
                </w:rPr>
                <w:delText>《特种设</w:delText>
              </w:r>
            </w:del>
            <w:del w:id="2" w:author="韩双林" w:date="2024-07-25T16:27:46Z">
              <w:r>
                <w:rPr>
                  <w:rFonts w:hint="eastAsia" w:ascii="等线" w:hAnsi="等线" w:eastAsia="等线" w:cs="宋体"/>
                  <w:color w:val="000000"/>
                  <w:kern w:val="0"/>
                  <w:sz w:val="22"/>
                  <w:szCs w:val="22"/>
                </w:rPr>
                <w:delText>备安全监察条例》</w:delText>
              </w:r>
            </w:del>
            <w:del w:id="3" w:author="韩双林" w:date="2024-07-25T16:27:46Z">
              <w:r>
                <w:rPr>
                  <w:rFonts w:hint="eastAsia" w:ascii="等线" w:hAnsi="等线" w:eastAsia="等线" w:cs="宋体"/>
                  <w:color w:val="000000"/>
                  <w:kern w:val="0"/>
                  <w:sz w:val="22"/>
                  <w:szCs w:val="22"/>
                  <w:lang w:val="en-US" w:eastAsia="zh-CN"/>
                </w:rPr>
                <w:delText xml:space="preserve">  </w:delText>
              </w:r>
            </w:del>
            <w:del w:id="4" w:author="韩双林" w:date="2024-07-25T16:27:46Z">
              <w:r>
                <w:rPr>
                  <w:rFonts w:hint="eastAsia" w:ascii="等线" w:hAnsi="等线" w:eastAsia="等线" w:cs="宋体"/>
                  <w:color w:val="000000"/>
                  <w:kern w:val="0"/>
                  <w:sz w:val="22"/>
                  <w:szCs w:val="22"/>
                </w:rPr>
                <w:delText>第二十四条</w:delText>
              </w:r>
            </w:del>
            <w:del w:id="5" w:author="韩双林" w:date="2024-07-25T16:27:46Z">
              <w:r>
                <w:rPr>
                  <w:rFonts w:hint="eastAsia" w:ascii="等线" w:hAnsi="等线" w:eastAsia="等线" w:cs="宋体"/>
                  <w:color w:val="000000"/>
                  <w:kern w:val="0"/>
                  <w:sz w:val="22"/>
                  <w:szCs w:val="22"/>
                  <w:lang w:val="en-US" w:eastAsia="zh-CN"/>
                </w:rPr>
                <w:delText xml:space="preserve"> </w:delText>
              </w:r>
            </w:del>
            <w:del w:id="6" w:author="韩双林" w:date="2024-07-25T16:27:46Z">
              <w:r>
                <w:rPr>
                  <w:rFonts w:hint="eastAsia" w:ascii="等线" w:hAnsi="等线" w:eastAsia="等线" w:cs="宋体"/>
                  <w:color w:val="000000"/>
                  <w:kern w:val="0"/>
                  <w:sz w:val="22"/>
                  <w:szCs w:val="22"/>
                </w:rPr>
                <w:delText>特种设备使用单位应当使用符合安全技术规范要求的特种设备。特种设备投入使用前，使用单位应当核对其是否附有本条例第十五条规定的相关文件。</w:delText>
              </w:r>
            </w:del>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14、根据《特种设备安全监察条例》的规定，特种设备不符合能效指标的，特种设备使用单位应当采取相应措施进行（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B、改造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C、整改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D、报废</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15、根据《特种设备使用管理规则》的规定，主要负责人是指特种设备使用单位的实际最高管理者，对其单位所使用的特种设备安全节能负总责，每（      ）至少组织召开一次安全调度会议。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D、季度</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16、根据《特种设备使用管理规则》的规定，按照特种设备使用管理规则要求设置安全管理机构的使用单位安全管理负责人，（      ）取得相应的特种设备安全管理人员资格证书。</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B、应当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C、视情况</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D、根据需要</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17、根据《特种设备使用管理规则》的规定，高耗能特种设备使用单位应当配备（      ）管理人员，负责宣传贯彻特种设备节能的法律法规。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A、安全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B、技术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C、经费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D、节能</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18、根据《特种设备作业人员监督管理办法》的规定，第二条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锅炉、压力容器（含气瓶）、压力管道、电梯、起重机械、客运索道、大型游乐设施、场（厂）内专用机动车辆等特种设备的作业人员及其相关管理人员统称特种设备（      ）人员。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A、作业</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B、操作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C、管理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D、控制</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19、根据《特种设备作业人员监督管理办法》的规定，（      ）应当对作业人员进行安全教育和培训，保证特种设备作业人员具备必要的特种设备安全作业知识、作业技能和及时进行知识更新。</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A、考试机构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B、用人单位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C、培训机构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D、发证机关</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20、根据《高耗能特种设备节能监督管理办法》的规定，（      ）属于高耗能特种设备。</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A、电梯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B、锅炉</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C、压力管道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D、气瓶</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21、根据《高耗能特种设备节能监督管理办法》的规定，（      ）特种设备使用单位应当开展节能教育和培训，提高作业人员的节能意识和操作水平，确保特种设备安全、经济运行。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A、高耗能</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B、压力管道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C、电梯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D、起重机械</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22、根据《特种设备使用单位落实使用安全主体责任监督管理规定》的规定，锅炉使用单位应当根据本单位锅炉的数量、用途、使用环境等情况，配备锅炉安全总监和足够数量的锅炉安全员，并（      ）明确负责的锅炉安全员。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A、视情况</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B、自行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C、逐台</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D、立即</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23、根据《特种设备使用单位落实使用安全主体责任监督管理规定》的规定，锅炉使用单位应当建立基于锅炉（      ）防控的动态管理机制，结合本单位实际，落实自查要求，制定锅炉安全风险管控清单，建立健全日管控、周排查、月调度工作制度和机制。</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A、安全隐患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B、风险隐患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C、安全风险</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D、安全管理</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24、根据《特种设备使用单位落实使用安全主体责任监督管理规定》的规定，锅炉安全总监要每（      ）至少组织一次风险隐患排查，分析研判锅炉使用安全管理情况，研究解决日管控中发现的问题，形成每周锅炉安全排查治理报告。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25、根据《特种设备使用单位落实使用安全主体责任监督管理规定》的规定，锅炉使用单位主要负责人要每（      ）至少听取一次锅炉安全总监管理工作情况汇报，对当月锅炉安全日常管理、风险隐患排查治理等情况进行总结，对下个月重点工作作出调度安排，形成每月锅炉安全调度会议纪要。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26、根据《特种设备使用单位落实使用安全主体责任监督管理规定》的规定，锅炉使用单位及其主要负责人无正当理由未采纳锅炉安全总监和锅炉安全员依照本规定第五条提出的意见或者建议的，应当认为锅炉安全总监和锅炉安全员已经（      ），不予处罚。</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A、开展工作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B、努力工作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C、依法履职尽责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D、尽心尽力</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27、根据《锅炉安全技术规程》（TSG 11-2020）的规定，电站锅炉整套启动时，以下（      ）热工设备和保护装置应当经过调试，并且投入运行。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A、数据采集系统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B、有关辅机的子功能组和联锁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C、全部远程操作系统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D、以上都是</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28、根据《锅炉安全技术规程》（TSG 11-2020）的规定，300MW及以上机组电站锅炉经过（      ）整套连续满负荷试运行，各项安全指 标均达到相关标准。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A、24</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B、72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C、168</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D、500</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29、根据《锅炉安全技术规程》（TSG 11-2020）的规定，锅炉安装单位在总体验收合格后（      ）技术资料可不移交给使用单位存入锅炉安全技术档案。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A、主蒸汽管道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B、排污管道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C、主给水管道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D、再热蒸汽管道</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30、根据《锅炉安全技术规程》（TSG 11-2020）的规定，电站锅炉使用单位应当加强燃料管理，燃料入炉前应当进行（      ），根据分析结果进行燃烧控制与调整。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A、能效测试</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B、燃烧试验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C、脱硫脱硝</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D、燃料分析</w:t>
            </w:r>
            <w:r>
              <w:rPr>
                <w:rFonts w:hint="eastAsia" w:ascii="等线" w:hAnsi="等线" w:eastAsia="等线" w:cs="宋体"/>
                <w:color w:val="000000"/>
                <w:kern w:val="0"/>
                <w:sz w:val="22"/>
                <w:szCs w:val="22"/>
              </w:rPr>
              <w:br w:type="textWrapping"/>
            </w:r>
          </w:p>
          <w:p>
            <w:pPr>
              <w:widowControl/>
              <w:jc w:val="left"/>
              <w:rPr>
                <w:rFonts w:hint="eastAsia" w:ascii="等线" w:hAnsi="等线" w:eastAsia="等线" w:cs="宋体"/>
                <w:color w:val="000000"/>
                <w:kern w:val="0"/>
                <w:sz w:val="22"/>
                <w:szCs w:val="22"/>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等线">
    <w:altName w:val="方正仿宋简体"/>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abstractNum w:abstractNumId="1">
    <w:nsid w:val="FF7464A6"/>
    <w:multiLevelType w:val="singleLevel"/>
    <w:tmpl w:val="FF7464A6"/>
    <w:lvl w:ilvl="0" w:tentative="0">
      <w:start w:val="1"/>
      <w:numFmt w:val="upperLetter"/>
      <w:suff w:val="nothing"/>
      <w:lvlText w:val="%1、"/>
      <w:lvlJc w:val="left"/>
    </w:lvl>
  </w:abstractNum>
  <w:abstractNum w:abstractNumId="2">
    <w:nsid w:val="37A0C4E1"/>
    <w:multiLevelType w:val="singleLevel"/>
    <w:tmpl w:val="37A0C4E1"/>
    <w:lvl w:ilvl="0" w:tentative="0">
      <w:start w:val="2"/>
      <w:numFmt w:val="upperLetter"/>
      <w:suff w:val="nothing"/>
      <w:lvlText w:val="%1、"/>
      <w:lvlJc w:val="left"/>
    </w:lvl>
  </w:abstractNum>
  <w:abstractNum w:abstractNumId="3">
    <w:nsid w:val="3AA78BA2"/>
    <w:multiLevelType w:val="singleLevel"/>
    <w:tmpl w:val="3AA78BA2"/>
    <w:lvl w:ilvl="0" w:tentative="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双林">
    <w15:presenceInfo w15:providerId="None" w15:userId="韩双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6F00A1"/>
    <w:rsid w:val="00267022"/>
    <w:rsid w:val="00562372"/>
    <w:rsid w:val="00572310"/>
    <w:rsid w:val="00661550"/>
    <w:rsid w:val="006F00A1"/>
    <w:rsid w:val="00763A2E"/>
    <w:rsid w:val="007651B7"/>
    <w:rsid w:val="00791071"/>
    <w:rsid w:val="02816716"/>
    <w:rsid w:val="03337F26"/>
    <w:rsid w:val="04194A97"/>
    <w:rsid w:val="1FFF66D3"/>
    <w:rsid w:val="25F80F5A"/>
    <w:rsid w:val="28EA03D6"/>
    <w:rsid w:val="2ADD51DA"/>
    <w:rsid w:val="37BB7997"/>
    <w:rsid w:val="38DF595B"/>
    <w:rsid w:val="39FA01F5"/>
    <w:rsid w:val="406C550C"/>
    <w:rsid w:val="40BA08D6"/>
    <w:rsid w:val="45C34131"/>
    <w:rsid w:val="4C5864D9"/>
    <w:rsid w:val="56D424EB"/>
    <w:rsid w:val="67E4235D"/>
    <w:rsid w:val="696F2C1A"/>
    <w:rsid w:val="6D54359A"/>
    <w:rsid w:val="6F8C75A6"/>
    <w:rsid w:val="723143F0"/>
    <w:rsid w:val="72D36533"/>
    <w:rsid w:val="794D7A89"/>
    <w:rsid w:val="DD6BDA40"/>
    <w:rsid w:val="F3BF3DD1"/>
    <w:rsid w:val="F3FF7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11006</Words>
  <Characters>11409</Characters>
  <Lines>86</Lines>
  <Paragraphs>24</Paragraphs>
  <TotalTime>16</TotalTime>
  <ScaleCrop>false</ScaleCrop>
  <LinksUpToDate>false</LinksUpToDate>
  <CharactersWithSpaces>11823</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2024-01-26T17:32:00Z</dcterms:created>
  <dc:creator>R1218</dc:creator>
  <cp:lastModifiedBy>韩双林</cp:lastModifiedBy>
  <dcterms:modified xsi:type="dcterms:W3CDTF">2024-07-25T16:28:34Z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62A4C2FCC4FD4F8093D252E174233AE8_13</vt:lpwstr>
  </property>
</Properties>
</file>