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场车生产单位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质量安全员题库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黑体" w:hAnsi="黑体" w:eastAsia="黑体" w:cs="黑体"/>
          <w:sz w:val="36"/>
          <w:szCs w:val="36"/>
        </w:rPr>
      </w:pPr>
      <w:r>
        <w:rPr>
          <w:rFonts w:hint="eastAsia" w:ascii="黑体" w:hAnsi="黑体" w:eastAsia="黑体" w:cs="黑体"/>
          <w:sz w:val="36"/>
          <w:szCs w:val="36"/>
        </w:rPr>
        <w:t>2024年6月20日</w:t>
      </w:r>
    </w:p>
    <w:p>
      <w:pPr>
        <w:jc w:val="center"/>
        <w:rPr>
          <w:rFonts w:ascii="黑体" w:hAnsi="黑体" w:eastAsia="黑体" w:cs="黑体"/>
          <w:sz w:val="36"/>
          <w:szCs w:val="36"/>
        </w:rPr>
      </w:pPr>
    </w:p>
    <w:p>
      <w:pPr>
        <w:jc w:val="center"/>
        <w:rPr>
          <w:rFonts w:ascii="黑体" w:hAnsi="黑体" w:eastAsia="黑体" w:cs="黑体"/>
          <w:sz w:val="32"/>
          <w:szCs w:val="32"/>
        </w:rPr>
      </w:pPr>
      <w:r>
        <w:rPr>
          <w:rFonts w:hint="eastAsia" w:ascii="黑体" w:hAnsi="黑体" w:eastAsia="黑体" w:cs="黑体"/>
          <w:sz w:val="32"/>
          <w:szCs w:val="32"/>
        </w:rPr>
        <w:t>场车质量安全员</w:t>
      </w:r>
    </w:p>
    <w:p>
      <w:pPr>
        <w:numPr>
          <w:ilvl w:val="0"/>
          <w:numId w:val="1"/>
        </w:numPr>
        <w:rPr>
          <w:rFonts w:ascii="黑体" w:hAnsi="黑体" w:eastAsia="黑体" w:cs="黑体"/>
          <w:sz w:val="44"/>
          <w:szCs w:val="44"/>
        </w:rPr>
      </w:pPr>
      <w:r>
        <w:rPr>
          <w:rFonts w:hint="eastAsia" w:ascii="黑体" w:hAnsi="黑体" w:eastAsia="黑体" w:cs="黑体"/>
          <w:sz w:val="44"/>
          <w:szCs w:val="44"/>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1、根据《场(厂)内专用机动车辆安全技术规程》（TSG 81—2022）的规定，叉车罩壳打开后由于意外关闭会造成伤害的，应当在罩壳处(如牵引蓄电池或者发动机罩)设置防止意外关闭的装置，并且永久地固定在车辆上或者安装在车辆的安全处。（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2、根据《场(厂)内专用机动车辆安全技术规程》（TSG 81—2022）的规定，转向系统应当转动灵活、操纵方便、无卡滞，在任意转向操作时不得与其他部件有干涉。（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3、根据《场(厂)内专用机动车辆安全技术规程》（TSG 81—2022）的规定，场车应当设置行车、驻车制动系统，并且有相应的制动装置。（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hint="eastAsia" w:ascii="宋体" w:hAnsi="宋体" w:eastAsia="宋体" w:cs="宋体"/>
          <w:color w:val="000000"/>
          <w:kern w:val="0"/>
          <w:sz w:val="24"/>
          <w:szCs w:val="22"/>
        </w:rPr>
      </w:pPr>
      <w:r>
        <w:rPr>
          <w:rFonts w:hint="eastAsia" w:ascii="宋体" w:hAnsi="宋体" w:eastAsia="宋体" w:cs="宋体"/>
          <w:color w:val="000000"/>
          <w:kern w:val="0"/>
          <w:sz w:val="24"/>
          <w:szCs w:val="22"/>
        </w:rPr>
        <w:t>4、根据《场(厂)内专用机动车辆安全技术规程》（TSG 81—2022）的规定，观光车辆行车制动系统应当采用单管路。（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5、根据《场(厂)内专用机动车辆安全技术规程》（TSG 81—2022）的规定，观光车辆在满载最大爬坡度的下行方向，制动力能够保证其在满载、最大运行速度条件下制停。（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6、根据《场(厂)内专用机动车辆安全技术规程》（TSG 81—2022）的规定，叉车液压系统应当设置能防止系统内压力超过预定值的装置，此装置的设计和安装能够避免意外的松动或者调节，调整压力无需使用工具或者钥匙。（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7、根据《场(厂)内专用机动车辆安全技术规程》（TSG 81—2022）的规定，电动场车的控制系统应当具有欠电压、过电流、过热和过电压保护功能。（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8、根据《场(厂)内专用机动车辆安全技术规程》（TSG 81—2022）的规定，电动场车的电气系统应当采用单线制，保证良好的绝缘。（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9、根据《场(厂)内专用机动车辆安全技术规程》（TSG 81—2022）的规定，从事场车制造、改造、修理的单位应当依法取得生产许可，方可在许可范围内从事相应的活动。（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10、根据《场(厂)内专用机动车辆安全技术规程》（TSG 81—2022）的规定，制造单位应当对场车(包括观光列车的每节车厢)的车架进行编号，车架编号应当具有唯一性，并且用钢印永久性地标示在车架的明显位置。（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11、根据《场(厂)内专用机动车辆安全技术规程》（TSG 81—2022）的规定，首次执行焊接工艺的，应当按照有关规定进行焊接工艺评定。（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12、根据《场(厂)内专用机动车辆安全技术规程》（TSG 81—2022）的规定，焊接质量偶然出现问题的，应当按照有关规定进行焊接工艺评定。（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13、根据《场(厂)内专用机动车辆安全技术规程》（TSG 81—2022）的规定，场车出厂时，应当以中文形式附有包含主要设计图样、产品质量合格证明、使用维护说明书、叉车载荷曲线图、铭牌、安全标志及其说明等相关技术资料和文件。（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14、根据《场(厂)内专用机动车辆安全技术规程》（TSG 81—2022）的规定，场车主要设计图样，包括总图主要受力结构件图、制动原理图、电气原理图、液压或者气动系统原理图等。（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15、根据《场(厂)内专用机动车辆安全技术规程》（TSG 81—2022）的规定，在随机文件中应当有标示叉车额定起重量和实际起重量的载荷曲线图或者载荷表，并且在叉车的明显位置固定清晰且永久的载荷曲线图或者载荷表。（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16、根据《场(厂)内专用机动车辆安全技术规程》（TSG 81—2022）的规定，叉车应当在醒目的位置以图形或者文字形式设置具有下列含义的安全标志：禁止站在货叉上、禁止站在货叉下、手指或者手被挤压风险提示，配备安全带的叉车还应当包括扣紧安全带。（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17、根据《场(厂)内专用机动车辆安全技术规程》（TSG 81—2022）的规定，改造，是指改变原叉车的动力方式、传动方式、车架结构、驾驶方式，观光车辆的动力方式、传动方式，或者改变场车原主参数或者载荷曲线的活动。（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18、根据《场(厂)内专用机动车辆安全技术规程》（TSG 81—2022）的规定，修理，是指更换原叉车的动力装置、转向装置、传动装置、落物保护构件、门架构件，观光车辆的动力装置、车身构件、传动装置，但是不改变场车原主参数或者载荷曲线的活动。（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19、根据《特种设备生产单位落实质量安全主体责任监督管理规定》的规定，场车生产单位应当建立场车质量安全日管控制度。质量安全员要每日根据《场车质量安全风险管控清单》进行检查，形成《每日场车质量安全检查记录》。（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20、根据《特种设备生产单位落实质量安全主体责任监督管理规定》的规定，场车生产单位应当建立场车质量安全日管控制度。质量安全员要每日根据《场车质量安全风险管控清单》进行检查，未发现问题，可不记录。（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21、根据《特种设备生产单位落实质量安全主体责任监督管理规定》的规定，质量安全员是指本单位具体负责质量过程控制的检查人员。（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22、根据《中华人民共和国特种设备安全法》的规定，特种设备的生产单位包括特种设备设计、制造、安装、改造、修理单位。（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23、根据《中华人民共和国特种设备安全法》的规定，特种设备生产单位应当保证特种设备生产符合安全技术规范及相关标准的要求，对其生产的特种设备的安全性能负责。（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24、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25、根据《特种设备安全监察条例》的规定，场车的改造、维修竣工后，改造、维修的施工单位应当在验收后30日内将有关技术资料移交使用单位。（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26、根据《特种设备作业人员监督管理办法》的规定，用人单位可不建立特种设备作业人员管理档案。（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27、根据《特种设备作业人员监督管理办法》的规定，《特种设备作业人员证》每5年复审一次。（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28、根据《特种设备生产单位落实质量安全主体责任监督管理规定》的规定，场车生产单位应当依法配备质量安全总监和质量安全员，明确质量安全总监和质量安全员的岗位职责。（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29、根据《特种设备生产单位落实质量安全主体责任监督管理规定》的规定，场车生产单位主要负责人应当支持和保障质量安全总监和质量安全员依法开展场车质量安全管理工作。（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30、根据《特种设备生产单位落实质量安全主体责任监督管理规定》的规定，质量安全总监、质量安全员发现场车产品存在危及安全的缺陷时，应当提出停止相关场车生产等否决建议，场车生产单位应当立即分析研判，采取处置措施，消除风险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pPr>
      <w:r>
        <w:rPr>
          <w:rFonts w:hint="eastAsia" w:ascii="宋体" w:hAnsi="宋体" w:eastAsia="宋体" w:cs="宋体"/>
          <w:color w:val="000000"/>
          <w:kern w:val="0"/>
          <w:sz w:val="24"/>
          <w:szCs w:val="22"/>
        </w:rPr>
        <w:t>B、错误</w:t>
      </w:r>
    </w:p>
    <w:p>
      <w:pPr>
        <w:numPr>
          <w:ilvl w:val="0"/>
          <w:numId w:val="1"/>
        </w:numPr>
      </w:pPr>
      <w:r>
        <w:rPr>
          <w:rFonts w:hint="eastAsia"/>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1、根据《场(厂)内专用机动车辆安全技术规程》（TSG 81—2022）的规定，电动场车行走电机的绝缘等级不低于（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A、H级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B、F级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C、E级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2、根据《场(厂)内专用机动车辆安全技术规程》（TSG 81—2022）的规定，动力源为蓄电池的场车，应当设置蓄电池固定装置。对标称直流电压超过72V的蓄电池，应当有（      ），保证蓄电池箱未经允许时不能被打开。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A、警示标志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B、使用说明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C、防护措施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D、声光报警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3、根据《场(厂)内专用机动车辆安全技术规程》（TSG 81—2022）的规定，动力源为蓄电池的场车，金属盖板或者非金属盖板的金属部件与蓄电池外露带电部分之间应当有（      ）mm以上的间隙。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B、40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C、50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4、根据《场(厂)内专用机动车辆安全技术规程》（TSG 81—2022）的规定，动力源为蓄电池的场车，当盖板和带电部分被有效绝缘，则金属盖板或者非金属盖板的金属部件与蓄电池外露带电部分之间应当，至少有（      ）mm以上的间隙。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B、20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D、40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5、根据《场(厂)内专用机动车辆安全技术规程》（TSG 81—2022）的规定，观光车辆额定载荷按照额定载客人数乘（      ）kg计算。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A、55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B、65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C、75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D、85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6、根据《场(厂)内专用机动车辆安全技术规程》（TSG 81—2022）的规定，（      ）传动叉车，只有处于制动状态时才能启动发动机。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B、液力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C、静压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7、根据《场(厂)内专用机动车辆安全技术规程》（TSG 81—2022）的规定，（      ）传动的内燃叉车，应当配备在传动装置处于接合状态时，能防止发动机启动的装置。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B、液力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C、静压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D、机械和液力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8、根据《场(厂)内专用机动车辆安全技术规程》（TSG 81—2022）的规定，舵柄操作的叉车原地转向操作力应当（      ）400N。</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C、不大于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D、大于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9、根据《场(厂)内专用机动车辆安全技术规程》（TSG 81—2022）的规定，方向盘操作的叉车原地转向操作力应当（      ）20N。</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C、不大于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D、大于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10、根据《场(厂)内专用机动车辆安全技术规程》（TSG 81—2022）的规定，观光车辆方向盘不得（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A、左置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B、右置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C、中置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D、前置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11、根据《场(厂)内专用机动车辆安全技术规程》（TSG 81—2022）的规定，观光车辆应当设置（      ）限位装置。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A、传动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B、行驶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C、转向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D、制动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12、根据《场(厂)内专用机动车辆安全技术规程》（TSG 81—2022）的规定，场车驻车制动系统应当通过（      ）装置把工作部件锁止。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A、纯机械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B、电子</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C、液压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D、气压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13、根据《场(厂)内专用机动车辆安全技术规程》（TSG 81—2022）的规定，观光车辆行车制动系统应当采用（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A、单管路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B、双管路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C、多管路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D、双管路或者多管路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14、根据《场(厂)内专用机动车辆安全技术规程》（TSG 81—2022）的规定，观光车辆在满载状态下，制动力能够保证使其在满载最大爬坡度的（      ）驻车。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A、向上方向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B、向下方向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C、向上或向下其中一个方向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D、上、下方向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15、根据《场(厂)内专用机动车辆安全技术规程》（TSG 81—2022）的规定，观光车辆在满载最大爬坡度的（      ）方向，制动力能够保证其在满载、最大运行速度条件下制停。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A、上行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B、下行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C、前行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D、后行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16、根据《场(厂)内专用机动车辆安全技术规程》（TSG 81—2022）的规定，观光列车车厢与牵引车头意外脱离后，（      ）应当能自行制动。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A、车头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B、车厢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C、车厢和车头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D、最后一节车厢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17、根据《场(厂)内专用机动车辆安全技术规程》（TSG 81—2022）的规定，叉车液压系统用软管、硬管和接头至少能承受液压回路3倍的（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A、速度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B、工作压力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C、重量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D、排量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18、根据《场(厂)内专用机动车辆安全技术规程》（TSG 81—2022）的规定，电动场车应当设置非自动复位且能切断（      ）部件电源的紧急切断装置，该装置安装位置应当方便司机操作。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A、所有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B、所有行驶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C、所有电动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D、所有驱动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19、根据《场(厂)内专用机动车辆安全技术规程》（TSG 81—2022）的规定，动力源为蓄电池的叉车，蓄电池绝缘电阻（      ）于50Ω乘蓄电池组额定电压值(单位为V时)。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A、不大于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C、不小于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D、小于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20、根据《场(厂)内专用机动车辆安全技术规程》（TSG 81—2022）的规定，在叉车(除装有伸缩门架和货叉的前移式叉车)上使用一组单一功能的操纵杆时，离司机第二近的操纵杆控制（      ）功能。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A、起升和下降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B、倾斜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C、侧移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D、辅助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21、根据《场(厂)内专用机动车辆安全技术规程》（TSG 81—2022）的规定，叉车的主要受力结构件不包括（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A、车架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B、挡货架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C、货叉架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D、货叉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22、根据《场(厂)内专用机动车辆安全技术规程》（TSG 81—2022）的规定，叉车的主要受力结构件具有足够的强度和刚度，在（      ）中，不发生永久变形或者损坏。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A、正常使用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B、强度试验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C、偏载试验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D、强度试验和偏载试验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23、根据《场(厂)内专用机动车辆安全技术规程》（TSG 81—2022）的规定，观光车辆的主要受力结构件包括车架、车身结构，应当选用（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A、金属材料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B、非金属材料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C、高分子材料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D、无机材料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24、根据《场(厂)内专用机动车辆安全技术规程》（TSG 81—2022）的规定，观光车辆的主要受力结构件（      ）应当满足结构强度试验的要求。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A、强度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B、刚度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C、强度或刚度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D、强度和刚度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25、根据《场(厂)内专用机动车辆安全技术规程》（TSG 81—2022）的规定，（      ）应当保证场车的设计、制造、改造与修理符合法律、法规、安全技术规范及相关标准的要求，并且对场车的质量和安全性能负责。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D、生产单位及其主要负责人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26、根据《场(厂)内专用机动车辆安全技术规程》（TSG 81—2022）的规定，场车委托生产的，（      ）均应当取得相应生产许可证(境外制造单位除外)和型式试验证书。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A、委托方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B、被委托方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C、委托方或被委托方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D、委托方和被委托方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27、根据《场(厂)内专用机动车辆安全技术规程》（TSG 81—2022）的规定，场车委托生产的，（      ）对产品质量和安全性能负责。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A、委托方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B、被委托方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C、委托方或被委托方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D、委托方和被委托方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28、根据《场(厂)内专用机动车辆安全技术规程》（TSG 81—2022）的规定，（      ）施焊前，应当制定焊接工艺文件。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A、主要受力结构件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B、一般零部件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C、主要零部件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D、发动机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29、根据《场(厂)内专用机动车辆安全技术规程》（TSG 81—2022）的规定，（      ）执行焊接工艺的，应当按照有关规定进行焊接工艺评定。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A、首次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B、每次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C、第二次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D、每隔一次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30、根据《场(厂)内专用机动车辆安全技术规程》（TSG 81—2022）的规定，观光车辆应当留有（      ）安装车牌的位置。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A、上下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B、前后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C、左右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D、四周</w:t>
      </w:r>
    </w:p>
    <w:p>
      <w:pPr>
        <w:widowControl/>
        <w:jc w:val="left"/>
        <w:textAlignment w:val="center"/>
        <w:rPr>
          <w:rFonts w:ascii="宋体" w:hAnsi="宋体" w:eastAsia="宋体" w:cs="宋体"/>
          <w:color w:val="000000"/>
          <w:sz w:val="24"/>
          <w:szCs w:val="22"/>
        </w:rPr>
      </w:pPr>
      <w:bookmarkStart w:id="0" w:name="_GoBack"/>
      <w:bookmarkEnd w:id="0"/>
      <w:r>
        <w:rPr>
          <w:rFonts w:hint="eastAsia" w:ascii="宋体" w:hAnsi="宋体" w:eastAsia="宋体" w:cs="宋体"/>
          <w:color w:val="000000"/>
          <w:kern w:val="0"/>
          <w:sz w:val="24"/>
          <w:szCs w:val="22"/>
        </w:rPr>
        <w:t>31、根据《场(厂)内专用机动车辆安全技术规程》（TSG 81—2022）的规定，观光列车的（      ）车厢应当设置存放灭火器的位置，并且该位置应当便于灭火器的取用。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A、第一节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B、第二节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C、每节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D、最后一节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32、根据《场(厂)内专用机动车辆安全技术规程》（TSG 81—2022）的规定，观光车的车厢应当设置存放（      ）的位置。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A、灭火器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B、救生锤</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C、手电筒</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D、对讲机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33、根据《场(厂)内专用机动车辆安全技术规程》（TSG 81—2022）的规定，观光车辆（      ）上均应当设置行车制动装置，并且能够由司机直接操纵。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A、前轮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B、后轮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C、驱动轮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D、所有车轮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34、根据《场(厂)内专用机动车辆安全技术规程》（TSG 81—2022）的规定，观光车辆应当采用（      ）的车身结构。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A、三支点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B、四支点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C、非封闭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D、封闭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35、根据《场(厂)内专用机动车辆安全技术规程》（TSG 81—2022）的规定，观光车的额定载客人数(含司机)（      ）23。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C、不大于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D、大于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36、根据《场(厂)内专用机动车辆安全技术规程》（TSG 81—2022）的规定，制造、改造过程检验记录（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A、保存不少于3年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B、保存不少于5年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C、保存不少于10年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D、长期保存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37、根据《场(厂)内专用机动车辆安全技术规程》（TSG 81—2022）的规定，修理过程检验记录（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A、保存不少于3年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B、保存不少于5年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C、保存不少于10年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D、长期保存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38、根据《场(厂)内专用机动车辆安全技术规程》（TSG 81—2022）的规定，委托生产的场车，产品合格证由委托方出具，制造地址填写（      ）地址。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A、委托方单位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B、被委托方单位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D、实际制造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39、根据《场(厂)内专用机动车辆安全技术规程》（TSG 81—2022）的规定，叉车应当在醒目的位置以（      ）形式设置具有下列含义的安全标志：禁止站在货叉上、禁止站在货叉下、手指或者手被挤压风险提示，配备安全带的叉车还应当包括扣紧安全带。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A、图形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B、文字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C、图形或文字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D、图形和文字组合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40、根据《场(厂)内专用机动车辆安全技术规程》（TSG 81—2022）的规定，改造后，场车整车安全性能由（      ）单位负责。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41、根据《场(厂)内专用机动车辆安全技术规程》（TSG 81—2022）的规定，场车改造、修理后，改造、修理单位应当按照要求完成检验，检验报告和相关技术资料应当移交（      ）单位存档。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42、根据《场(厂)内专用机动车辆安全技术规程》（TSG 81—2022）的规定，改造，是指改变原叉车的动力方式、传动方式、车架结构、驾驶方式，观光车辆的动力方式、（      ），或者改变场车原主参数或者载荷曲线的活动。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A、传动方式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B、车架结构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C、驾驶方式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D、转向方式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43、根据《特种设备生产单位落实质量安全主体责任监督管理规定》的规定，场车生产单位应当建立场车质量安全（      ）管控制度。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44、根据《特种设备生产单位落实质量安全主体责任监督管理规定》的规定，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B、实时记录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D、汇报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45、根据《特种设备生产单位落实质量安全主体责任监督管理规定》的规定，质量安全员要每（      ）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46、根据《特种设备生产单位落实质量安全主体责任监督管理规定》的规定，场车生产单位应当建立场车质量安全日管控制度。质量安全员要每日根据《场车质量安全风险管控清单》进行检查，未发现问题的，（      ）予以记录，实行零风险报告。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A、可不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B、也应当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C、由质量安全员决定是否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D、由场车生产单位决定是否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47、根据《特种设备生产单位落实质量安全主体责任监督管理规定》的规定，质量安全员是指本单位具体负责质量过程控制的（      ）人员。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D、风控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48、根据《中华人民共和国特种设备安全法》的规定，特种设备的（      ）单位包括特种设备设计、制造、安装、改造、修理单位。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49、根据《中华人民共和国特种设备安全法》的规定，特种设备生产单位应当保证特种设备生产符合安全技术规范及相关标准的要求，对其生产的特种设备的（      ）性能负责。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B、经济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C、环保</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D、盈利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D、90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52、根据《中华人民共和国特种设备安全法》的规定，未经监督检验或者监督检验不合格的，（      ）出厂或者交付使用。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B、不宜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53、根据《特种设备安全监察条例》的规定，特种设备安装、改造、维修的施工单位在（      ）后即可施工。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B、获批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C、审批合格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D、同意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54、根据《特种设备安全监察条例》的规定，场车的改造、维修以及竣工后，改造、维修的施工单位应当在验收后（      ）日内将有关技术资料移交使用单位。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D、90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55、根据《特种设备作业人员监督管理办法》的规定，锅炉、压力容器（含气瓶）、压力管道、电梯、起重机械、客运索道、大型游乐设施、场（厂）内专用机动车辆等特种设备的作业人员及其相关管理人员统称特种设备（      ）人员。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D、控制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56、根据《特种设备作业人员监督管理办法》的规定，（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57、根据《特种设备作业人员监督管理办法》的规定，持有《特种设备作业人员证》的人员，必须经用人单位的法定代表人（负责人）或者其授权人（      ）后，方可在许可的项目范围内作业。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D、同意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58、根据《特种设备作业人员监督管理办法》的规定，（      ）单位应建立特种设备作业人员管理档案。</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A、</w:t>
      </w:r>
      <w:r>
        <w:rPr>
          <w:rFonts w:hint="eastAsia" w:ascii="宋体" w:hAnsi="宋体" w:eastAsia="宋体" w:cs="宋体"/>
          <w:color w:val="000000"/>
          <w:kern w:val="0"/>
          <w:sz w:val="24"/>
          <w:szCs w:val="22"/>
          <w:lang w:val="en-US" w:eastAsia="zh-CN"/>
        </w:rPr>
        <w:t>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B、用人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59、根据《特种设备作业人员监督管理办法》的规定，《特种设备作业人员证》每（      ）年复审一次。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60、根据《特种设备生产单位落实质量安全主体责任监督管理规定》的规定，质量安全总监和（      ）应当按照岗位职责，协助单位主要负责人做好场车质量安全管理工作。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D、法定代表人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61、根据《特种设备生产单位落实质量安全主体责任监督管理规定》的规定，场车生产单位主要负责人应当（      ）质量安全总监和质量安全员依法开展场车质量安全管理工作。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A、支撑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C、表扬</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D、肯定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62、根据《特种设备生产单位落实质量安全主体责任监督管理规定》的规定，场车生产单位主要负责人在作出涉及场车质量安全的重大决策前，应当充分听取质量安全总监和（      ）的意见和建议。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D、法定代表人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63、根据《特种设备生产单位落实质量安全主体责任监督管理规定》的规定，场车生产单位（      ）在作出涉及场车质量安全的重大决策前，应当充分听取质量安全总监和质量安全员的意见和建议。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D、法定代表人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64、根据《特种设备生产单位落实质量安全主体责任监督管理规定》的规定，质量安全总监、质量安全员发现场车产品存在危及安全的缺陷时，应当提出（      ）相关场车生产等否决建议，场车生产单位应当立即分析研判，采取处置措施，消除风险隐患。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A、加快</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B、停止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C、减慢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D、监控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65、根据《特种设备生产单位落实质量安全主体责任监督管理规定》的规定，场车生产单位应当将主要负责人、质量安全总监和质量安全员的设立、调整情况，《场车质量安全风险管控清单》《场车质量安全总监职责》《场车质量安全员守则》以及质量安全总监、质量安全员提出的意见建议、报告和问题整改落实等履职情况予以记录并（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B、定期销毁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C、专人保管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D、放入保险柜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w:t>
      </w:r>
      <w:r>
        <w:rPr>
          <w:rFonts w:hint="eastAsia" w:ascii="宋体" w:hAnsi="宋体" w:eastAsia="宋体" w:cs="宋体"/>
          <w:color w:val="000000"/>
          <w:kern w:val="0"/>
          <w:sz w:val="24"/>
          <w:szCs w:val="22"/>
          <w:lang w:val="en-US" w:eastAsia="zh-CN"/>
        </w:rPr>
        <w:t>6</w:t>
      </w:r>
      <w:r>
        <w:rPr>
          <w:rFonts w:hint="eastAsia" w:ascii="宋体" w:hAnsi="宋体" w:eastAsia="宋体" w:cs="宋体"/>
          <w:color w:val="000000"/>
          <w:kern w:val="0"/>
          <w:sz w:val="24"/>
          <w:szCs w:val="22"/>
        </w:rPr>
        <w:t>、根据《特种设备生产单位落实质量安全主体责任监督管理规定》的规定，场车生产单位应当对质量安全总监和质量安全员进行法律法规、标准和专业知识（      ），同时对培训、考核情况予以记录并存档备查。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A、培训、考核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C、考核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D、教育</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w:t>
      </w:r>
      <w:r>
        <w:rPr>
          <w:rFonts w:hint="eastAsia" w:ascii="宋体" w:hAnsi="宋体" w:eastAsia="宋体" w:cs="宋体"/>
          <w:color w:val="000000"/>
          <w:kern w:val="0"/>
          <w:sz w:val="24"/>
          <w:szCs w:val="22"/>
          <w:lang w:val="en-US" w:eastAsia="zh-CN"/>
        </w:rPr>
        <w:t>7</w:t>
      </w:r>
      <w:r>
        <w:rPr>
          <w:rFonts w:hint="eastAsia" w:ascii="宋体" w:hAnsi="宋体" w:eastAsia="宋体" w:cs="宋体"/>
          <w:color w:val="000000"/>
          <w:kern w:val="0"/>
          <w:sz w:val="24"/>
          <w:szCs w:val="22"/>
        </w:rPr>
        <w:t>、根据《特种设备生产单位落实质量安全主体责任监督管理规定》的规定，场车生产单位应当对质量安全总监和质量安全员进行法律法规、标准和专业知识培训、考核，同时对培训、考核情况予以记录并（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B、定期销毁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C、专人保管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D、放入保险柜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w:t>
      </w:r>
      <w:r>
        <w:rPr>
          <w:rFonts w:hint="eastAsia" w:ascii="宋体" w:hAnsi="宋体" w:eastAsia="宋体" w:cs="宋体"/>
          <w:color w:val="000000"/>
          <w:kern w:val="0"/>
          <w:sz w:val="24"/>
          <w:szCs w:val="22"/>
          <w:lang w:val="en-US" w:eastAsia="zh-CN"/>
        </w:rPr>
        <w:t>8</w:t>
      </w:r>
      <w:r>
        <w:rPr>
          <w:rFonts w:hint="eastAsia" w:ascii="宋体" w:hAnsi="宋体" w:eastAsia="宋体" w:cs="宋体"/>
          <w:color w:val="000000"/>
          <w:kern w:val="0"/>
          <w:sz w:val="24"/>
          <w:szCs w:val="22"/>
        </w:rPr>
        <w:t>、根据《特种设备生产单位落实质量安全主体责任监督管理规定》的规定，县级以上地方市场监督管理部门按照国家市场监督管理总局制定的《场车质量安全管理人员考核指南》，组织对本辖区内场车生产单位的质量安全总监和质量安全员随机进行监督抽查考核并（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A、公布考核结果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C、表彰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val="en-US" w:eastAsia="zh-CN"/>
        </w:rPr>
        <w:t>69</w:t>
      </w:r>
      <w:r>
        <w:rPr>
          <w:rFonts w:hint="eastAsia" w:ascii="宋体" w:hAnsi="宋体" w:eastAsia="宋体" w:cs="宋体"/>
          <w:color w:val="000000"/>
          <w:kern w:val="0"/>
          <w:sz w:val="24"/>
          <w:szCs w:val="22"/>
        </w:rPr>
        <w:t>、根据《特种设备生产单位落实质量安全主体责任监督管理规定》的规定，场车生产单位应当为质量安全总监和质量安全员提供必要的（      ），充分保障其依法履行职责。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A、工作条件、教育培训和岗位待遇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B、工作条件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C、教育培训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D、岗位待遇</w:t>
      </w:r>
    </w:p>
    <w:p>
      <w:pPr>
        <w:rPr>
          <w:rFonts w:ascii="宋体" w:hAnsi="宋体" w:eastAsia="宋体" w:cs="宋体"/>
          <w:color w:val="000000"/>
          <w:kern w:val="0"/>
          <w:sz w:val="24"/>
          <w:szCs w:val="22"/>
        </w:rPr>
      </w:pPr>
      <w:r>
        <w:rPr>
          <w:rFonts w:hint="eastAsia" w:ascii="宋体" w:hAnsi="宋体" w:eastAsia="宋体" w:cs="宋体"/>
          <w:color w:val="000000"/>
          <w:kern w:val="0"/>
          <w:sz w:val="24"/>
          <w:szCs w:val="22"/>
        </w:rPr>
        <w:t>7</w:t>
      </w:r>
      <w:r>
        <w:rPr>
          <w:rFonts w:hint="eastAsia" w:ascii="宋体" w:hAnsi="宋体" w:eastAsia="宋体" w:cs="宋体"/>
          <w:color w:val="000000"/>
          <w:kern w:val="0"/>
          <w:sz w:val="24"/>
          <w:szCs w:val="22"/>
          <w:lang w:val="en-US" w:eastAsia="zh-CN"/>
        </w:rPr>
        <w:t>0</w:t>
      </w:r>
      <w:r>
        <w:rPr>
          <w:rFonts w:hint="eastAsia" w:ascii="宋体" w:hAnsi="宋体" w:eastAsia="宋体" w:cs="宋体"/>
          <w:color w:val="000000"/>
          <w:kern w:val="0"/>
          <w:sz w:val="24"/>
          <w:szCs w:val="22"/>
        </w:rPr>
        <w:t>、（      ）是指本单位具体负责质量过程控制的检查人员。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C、质量安全人员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D、主要负责人</w:t>
      </w:r>
    </w:p>
    <w:p>
      <w:pPr>
        <w:rPr>
          <w:rFonts w:ascii="宋体" w:hAnsi="宋体" w:eastAsia="宋体" w:cs="宋体"/>
          <w:color w:val="000000"/>
          <w:kern w:val="0"/>
          <w:sz w:val="24"/>
          <w:szCs w:val="2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FiZDIzMjBhYjY3YjcwYmIxYWI1NjM4YzVmYjEyMDMifQ=="/>
  </w:docVars>
  <w:rsids>
    <w:rsidRoot w:val="00CA64CB"/>
    <w:rsid w:val="00024D2E"/>
    <w:rsid w:val="00930810"/>
    <w:rsid w:val="00CA64CB"/>
    <w:rsid w:val="04451B55"/>
    <w:rsid w:val="10761B7B"/>
    <w:rsid w:val="17271301"/>
    <w:rsid w:val="172F398E"/>
    <w:rsid w:val="1B687FD1"/>
    <w:rsid w:val="1E09529A"/>
    <w:rsid w:val="20183882"/>
    <w:rsid w:val="21B15FA4"/>
    <w:rsid w:val="24A8168E"/>
    <w:rsid w:val="254070E7"/>
    <w:rsid w:val="39FA01F5"/>
    <w:rsid w:val="4C5864D9"/>
    <w:rsid w:val="5E127F63"/>
    <w:rsid w:val="60F7791C"/>
    <w:rsid w:val="62D374D6"/>
    <w:rsid w:val="668F5FE1"/>
    <w:rsid w:val="6AAB6F50"/>
    <w:rsid w:val="6CDF2FAC"/>
    <w:rsid w:val="6FBF3799"/>
    <w:rsid w:val="72407CE3"/>
    <w:rsid w:val="75823513"/>
    <w:rsid w:val="FEFE3E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alloon Text"/>
    <w:basedOn w:val="1"/>
    <w:link w:val="12"/>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qFormat/>
    <w:uiPriority w:val="0"/>
    <w:rPr>
      <w:b/>
      <w:bCs/>
    </w:rPr>
  </w:style>
  <w:style w:type="character" w:styleId="9">
    <w:name w:val="annotation reference"/>
    <w:basedOn w:val="8"/>
    <w:qFormat/>
    <w:uiPriority w:val="0"/>
    <w:rPr>
      <w:sz w:val="21"/>
      <w:szCs w:val="21"/>
    </w:rPr>
  </w:style>
  <w:style w:type="character" w:customStyle="1" w:styleId="10">
    <w:name w:val="页眉 Char"/>
    <w:basedOn w:val="8"/>
    <w:link w:val="5"/>
    <w:qFormat/>
    <w:uiPriority w:val="0"/>
    <w:rPr>
      <w:rFonts w:asciiTheme="minorHAnsi" w:hAnsiTheme="minorHAnsi" w:eastAsiaTheme="minorEastAsia" w:cstheme="minorBidi"/>
      <w:kern w:val="2"/>
      <w:sz w:val="18"/>
      <w:szCs w:val="18"/>
    </w:rPr>
  </w:style>
  <w:style w:type="character" w:customStyle="1" w:styleId="11">
    <w:name w:val="页脚 Char"/>
    <w:basedOn w:val="8"/>
    <w:link w:val="4"/>
    <w:qFormat/>
    <w:uiPriority w:val="0"/>
    <w:rPr>
      <w:rFonts w:asciiTheme="minorHAnsi" w:hAnsiTheme="minorHAnsi" w:eastAsiaTheme="minorEastAsia" w:cstheme="minorBidi"/>
      <w:kern w:val="2"/>
      <w:sz w:val="18"/>
      <w:szCs w:val="18"/>
    </w:rPr>
  </w:style>
  <w:style w:type="character" w:customStyle="1" w:styleId="12">
    <w:name w:val="批注框文本 Char"/>
    <w:basedOn w:val="8"/>
    <w:link w:val="3"/>
    <w:qFormat/>
    <w:uiPriority w:val="0"/>
    <w:rPr>
      <w:rFonts w:asciiTheme="minorHAnsi" w:hAnsiTheme="minorHAnsi" w:eastAsiaTheme="minorEastAsia" w:cstheme="minorBidi"/>
      <w:kern w:val="2"/>
      <w:sz w:val="18"/>
      <w:szCs w:val="18"/>
    </w:rPr>
  </w:style>
  <w:style w:type="character" w:customStyle="1" w:styleId="13">
    <w:name w:val="批注文字 Char"/>
    <w:basedOn w:val="8"/>
    <w:link w:val="2"/>
    <w:qFormat/>
    <w:uiPriority w:val="0"/>
    <w:rPr>
      <w:rFonts w:asciiTheme="minorHAnsi" w:hAnsiTheme="minorHAnsi" w:eastAsiaTheme="minorEastAsia" w:cstheme="minorBidi"/>
      <w:kern w:val="2"/>
      <w:sz w:val="21"/>
      <w:szCs w:val="24"/>
    </w:rPr>
  </w:style>
  <w:style w:type="character" w:customStyle="1" w:styleId="14">
    <w:name w:val="批注主题 Char"/>
    <w:basedOn w:val="13"/>
    <w:link w:val="6"/>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19820</Words>
  <Characters>21097</Characters>
  <Lines>23</Lines>
  <Paragraphs>45</Paragraphs>
  <TotalTime>27</TotalTime>
  <ScaleCrop>false</ScaleCrop>
  <LinksUpToDate>false</LinksUpToDate>
  <CharactersWithSpaces>21882</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2024-06-23T01:05:00Z</dcterms:created>
  <dc:creator>R1218</dc:creator>
  <cp:lastModifiedBy>李超</cp:lastModifiedBy>
  <dcterms:modified xsi:type="dcterms:W3CDTF">2024-07-25T15:58:50Z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1DAE1106226D457FA2CAE6FF1FA2AF72_12</vt:lpwstr>
  </property>
</Properties>
</file>