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lang w:val="en-US" w:eastAsia="zh-CN"/>
        </w:rPr>
      </w:pPr>
      <w:bookmarkStart w:id="0" w:name="_Toc157959330"/>
      <w:bookmarkStart w:id="1" w:name="_Toc154573928"/>
      <w:bookmarkStart w:id="2" w:name="_Toc154573927"/>
      <w:bookmarkStart w:id="3" w:name="_Toc165131629"/>
      <w:bookmarkStart w:id="4" w:name="_Toc157959326"/>
      <w:bookmarkStart w:id="5" w:name="_Toc157959364"/>
      <w:bookmarkStart w:id="6" w:name="_Toc165131618"/>
      <w:bookmarkStart w:id="7" w:name="_Toc157959338"/>
      <w:bookmarkStart w:id="8" w:name="_Toc173667639"/>
      <w:bookmarkStart w:id="9" w:name="_Toc164755637"/>
      <w:bookmarkStart w:id="10" w:name="_Toc164755607"/>
      <w:bookmarkStart w:id="11" w:name="_Toc164755618"/>
      <w:r>
        <w:rPr>
          <w:rFonts w:hint="default" w:ascii="Times New Roman" w:hAnsi="Times New Roman" w:eastAsia="方正黑体简体" w:cs="Times New Roman"/>
          <w:lang w:val="en-US" w:eastAsia="zh-CN"/>
        </w:rPr>
        <w:t>附件2</w:t>
      </w:r>
    </w:p>
    <w:p>
      <w:pPr>
        <w:suppressAutoHyphens/>
        <w:bidi w:val="0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国、省检中心动态考核(调研)自查表(核查表)</w:t>
      </w:r>
    </w:p>
    <w:p>
      <w:pPr>
        <w:widowControl w:val="0"/>
        <w:suppressAutoHyphens/>
        <w:bidi w:val="0"/>
        <w:adjustRightInd w:val="0"/>
        <w:snapToGrid w:val="0"/>
        <w:spacing w:before="0" w:after="0" w:line="240" w:lineRule="auto"/>
        <w:ind w:firstLine="560" w:firstLineChars="0"/>
        <w:jc w:val="left"/>
        <w:rPr>
          <w:rFonts w:hint="default" w:ascii="Times New Roman" w:hAnsi="Times New Roman" w:eastAsia="方正仿宋简体" w:cs="Times New Roman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国、省级质检中心名称：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                             </w:t>
      </w:r>
    </w:p>
    <w:p>
      <w:pPr>
        <w:widowControl w:val="0"/>
        <w:suppressAutoHyphens/>
        <w:bidi w:val="0"/>
        <w:adjustRightInd w:val="0"/>
        <w:snapToGrid w:val="0"/>
        <w:spacing w:before="0" w:after="0" w:line="240" w:lineRule="auto"/>
        <w:ind w:firstLine="560" w:firstLineChars="0"/>
        <w:jc w:val="left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44"/>
          <w:szCs w:val="2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依托法人单位名称：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eastAsia" w:cs="Times New Roman"/>
          <w:b w:val="0"/>
          <w:bCs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49"/>
        <w:gridCol w:w="1418"/>
        <w:gridCol w:w="2268"/>
        <w:gridCol w:w="3402"/>
        <w:gridCol w:w="3685"/>
        <w:gridCol w:w="99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897" w:type="dxa"/>
            <w:gridSpan w:val="5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0"/>
              <w:jc w:val="center"/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  <w:t>评分指标体系</w:t>
            </w:r>
          </w:p>
        </w:tc>
        <w:tc>
          <w:tcPr>
            <w:tcW w:w="3685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  <w:t>落实情况记录</w:t>
            </w:r>
            <w:r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  <w:lang w:eastAsia="zh-CN"/>
              </w:rPr>
              <w:t>（附佐证资料）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  <w:t>分值</w:t>
            </w:r>
          </w:p>
          <w:p>
            <w:pPr>
              <w:suppressAutoHyphens/>
              <w:bidi w:val="0"/>
              <w:spacing w:before="48" w:beforeLines="20" w:after="48" w:afterLines="20" w:line="3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  <w:t>标准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60" w:type="dxa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0"/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20" w:after="48" w:afterLines="20"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  <w:lang w:eastAsia="zh-CN"/>
              </w:rPr>
              <w:t>一</w:t>
            </w:r>
            <w:r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  <w:t>级要素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20" w:after="48" w:afterLines="20"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  <w:t>(权重%)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20" w:after="48" w:afterLines="20"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  <w:t>二级要素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20" w:after="48" w:afterLines="20"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  <w:t>(权重%)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jc w:val="center"/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  <w:t>具体内容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auto"/>
                <w:sz w:val="21"/>
                <w:szCs w:val="24"/>
                <w:highlight w:val="none"/>
              </w:rPr>
              <w:t>评分办法</w:t>
            </w:r>
          </w:p>
        </w:tc>
        <w:tc>
          <w:tcPr>
            <w:tcW w:w="3685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482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482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482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0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  <w:t>1</w:t>
            </w:r>
          </w:p>
        </w:tc>
        <w:tc>
          <w:tcPr>
            <w:tcW w:w="1249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工作质量（40%）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制度运行</w:t>
            </w:r>
          </w:p>
          <w:p>
            <w:pPr>
              <w:suppressAutoHyphens/>
              <w:bidi w:val="0"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（10%）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1.执行四川省市场监管系统省检中心有关管理制度情况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熟悉并有效实施四川省市场监管系统省检中心有关管理制度，得4-5分；基本熟悉并实施有关管理制度，得2-3分；不熟悉有关管理制度且执行不佳，得0-1分。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174" w:firstLineChars="83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0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uppressAutoHyphens/>
              <w:bidi w:val="0"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2.执行管理运行、激励保障制度情况（包括机构管理、科技创新、人力资源、财务、薪酬激励等制度建立健全及执行情况）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管理运行、激励保障各项制度健全且有效实施，得4-5分；管理运行、激励保障各项制度基本健全且有效实施，得2-3分；管理运行、激励保障各项制度未建立和实施，得0-1分。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174" w:firstLineChars="83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atLeast"/>
        </w:trPr>
        <w:tc>
          <w:tcPr>
            <w:tcW w:w="560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49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业务运行</w:t>
            </w:r>
          </w:p>
          <w:p>
            <w:pPr>
              <w:suppressAutoHyphens/>
              <w:bidi w:val="0"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（20%）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3.业务开展情况（近三年承担产品监督抽查、强制性产品认证检验、工业产品生产许可证委托检验、风险监测、社会委托检验任务数量及收入）（20分）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近三年业务稳定且呈增长趋势，得15-20分；近三年业务波动较大且呈减少趋势，得10-14分；近三年业务较少或几乎未开展业务，得0-9分。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见附表1-1业务开展情况统计表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highlight w:val="none"/>
              </w:rPr>
              <w:t>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</w:trPr>
        <w:tc>
          <w:tcPr>
            <w:tcW w:w="560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49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支持产业发展（10%）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4.支持地方本领域内产业发展所开展的工作情况（政府批示、工作简报、照片、媒体报道、网站新闻等）（10分）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大力支持地方产业发展，证实材料详实，得7-10分；支持地方产业发展，有证实材料，得3-6分；支持地方产业发展力度不足，证实材料欠缺，得0-2分。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174" w:firstLineChars="83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2" w:hRule="atLeast"/>
        </w:trPr>
        <w:tc>
          <w:tcPr>
            <w:tcW w:w="560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  <w:t>2</w:t>
            </w:r>
          </w:p>
          <w:p>
            <w:pPr>
              <w:suppressAutoHyphens/>
              <w:bidi w:val="0"/>
              <w:spacing w:before="48" w:beforeLines="20" w:after="48" w:afterLines="20" w:line="3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  <w:t>3</w:t>
            </w:r>
          </w:p>
        </w:tc>
        <w:tc>
          <w:tcPr>
            <w:tcW w:w="1249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能力水平（4</w:t>
            </w: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%）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技术能力</w:t>
            </w:r>
          </w:p>
          <w:p>
            <w:pPr>
              <w:suppressAutoHyphens/>
              <w:bidi w:val="0"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（20%）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5.关键检测项目的能力和技术水平（核实关键检测项目是否具备能力，相关能力验证或实验室间比对结果是否满意）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2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2"/>
                <w:szCs w:val="16"/>
                <w:highlight w:val="none"/>
                <w:lang w:val="en-US" w:eastAsia="zh-CN" w:bidi="ar-SA"/>
              </w:rPr>
              <w:t>与同类机构比较，在相关专业领域具有技术优势和权威性，能够承担指导和解决全省相关领域技术执法、把关疑难问题工作，居于省内同类机构的领先水平，得10分；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2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2"/>
                <w:szCs w:val="16"/>
                <w:highlight w:val="none"/>
                <w:lang w:val="en-US" w:eastAsia="zh-CN" w:bidi="ar-SA"/>
              </w:rPr>
              <w:t>在相关专业领域中具有一定的技术优势和权威性，具备解决技术把关疑难问题的能力，处于省内先进技术水平，得9-5分；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2"/>
                <w:szCs w:val="16"/>
                <w:highlight w:val="none"/>
                <w:lang w:val="en-US" w:eastAsia="zh-CN" w:bidi="ar-SA"/>
              </w:rPr>
              <w:t>达不到上述要求的，在4分以下酌情评分。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174" w:firstLineChars="83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0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6.检验检测仪器设备的配置及水平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与同类机构比较，仪器设备配置合理，配套设施齐全，配有相关领域的高精尖、大型、精密先进仪器设备，有较齐全的确证、验证或满足量值溯源要求的仪器设备，主要仪器设备配置处于国内先进、省内领先水平，得5分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设备配置较合理配套设施较齐全，有相关领域的大型、精密先进仪器设备及齐全的配套设备,有较齐全的确证、验证或满足量值溯源要求的仪器设备，大型仪器配备处于省内先进水平, 得3-4分；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仪器设备配置和水平居于一般水平，在2分以下视仪器设备配置情况评分。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见附表2-1关键检验设备考核表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1" w:hRule="atLeast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0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7.实验场环境及硬件设施状况（实地考察实验室的分布情况及周边环境，核实省级质检中心面积，布局是否合理；根据业务工作实际，考察是否满足参数的环境控制条件（如温度、湿度、安全防护等）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与同类型机构比较评分，实验场地和环境、硬件设施满足承检项目的要求，并有充足的发展空间和条件，具备可持续发展的能力，得5分；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 xml:space="preserve">实验场地和环境条件、硬件设施满足承检项目的要求，得3-4分； 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实验场地和环境条件、硬件设施基本满足承检项目的要求，在某些方面存在差距，2分以下酌情评分。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174" w:firstLineChars="83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0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49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科技创新</w:t>
            </w:r>
          </w:p>
          <w:p>
            <w:pPr>
              <w:suppressAutoHyphens/>
              <w:bidi w:val="0"/>
              <w:spacing w:before="48" w:beforeLines="20" w:after="48" w:afterLines="20" w:line="3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</w:rPr>
              <w:t>（10%）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8.科研成果和水平（近三年来参与（完成及在研）的科研项目、获奖情况、专利、论文、专著等）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逐项累计，总分不超过5分。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（1）国家项目，承担得0.5分/项、参与得0.3分/项；省部级项目，承担得0.3分/项、参与得0.15分/项，市州级项目，承担得0.1分/项；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（2）国家项目，获奖得1分/项；省部级项目，获一等奖得1分 /项，二等奖得0.8分/项，三等奖得0.5分/项；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（3）发明专利得0.5分/项，新型实用专利0.2分/项；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（4）论文，国内发表得0.2分/篇，国际发表得0.5分/篇；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（5）专著，公开发行得0.5分/部。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174" w:firstLineChars="83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left="360" w:hanging="315" w:hangingChars="150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9.科技开发和创新能力（检验检测技术开发、标准制修订、前瞻性研究等情况）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逐项累计，总分不超过5分，若与第8条相同，则不重复计分。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（1）自主开发一项检验检测技术，经评价为国内先进或省内领先，得1分/项，省内先进，得0.6分/项；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（2）标准制修订，参与国家标准排名前五位，得1分/项；参与行业标准排名前三位，得0.8分/项；参与地方标准排名前三位，0.5分/项；参与团体标准排名前三位，0.5分/项；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（3）进行相关领域前瞻性研究，承担得0.5分/项、参与得0.3分/项。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174" w:firstLineChars="83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6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4"/>
                <w:szCs w:val="24"/>
                <w:highlight w:val="none"/>
              </w:rPr>
              <w:t>团队建设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（5%）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10.学科带头人和关键岗位人员水平（主要了解学术带头人的技术水平、承担的科研项目、取得的科研成果、发表的相关学术论文及专著，采用现场交谈、提问等方式进行综合评价）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根据现场调查结果，进行综合评估打分。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见附表2-7 学术带头人情况调查表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36" w:beforeLines="15" w:after="36" w:afterLines="15"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36" w:beforeLines="15" w:after="36" w:afterLines="15" w:line="36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 xml:space="preserve">11.人员培养和引进（人才培养、引进、继续教育情况） 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逐项加分，总分不超过2分。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（1）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近3年引进或培养的相关专业的博士或高级职称的相关专业技术人才， 0.3分/名；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（2）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近3年引进或培养的相关专业的硕士，0.15分/名；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（3）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进行了相关专业技术人员的技术培训、学术交流、继续教育并取得成效，最高得0.5分。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6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6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 xml:space="preserve">12.专业技术人员结构 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中高级职称人员占比超过70%，得1分；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中高级职称人员占比60-70%，得0.8分；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中高级职称人员占比50-60%，得0.6分；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中高级职称人员占比40-50%，得0.4分；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中高级职称人员占比低于40%，酌情评分。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6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pacing w:val="-6"/>
                <w:kern w:val="2"/>
                <w:sz w:val="24"/>
                <w:szCs w:val="18"/>
                <w:highlight w:val="none"/>
                <w:lang w:val="en-US" w:eastAsia="zh-CN" w:bidi="ar-SA"/>
              </w:rPr>
              <w:t>该中心共   人，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6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pacing w:val="-6"/>
                <w:kern w:val="2"/>
                <w:sz w:val="24"/>
                <w:szCs w:val="18"/>
                <w:highlight w:val="none"/>
                <w:lang w:val="en-US" w:eastAsia="zh-CN" w:bidi="ar-SA"/>
              </w:rPr>
              <w:t>其中技术人员  人，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6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pacing w:val="-6"/>
                <w:kern w:val="2"/>
                <w:sz w:val="24"/>
                <w:szCs w:val="18"/>
                <w:highlight w:val="none"/>
                <w:lang w:val="en-US" w:eastAsia="zh-CN" w:bidi="ar-SA"/>
              </w:rPr>
              <w:t>具有正高级职称  人、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6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pacing w:val="-6"/>
                <w:kern w:val="2"/>
                <w:sz w:val="24"/>
                <w:szCs w:val="18"/>
                <w:highlight w:val="none"/>
                <w:lang w:val="en-US" w:eastAsia="zh-CN" w:bidi="ar-SA"/>
              </w:rPr>
              <w:t>高级职称  人，中级职称   人。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6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pacing w:val="-6"/>
                <w:kern w:val="2"/>
                <w:sz w:val="24"/>
                <w:szCs w:val="18"/>
                <w:highlight w:val="none"/>
                <w:lang w:val="en-US" w:eastAsia="zh-CN" w:bidi="ar-SA"/>
              </w:rPr>
              <w:t>具有博士  人、硕士   人，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pacing w:val="-6"/>
                <w:kern w:val="2"/>
                <w:sz w:val="24"/>
                <w:szCs w:val="18"/>
                <w:highlight w:val="none"/>
                <w:lang w:val="en-US" w:eastAsia="zh-CN" w:bidi="ar-SA"/>
              </w:rPr>
              <w:t>大学本科  人。中高级职称人员占比例    %。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36" w:beforeLines="15" w:after="36" w:afterLines="15"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36" w:beforeLines="15" w:after="36" w:afterLines="15" w:line="36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4"/>
                <w:szCs w:val="32"/>
                <w:highlight w:val="none"/>
              </w:rPr>
              <w:t>持续发展</w:t>
            </w:r>
          </w:p>
          <w:p>
            <w:pPr>
              <w:suppressAutoHyphens/>
              <w:bidi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4"/>
                <w:szCs w:val="32"/>
                <w:highlight w:val="none"/>
              </w:rPr>
              <w:t>（10%）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13.资金投入和实验室建设情况（政府支持、仪器设备采购、实验室环境改造等情况）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根据政府支持、仪器设备采购、实验室环境改造等实际情况进行综合评估打分，优秀为9-10分，良好为7-8分，一般为4-6分，差为0-3分。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见附表2－8：发展建设情况汇总表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36" w:beforeLines="15" w:after="36" w:afterLines="15"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36" w:beforeLines="15" w:after="36" w:afterLines="15" w:line="36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49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32"/>
                <w:highlight w:val="none"/>
              </w:rPr>
              <w:t>信息化建设（15%）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4"/>
                <w:szCs w:val="32"/>
                <w:highlight w:val="none"/>
              </w:rPr>
              <w:t>信息管理</w:t>
            </w:r>
          </w:p>
          <w:p>
            <w:pPr>
              <w:suppressAutoHyphens/>
              <w:bidi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4"/>
                <w:szCs w:val="32"/>
                <w:highlight w:val="none"/>
              </w:rPr>
              <w:t>系统建设</w:t>
            </w:r>
          </w:p>
          <w:p>
            <w:pPr>
              <w:suppressAutoHyphens/>
              <w:bidi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32"/>
                <w:highlight w:val="none"/>
              </w:rPr>
              <w:t>（10%）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14.信息管理系统运行情况（检查实验室信息管理系统运行情况）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建立并运行功能完善的实验室信息管理系统，运行效果良好，得4-5分；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建立并运行具备基础功能的的实验室信息管理系统，运行效果一般，得1-3分；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未建立并运行实验室信息管理系统，不得分。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36" w:beforeLines="15" w:after="36" w:afterLines="15"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36" w:beforeLines="15" w:after="36" w:afterLines="15" w:line="36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15.信息管理系统维护情况（检查实验室信息管理系统维护情况）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每年对信息管理系统进行持续投入和维护，得4-5分；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 xml:space="preserve">对信息管理系统进行间断式投入和维护，得1-3分； 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未对信息管理系统进行维护，不得分。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36" w:beforeLines="15" w:after="36" w:afterLines="15"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36" w:beforeLines="15" w:after="36" w:afterLines="15" w:line="36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60" w:lineRule="exact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信息定期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报送（5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%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16.检验检测数据定期报送（检查是否按期报送相关数据和信息）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按时报送相关数据和信息，并通过主管部门审核，得5分；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 xml:space="preserve">未按时报送相关信息，不得分； </w:t>
            </w:r>
          </w:p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  <w:t>未通过主管部门审核，在3分以内酌情评分。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48" w:beforeLines="20" w:after="48" w:afterLines="20" w:line="34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color w:val="000000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36" w:beforeLines="15" w:after="36" w:afterLines="15"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uppressAutoHyphens/>
              <w:bidi w:val="0"/>
              <w:snapToGrid/>
              <w:spacing w:before="36" w:beforeLines="15" w:after="36" w:afterLines="15" w:line="36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5"/>
            <w:noWrap w:val="0"/>
            <w:vAlign w:val="center"/>
          </w:tcPr>
          <w:p>
            <w:pPr>
              <w:suppressAutoHyphens/>
              <w:bidi w:val="0"/>
              <w:spacing w:before="48" w:beforeLines="20" w:after="48" w:afterLines="20" w:line="340" w:lineRule="exact"/>
              <w:ind w:firstLine="482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4"/>
                <w:highlight w:val="none"/>
              </w:rPr>
              <w:t>综合得分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0" w:firstLineChars="0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instrText xml:space="preserve"> =SUM(ABOVE) </w:instrTex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850" w:type="dxa"/>
            <w:noWrap w:val="0"/>
            <w:vAlign w:val="center"/>
          </w:tcPr>
          <w:p>
            <w:pPr>
              <w:suppressAutoHyphens/>
              <w:bidi w:val="0"/>
              <w:spacing w:before="36" w:beforeLines="15" w:after="36" w:afterLines="15" w:line="3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4"/>
                <w:highlight w:val="none"/>
              </w:rPr>
            </w:pPr>
          </w:p>
        </w:tc>
      </w:tr>
    </w:tbl>
    <w:p>
      <w:pPr>
        <w:suppressAutoHyphens/>
        <w:bidi w:val="0"/>
        <w:ind w:firstLine="0" w:firstLineChars="0"/>
        <w:rPr>
          <w:rFonts w:hint="eastAsia" w:ascii="Calibri" w:hAnsi="Calibri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Calibri" w:hAnsi="Calibri" w:eastAsia="宋体" w:cs="Times New Roman"/>
          <w:color w:val="auto"/>
          <w:sz w:val="28"/>
          <w:szCs w:val="28"/>
          <w:highlight w:val="none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suppressAutoHyphens/>
        <w:bidi w:val="0"/>
        <w:rPr>
          <w:rFonts w:ascii="Calibri" w:hAnsi="Calibri" w:eastAsia="宋体" w:cs="Times New Roman"/>
          <w:color w:val="auto"/>
          <w:sz w:val="28"/>
          <w:szCs w:val="24"/>
          <w:highlight w:val="none"/>
        </w:rPr>
      </w:pPr>
    </w:p>
    <w:p>
      <w:pPr>
        <w:suppressAutoHyphens/>
        <w:bidi w:val="0"/>
        <w:rPr>
          <w:rFonts w:hint="default" w:ascii="Times New Roman" w:hAnsi="Times New Roman" w:eastAsia="方正黑体简体" w:cs="Times New Roman"/>
          <w:color w:val="auto"/>
          <w:sz w:val="28"/>
          <w:szCs w:val="24"/>
          <w:highlight w:val="none"/>
        </w:rPr>
      </w:pPr>
    </w:p>
    <w:p>
      <w:pPr>
        <w:suppressAutoHyphens/>
        <w:bidi w:val="0"/>
        <w:rPr>
          <w:rFonts w:hint="default" w:ascii="Times New Roman" w:hAnsi="Times New Roman" w:eastAsia="方正黑体简体" w:cs="Times New Roman"/>
          <w:color w:val="auto"/>
          <w:sz w:val="28"/>
          <w:szCs w:val="24"/>
          <w:highlight w:val="none"/>
        </w:rPr>
      </w:pPr>
    </w:p>
    <w:p>
      <w:pPr>
        <w:suppressAutoHyphens/>
        <w:bidi w:val="0"/>
        <w:rPr>
          <w:rFonts w:hint="default" w:ascii="Times New Roman" w:hAnsi="Times New Roman" w:eastAsia="方正黑体简体" w:cs="Times New Roman"/>
          <w:color w:val="auto"/>
          <w:sz w:val="28"/>
          <w:szCs w:val="24"/>
          <w:highlight w:val="none"/>
        </w:rPr>
      </w:pPr>
      <w:bookmarkStart w:id="12" w:name="_GoBack"/>
      <w:bookmarkEnd w:id="12"/>
      <w:r>
        <w:rPr>
          <w:rFonts w:hint="default" w:ascii="Times New Roman" w:hAnsi="Times New Roman" w:eastAsia="方正黑体简体" w:cs="Times New Roman"/>
          <w:color w:val="auto"/>
          <w:sz w:val="28"/>
          <w:szCs w:val="24"/>
          <w:highlight w:val="none"/>
        </w:rPr>
        <w:t>附</w:t>
      </w:r>
      <w:r>
        <w:rPr>
          <w:rFonts w:hint="default" w:ascii="Times New Roman" w:hAnsi="Times New Roman" w:eastAsia="方正黑体简体" w:cs="Times New Roman"/>
          <w:color w:val="auto"/>
          <w:sz w:val="28"/>
          <w:szCs w:val="24"/>
          <w:highlight w:val="none"/>
          <w:lang w:eastAsia="zh-CN"/>
        </w:rPr>
        <w:t>件</w:t>
      </w:r>
      <w:r>
        <w:rPr>
          <w:rFonts w:hint="default" w:ascii="Times New Roman" w:hAnsi="Times New Roman" w:eastAsia="方正黑体简体" w:cs="Times New Roman"/>
          <w:color w:val="auto"/>
          <w:sz w:val="28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黑体简体" w:cs="Times New Roman"/>
          <w:color w:val="auto"/>
          <w:sz w:val="28"/>
          <w:szCs w:val="24"/>
          <w:highlight w:val="none"/>
        </w:rPr>
        <w:t>－1</w:t>
      </w:r>
    </w:p>
    <w:p>
      <w:pPr>
        <w:suppressAutoHyphens/>
        <w:bidi w:val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业务开展情况统计表(近三年)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2232"/>
        <w:gridCol w:w="3262"/>
        <w:gridCol w:w="2432"/>
        <w:gridCol w:w="1481"/>
        <w:gridCol w:w="1873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499" w:type="pct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年度</w:t>
            </w:r>
          </w:p>
        </w:tc>
        <w:tc>
          <w:tcPr>
            <w:tcW w:w="4500" w:type="pct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hint="default" w:ascii="Calibri" w:hAnsi="Calibri" w:eastAsia="方正黑体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检验检测批次</w:t>
            </w:r>
            <w:r>
              <w:rPr>
                <w:rFonts w:hint="eastAsia" w:ascii="Calibri" w:hAnsi="Calibri" w:eastAsia="方正黑体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\报告数量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99" w:type="pct"/>
            <w:vMerge w:val="continue"/>
            <w:noWrap w:val="0"/>
            <w:vAlign w:val="center"/>
          </w:tcPr>
          <w:p>
            <w:pPr>
              <w:suppressAutoHyphens/>
              <w:bidi w:val="0"/>
              <w:ind w:firstLine="480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4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产品质量监督抽查批次</w:t>
            </w:r>
            <w:r>
              <w:rPr>
                <w:rFonts w:hint="eastAsia" w:ascii="Calibri" w:hAnsi="Calibri" w:eastAsia="方正黑体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\报告数量</w:t>
            </w:r>
          </w:p>
        </w:tc>
        <w:tc>
          <w:tcPr>
            <w:tcW w:w="8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强制性产品认证检验批次</w:t>
            </w:r>
            <w:r>
              <w:rPr>
                <w:rFonts w:hint="eastAsia" w:ascii="Calibri" w:hAnsi="Calibri" w:eastAsia="方正黑体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\报告数量</w:t>
            </w:r>
          </w:p>
        </w:tc>
        <w:tc>
          <w:tcPr>
            <w:tcW w:w="91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生产许可证委托检验批次</w:t>
            </w:r>
            <w:r>
              <w:rPr>
                <w:rFonts w:hint="eastAsia" w:ascii="Calibri" w:hAnsi="Calibri" w:eastAsia="方正黑体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\报告数量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174" w:firstLineChars="83"/>
              <w:jc w:val="center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风险监测批次</w:t>
            </w:r>
            <w:r>
              <w:rPr>
                <w:rFonts w:hint="eastAsia" w:ascii="Calibri" w:hAnsi="Calibri" w:eastAsia="方正黑体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\报告数量</w:t>
            </w:r>
          </w:p>
        </w:tc>
        <w:tc>
          <w:tcPr>
            <w:tcW w:w="71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Calibri" w:hAnsi="Calibri" w:eastAsia="方正黑体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社会委托检验批次</w:t>
            </w:r>
            <w:r>
              <w:rPr>
                <w:rFonts w:hint="eastAsia" w:ascii="Calibri" w:hAnsi="Calibri" w:eastAsia="方正黑体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  <w:p>
            <w:pPr>
              <w:suppressAutoHyphens/>
              <w:bidi w:val="0"/>
              <w:jc w:val="center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方正黑体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报告数量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总批次</w:t>
            </w:r>
            <w:r>
              <w:rPr>
                <w:rFonts w:hint="eastAsia" w:ascii="Calibri" w:hAnsi="Calibri" w:eastAsia="方正黑体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\报告数量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4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8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1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71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4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4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499" w:type="pct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年度</w:t>
            </w:r>
          </w:p>
        </w:tc>
        <w:tc>
          <w:tcPr>
            <w:tcW w:w="4500" w:type="pct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检验检测收入（万元）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499" w:type="pct"/>
            <w:vMerge w:val="continue"/>
            <w:noWrap w:val="0"/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4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产品质量监督抽查</w:t>
            </w:r>
          </w:p>
        </w:tc>
        <w:tc>
          <w:tcPr>
            <w:tcW w:w="8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强制性产品认证检验</w:t>
            </w:r>
          </w:p>
        </w:tc>
        <w:tc>
          <w:tcPr>
            <w:tcW w:w="91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生产许可证委托检验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风险监测</w:t>
            </w:r>
          </w:p>
        </w:tc>
        <w:tc>
          <w:tcPr>
            <w:tcW w:w="71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社会委托检验</w:t>
            </w:r>
          </w:p>
        </w:tc>
        <w:tc>
          <w:tcPr>
            <w:tcW w:w="562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both"/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收</w:t>
            </w:r>
            <w:r>
              <w:rPr>
                <w:rFonts w:hint="eastAsia" w:ascii="Calibri" w:hAnsi="Calibri" w:eastAsia="方正黑体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Calibri" w:hAnsi="Calibri" w:eastAsia="方正黑体简体" w:cs="Times New Roman"/>
                <w:color w:val="000000"/>
                <w:sz w:val="21"/>
                <w:szCs w:val="21"/>
                <w:highlight w:val="none"/>
              </w:rPr>
              <w:t>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4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8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1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71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562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4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62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4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62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/>
              <w:bidi w:val="0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</w:tbl>
    <w:p>
      <w:pPr>
        <w:suppressAutoHyphens/>
        <w:bidi w:val="0"/>
        <w:ind w:firstLine="480"/>
        <w:rPr>
          <w:rFonts w:ascii="Calibri" w:hAnsi="Calibri" w:eastAsia="方正黑体简体" w:cs="Times New Roman"/>
          <w:color w:val="000000"/>
          <w:sz w:val="21"/>
          <w:szCs w:val="21"/>
          <w:highlight w:val="none"/>
        </w:rPr>
      </w:pPr>
    </w:p>
    <w:p>
      <w:pPr>
        <w:suppressAutoHyphens/>
        <w:bidi w:val="0"/>
        <w:ind w:firstLine="480"/>
        <w:rPr>
          <w:rFonts w:ascii="Calibri" w:hAnsi="Calibri" w:eastAsia="方正黑体简体" w:cs="Times New Roman"/>
          <w:color w:val="000000"/>
          <w:sz w:val="21"/>
          <w:szCs w:val="21"/>
          <w:highlight w:val="none"/>
        </w:rPr>
      </w:pP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</w:rPr>
        <w:t>说明：</w:t>
      </w:r>
      <w:r>
        <w:rPr>
          <w:rFonts w:hint="eastAsia" w:ascii="Calibri" w:hAnsi="Calibri" w:eastAsia="方正黑体简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  <w:u w:val="single"/>
        </w:rPr>
        <w:t xml:space="preserve">         </w:t>
      </w: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</w:rPr>
        <w:t>年度，检验检测收入中，财政拨款</w:t>
      </w: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  <w:u w:val="single"/>
        </w:rPr>
        <w:t xml:space="preserve">          </w:t>
      </w: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</w:rPr>
        <w:t>万元 ，经营性收入</w:t>
      </w: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  <w:u w:val="single"/>
        </w:rPr>
        <w:t xml:space="preserve">          </w:t>
      </w: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</w:rPr>
        <w:t>万元；</w:t>
      </w:r>
    </w:p>
    <w:p>
      <w:pPr>
        <w:suppressAutoHyphens/>
        <w:bidi w:val="0"/>
        <w:ind w:left="0" w:leftChars="0" w:firstLine="1199" w:firstLineChars="571"/>
        <w:rPr>
          <w:rFonts w:ascii="Calibri" w:hAnsi="Calibri" w:eastAsia="方正黑体简体" w:cs="Times New Roman"/>
          <w:color w:val="000000"/>
          <w:sz w:val="21"/>
          <w:szCs w:val="21"/>
          <w:highlight w:val="none"/>
        </w:rPr>
      </w:pP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  <w:u w:val="single"/>
        </w:rPr>
        <w:t xml:space="preserve">         </w:t>
      </w: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</w:rPr>
        <w:t>年度，检验检测收入中，财政拨款</w:t>
      </w: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  <w:u w:val="single"/>
        </w:rPr>
        <w:t xml:space="preserve">          </w:t>
      </w: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</w:rPr>
        <w:t>万元 ，经营性收入</w:t>
      </w: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  <w:u w:val="single"/>
        </w:rPr>
        <w:t xml:space="preserve">          </w:t>
      </w: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</w:rPr>
        <w:t>万元；</w:t>
      </w:r>
    </w:p>
    <w:p>
      <w:pPr>
        <w:ind w:left="0" w:leftChars="0" w:firstLine="1199" w:firstLineChars="571"/>
        <w:rPr>
          <w:rFonts w:hint="eastAsia" w:eastAsia="方正黑体简体"/>
          <w:lang w:val="en-US" w:eastAsia="zh-CN"/>
        </w:rPr>
      </w:pP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  <w:u w:val="single"/>
        </w:rPr>
        <w:t xml:space="preserve">         </w:t>
      </w: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</w:rPr>
        <w:t>年度，检验检测收入中，财政拨款</w:t>
      </w: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  <w:u w:val="single"/>
        </w:rPr>
        <w:t xml:space="preserve">          </w:t>
      </w: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</w:rPr>
        <w:t>万元 ，经营性收入</w:t>
      </w: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  <w:u w:val="single"/>
        </w:rPr>
        <w:t xml:space="preserve">          </w:t>
      </w:r>
      <w:r>
        <w:rPr>
          <w:rFonts w:ascii="Calibri" w:hAnsi="Calibri" w:eastAsia="方正黑体简体" w:cs="Times New Roman"/>
          <w:color w:val="000000"/>
          <w:sz w:val="21"/>
          <w:szCs w:val="21"/>
          <w:highlight w:val="none"/>
        </w:rPr>
        <w:t>万元</w:t>
      </w:r>
      <w:r>
        <w:rPr>
          <w:rFonts w:hint="eastAsia" w:ascii="Calibri" w:hAnsi="Calibri" w:eastAsia="方正黑体简体" w:cs="Times New Roman"/>
          <w:color w:val="000000"/>
          <w:sz w:val="21"/>
          <w:szCs w:val="21"/>
          <w:highlight w:val="none"/>
          <w:lang w:eastAsia="zh-CN"/>
        </w:rPr>
        <w:t>；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bidi w:val="0"/>
      <w:snapToGrid w:val="0"/>
      <w:spacing w:line="240" w:lineRule="auto"/>
      <w:jc w:val="left"/>
      <w:rPr>
        <w:rFonts w:ascii="Calibri" w:hAnsi="Calibri" w:eastAsia="宋体" w:cs="Times New Roman"/>
        <w:color w:val="auto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color w:val="auto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532130" cy="2660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13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uppressAutoHyphens/>
                            <w:bidi w:val="0"/>
                            <w:snapToGrid w:val="0"/>
                            <w:spacing w:line="240" w:lineRule="auto"/>
                            <w:jc w:val="left"/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20.95pt;width:41.9pt;mso-position-horizontal:outside;mso-position-horizontal-relative:margin;z-index:251659264;mso-width-relative:page;mso-height-relative:page;" filled="f" stroked="f" coordsize="21600,21600" o:gfxdata="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ubJDM1QAAAAYBAAAPAAAAAAAAAAEAIAAAACIAAABkcnMvZG93bnJldi54bWxQSwEC&#10;FAAUAAAACACHTuJASW2Dp74BAAB/AwAADgAAAAAAAAABACAAAAAk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uppressAutoHyphens/>
                      <w:bidi w:val="0"/>
                      <w:snapToGrid w:val="0"/>
                      <w:spacing w:line="240" w:lineRule="auto"/>
                      <w:jc w:val="left"/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11255089"/>
    <w:rsid w:val="000676CA"/>
    <w:rsid w:val="00070A7A"/>
    <w:rsid w:val="00162735"/>
    <w:rsid w:val="0018127A"/>
    <w:rsid w:val="00197267"/>
    <w:rsid w:val="001A2453"/>
    <w:rsid w:val="001F1D2C"/>
    <w:rsid w:val="00242F7D"/>
    <w:rsid w:val="0028621F"/>
    <w:rsid w:val="003E0EDF"/>
    <w:rsid w:val="00627BB9"/>
    <w:rsid w:val="00827110"/>
    <w:rsid w:val="008B6D8B"/>
    <w:rsid w:val="00A85AA8"/>
    <w:rsid w:val="00C35E30"/>
    <w:rsid w:val="00C55925"/>
    <w:rsid w:val="00C96701"/>
    <w:rsid w:val="00CD6080"/>
    <w:rsid w:val="00D94326"/>
    <w:rsid w:val="00DC13F7"/>
    <w:rsid w:val="00E118CC"/>
    <w:rsid w:val="00E94C13"/>
    <w:rsid w:val="0127533C"/>
    <w:rsid w:val="01594FAF"/>
    <w:rsid w:val="01E90844"/>
    <w:rsid w:val="0289560B"/>
    <w:rsid w:val="02966125"/>
    <w:rsid w:val="03D82C76"/>
    <w:rsid w:val="04385CF0"/>
    <w:rsid w:val="05AC22B4"/>
    <w:rsid w:val="062440BA"/>
    <w:rsid w:val="06DA075B"/>
    <w:rsid w:val="06EE06AA"/>
    <w:rsid w:val="072B4F03"/>
    <w:rsid w:val="09B039F5"/>
    <w:rsid w:val="0B154B1E"/>
    <w:rsid w:val="0C143B07"/>
    <w:rsid w:val="0CBD6B55"/>
    <w:rsid w:val="0DB43078"/>
    <w:rsid w:val="0DC43F13"/>
    <w:rsid w:val="0E847F74"/>
    <w:rsid w:val="0F1504DF"/>
    <w:rsid w:val="0F6D0D91"/>
    <w:rsid w:val="106662C2"/>
    <w:rsid w:val="10CA69F4"/>
    <w:rsid w:val="10F42538"/>
    <w:rsid w:val="11255089"/>
    <w:rsid w:val="11B42181"/>
    <w:rsid w:val="124E7455"/>
    <w:rsid w:val="128F30C5"/>
    <w:rsid w:val="12A32349"/>
    <w:rsid w:val="130F79DE"/>
    <w:rsid w:val="13407FC2"/>
    <w:rsid w:val="13E86FC1"/>
    <w:rsid w:val="16775FC6"/>
    <w:rsid w:val="16BB6253"/>
    <w:rsid w:val="16F41113"/>
    <w:rsid w:val="175C1663"/>
    <w:rsid w:val="18492061"/>
    <w:rsid w:val="19FF69FF"/>
    <w:rsid w:val="1A3A7A37"/>
    <w:rsid w:val="1A872550"/>
    <w:rsid w:val="1C1C5930"/>
    <w:rsid w:val="1C767C5A"/>
    <w:rsid w:val="1C8330BF"/>
    <w:rsid w:val="1CC54C47"/>
    <w:rsid w:val="1CC63836"/>
    <w:rsid w:val="1D584122"/>
    <w:rsid w:val="1DBE7D08"/>
    <w:rsid w:val="1E0D0FBE"/>
    <w:rsid w:val="1ECD748C"/>
    <w:rsid w:val="1F737547"/>
    <w:rsid w:val="20DD5E5C"/>
    <w:rsid w:val="210465B2"/>
    <w:rsid w:val="21294361"/>
    <w:rsid w:val="215A1F16"/>
    <w:rsid w:val="21600B46"/>
    <w:rsid w:val="217A070A"/>
    <w:rsid w:val="218912A4"/>
    <w:rsid w:val="21EB2A2B"/>
    <w:rsid w:val="235540B5"/>
    <w:rsid w:val="248C439B"/>
    <w:rsid w:val="259A75DB"/>
    <w:rsid w:val="273429E7"/>
    <w:rsid w:val="27982240"/>
    <w:rsid w:val="293B091B"/>
    <w:rsid w:val="29C16E3F"/>
    <w:rsid w:val="29FE08C0"/>
    <w:rsid w:val="2A005E7B"/>
    <w:rsid w:val="2A191174"/>
    <w:rsid w:val="2A973C48"/>
    <w:rsid w:val="2A9F7442"/>
    <w:rsid w:val="2BA72A52"/>
    <w:rsid w:val="2E152BD5"/>
    <w:rsid w:val="2E1D6452"/>
    <w:rsid w:val="2E8B010F"/>
    <w:rsid w:val="2E8B21B7"/>
    <w:rsid w:val="2EDF7C55"/>
    <w:rsid w:val="2FB27C17"/>
    <w:rsid w:val="2FB73118"/>
    <w:rsid w:val="30C84E15"/>
    <w:rsid w:val="31F024AA"/>
    <w:rsid w:val="32085118"/>
    <w:rsid w:val="33C27F99"/>
    <w:rsid w:val="35A577BB"/>
    <w:rsid w:val="36987F37"/>
    <w:rsid w:val="379949F2"/>
    <w:rsid w:val="385467E1"/>
    <w:rsid w:val="38F11BB4"/>
    <w:rsid w:val="398E0DAD"/>
    <w:rsid w:val="3AB40CE8"/>
    <w:rsid w:val="3C862210"/>
    <w:rsid w:val="3C87299E"/>
    <w:rsid w:val="3C9963E7"/>
    <w:rsid w:val="3CC11464"/>
    <w:rsid w:val="3CF330FB"/>
    <w:rsid w:val="3D443E40"/>
    <w:rsid w:val="3D7762BE"/>
    <w:rsid w:val="3D7E738B"/>
    <w:rsid w:val="3DD35B13"/>
    <w:rsid w:val="3F8A64BB"/>
    <w:rsid w:val="3FC96FE3"/>
    <w:rsid w:val="40414DCB"/>
    <w:rsid w:val="40E77DF5"/>
    <w:rsid w:val="41FB76B6"/>
    <w:rsid w:val="42010CB6"/>
    <w:rsid w:val="435367EA"/>
    <w:rsid w:val="437B50E6"/>
    <w:rsid w:val="44654E01"/>
    <w:rsid w:val="4567620B"/>
    <w:rsid w:val="46D80051"/>
    <w:rsid w:val="46ED5E37"/>
    <w:rsid w:val="48AC2FFE"/>
    <w:rsid w:val="48E850D8"/>
    <w:rsid w:val="49511A95"/>
    <w:rsid w:val="4A0645FD"/>
    <w:rsid w:val="4A197060"/>
    <w:rsid w:val="4A8204BA"/>
    <w:rsid w:val="4AA246B9"/>
    <w:rsid w:val="4BFE0015"/>
    <w:rsid w:val="4C275E6F"/>
    <w:rsid w:val="4C621D61"/>
    <w:rsid w:val="4CB02034"/>
    <w:rsid w:val="4D762114"/>
    <w:rsid w:val="4DAB6188"/>
    <w:rsid w:val="4DAF1E83"/>
    <w:rsid w:val="4DB4701C"/>
    <w:rsid w:val="4ECB6FBB"/>
    <w:rsid w:val="4EDC2D4D"/>
    <w:rsid w:val="5100004E"/>
    <w:rsid w:val="51424108"/>
    <w:rsid w:val="5233747C"/>
    <w:rsid w:val="54120B01"/>
    <w:rsid w:val="54D47B64"/>
    <w:rsid w:val="56167758"/>
    <w:rsid w:val="56A65531"/>
    <w:rsid w:val="575D5617"/>
    <w:rsid w:val="57CF18FE"/>
    <w:rsid w:val="58573A89"/>
    <w:rsid w:val="59777971"/>
    <w:rsid w:val="5AFA409D"/>
    <w:rsid w:val="5BE55921"/>
    <w:rsid w:val="5C235036"/>
    <w:rsid w:val="5CC826A5"/>
    <w:rsid w:val="5CF3477E"/>
    <w:rsid w:val="5D1407B3"/>
    <w:rsid w:val="5D6F0D72"/>
    <w:rsid w:val="5D7D3C0A"/>
    <w:rsid w:val="5DD92690"/>
    <w:rsid w:val="5EC83EBB"/>
    <w:rsid w:val="5F357D99"/>
    <w:rsid w:val="5FAF5BF2"/>
    <w:rsid w:val="5FE72AA2"/>
    <w:rsid w:val="61016FB0"/>
    <w:rsid w:val="61357BDD"/>
    <w:rsid w:val="62D306A1"/>
    <w:rsid w:val="64103A36"/>
    <w:rsid w:val="642360F7"/>
    <w:rsid w:val="64B9090E"/>
    <w:rsid w:val="64D33A77"/>
    <w:rsid w:val="65086198"/>
    <w:rsid w:val="655B1BDC"/>
    <w:rsid w:val="65A9177C"/>
    <w:rsid w:val="65B873F7"/>
    <w:rsid w:val="66731817"/>
    <w:rsid w:val="668F20CB"/>
    <w:rsid w:val="66905038"/>
    <w:rsid w:val="673F17B5"/>
    <w:rsid w:val="68582403"/>
    <w:rsid w:val="6A883CBC"/>
    <w:rsid w:val="6ACC2257"/>
    <w:rsid w:val="6B17192C"/>
    <w:rsid w:val="6B23558A"/>
    <w:rsid w:val="6B600739"/>
    <w:rsid w:val="6CA06A02"/>
    <w:rsid w:val="6CF21078"/>
    <w:rsid w:val="6D2A6A64"/>
    <w:rsid w:val="6D67420F"/>
    <w:rsid w:val="6E35746E"/>
    <w:rsid w:val="6F593630"/>
    <w:rsid w:val="6F843534"/>
    <w:rsid w:val="70524ADD"/>
    <w:rsid w:val="70B353F5"/>
    <w:rsid w:val="70DC0075"/>
    <w:rsid w:val="714F15AB"/>
    <w:rsid w:val="716D5171"/>
    <w:rsid w:val="71881E8A"/>
    <w:rsid w:val="71D90A58"/>
    <w:rsid w:val="721022A1"/>
    <w:rsid w:val="72D354A8"/>
    <w:rsid w:val="73890D30"/>
    <w:rsid w:val="73E6120B"/>
    <w:rsid w:val="744620EA"/>
    <w:rsid w:val="74F60E4B"/>
    <w:rsid w:val="75046551"/>
    <w:rsid w:val="75AE7B06"/>
    <w:rsid w:val="761024BB"/>
    <w:rsid w:val="767F2CA6"/>
    <w:rsid w:val="76C23D58"/>
    <w:rsid w:val="77493F8A"/>
    <w:rsid w:val="77690807"/>
    <w:rsid w:val="77882D05"/>
    <w:rsid w:val="77F36EBE"/>
    <w:rsid w:val="78805F20"/>
    <w:rsid w:val="78921039"/>
    <w:rsid w:val="78D9133E"/>
    <w:rsid w:val="79623A56"/>
    <w:rsid w:val="7990062B"/>
    <w:rsid w:val="7A412411"/>
    <w:rsid w:val="7A881450"/>
    <w:rsid w:val="7AAD0680"/>
    <w:rsid w:val="7AD55B44"/>
    <w:rsid w:val="7B2C7E4B"/>
    <w:rsid w:val="7C7927C7"/>
    <w:rsid w:val="7E3C03A5"/>
    <w:rsid w:val="7E5B60E4"/>
    <w:rsid w:val="7E93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2849</Words>
  <Characters>3032</Characters>
  <Lines>4</Lines>
  <Paragraphs>1</Paragraphs>
  <TotalTime>1</TotalTime>
  <ScaleCrop>false</ScaleCrop>
  <LinksUpToDate>false</LinksUpToDate>
  <CharactersWithSpaces>3248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2020-12-02T02:43:00Z</dcterms:created>
  <dc:creator>admin</dc:creator>
  <cp:lastModifiedBy>素袖清裳</cp:lastModifiedBy>
  <dcterms:modified xsi:type="dcterms:W3CDTF">2023-04-14T02:19:26Z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ADC6F20D40604D3CBB92F0224C519919</vt:lpwstr>
  </property>
</Properties>
</file>