
<file path=[Content_Types].xml><?xml version="1.0" encoding="utf-8"?>
<Types xmlns="http://schemas.openxmlformats.org/package/2006/content-types">
  <Default Extension="xml" ContentType="application/xml"/>
  <Default Extension="xlsx" ContentType="application/vnd.openxmlformats-officedocument.spreadsheetml.sheet"/>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theme/themeOverride1.xml" ContentType="application/vnd.openxmlformats-officedocument.themeOverride+xml"/>
  <Override PartName="/word/theme/themeOverride2.xml" ContentType="application/vnd.openxmlformats-officedocument.themeOverride+xml"/>
  <Override PartName="/word/theme/themeOverride3.xml" ContentType="application/vnd.openxmlformats-officedocument.themeOverride+xml"/>
  <Override PartName="/word/theme/themeOverride4.xml" ContentType="application/vnd.openxmlformats-officedocument.themeOverrid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topLinePunct/>
        <w:spacing w:line="540" w:lineRule="exact"/>
        <w:jc w:val="left"/>
        <w:rPr>
          <w:rFonts w:ascii="Times New Roman" w:hAnsi="Times New Roman" w:eastAsia="宋体" w:cs="Times New Roman"/>
          <w:szCs w:val="22"/>
        </w:rPr>
      </w:pPr>
      <w:r>
        <w:rPr>
          <w:rFonts w:hint="eastAsia" w:eastAsia="黑体"/>
          <w:kern w:val="0"/>
          <w:sz w:val="32"/>
          <w:szCs w:val="32"/>
        </w:rPr>
        <w:t>附件</w:t>
      </w:r>
      <w:r>
        <w:rPr>
          <w:rFonts w:hint="eastAsia" w:eastAsia="黑体"/>
          <w:kern w:val="0"/>
          <w:sz w:val="32"/>
          <w:szCs w:val="32"/>
          <w:lang w:val="en-US" w:eastAsia="zh-CN"/>
        </w:rPr>
        <w:t>2</w:t>
      </w:r>
    </w:p>
    <w:p>
      <w:pPr>
        <w:spacing w:line="440" w:lineRule="exact"/>
        <w:ind w:firstLine="420" w:firstLineChars="200"/>
        <w:jc w:val="left"/>
        <w:rPr>
          <w:rFonts w:ascii="Times New Roman" w:hAnsi="Times New Roman" w:eastAsia="宋体" w:cs="Times New Roman"/>
          <w:szCs w:val="22"/>
        </w:rPr>
      </w:pPr>
    </w:p>
    <w:p>
      <w:pPr>
        <w:spacing w:line="440" w:lineRule="exact"/>
        <w:ind w:firstLine="420" w:firstLineChars="200"/>
        <w:jc w:val="left"/>
        <w:rPr>
          <w:rFonts w:ascii="Times New Roman" w:hAnsi="Times New Roman" w:eastAsia="宋体" w:cs="Times New Roman"/>
          <w:szCs w:val="22"/>
        </w:rPr>
      </w:pPr>
    </w:p>
    <w:p>
      <w:pPr>
        <w:spacing w:line="440" w:lineRule="exact"/>
        <w:ind w:firstLine="420" w:firstLineChars="200"/>
        <w:jc w:val="left"/>
        <w:rPr>
          <w:rFonts w:ascii="Times New Roman" w:hAnsi="Times New Roman" w:eastAsia="宋体" w:cs="Times New Roman"/>
          <w:szCs w:val="22"/>
        </w:rPr>
      </w:pPr>
    </w:p>
    <w:p>
      <w:pPr>
        <w:spacing w:line="440" w:lineRule="exact"/>
        <w:ind w:firstLine="420" w:firstLineChars="200"/>
        <w:jc w:val="left"/>
        <w:rPr>
          <w:rFonts w:ascii="Times New Roman" w:hAnsi="Times New Roman" w:eastAsia="宋体" w:cs="Times New Roman"/>
          <w:szCs w:val="22"/>
        </w:rPr>
      </w:pPr>
    </w:p>
    <w:p>
      <w:pPr>
        <w:adjustRightInd w:val="0"/>
        <w:snapToGrid w:val="0"/>
        <w:spacing w:line="360" w:lineRule="auto"/>
        <w:jc w:val="center"/>
        <w:rPr>
          <w:rFonts w:ascii="黑体" w:hAnsi="黑体" w:eastAsia="黑体" w:cs="Times New Roman"/>
          <w:b/>
          <w:sz w:val="48"/>
          <w:szCs w:val="48"/>
        </w:rPr>
      </w:pPr>
      <w:r>
        <w:rPr>
          <w:rFonts w:hint="eastAsia" w:ascii="黑体" w:hAnsi="黑体" w:eastAsia="黑体" w:cs="Times New Roman"/>
          <w:b/>
          <w:sz w:val="48"/>
          <w:szCs w:val="48"/>
        </w:rPr>
        <w:t>《四川省泡菜工业水污染物排放标准</w:t>
      </w:r>
      <w:r>
        <w:rPr>
          <w:rFonts w:hint="eastAsia" w:ascii="黑体" w:hAnsi="黑体" w:eastAsia="黑体" w:cs="Times New Roman"/>
          <w:b/>
          <w:sz w:val="48"/>
          <w:szCs w:val="48"/>
          <w:lang w:eastAsia="zh-CN"/>
        </w:rPr>
        <w:t>（报批稿）</w:t>
      </w:r>
      <w:r>
        <w:rPr>
          <w:rFonts w:hint="eastAsia" w:ascii="黑体" w:hAnsi="黑体" w:eastAsia="黑体" w:cs="Times New Roman"/>
          <w:b/>
          <w:sz w:val="48"/>
          <w:szCs w:val="48"/>
        </w:rPr>
        <w:t>》编制</w:t>
      </w:r>
      <w:bookmarkStart w:id="63" w:name="_GoBack"/>
      <w:bookmarkEnd w:id="63"/>
      <w:r>
        <w:rPr>
          <w:rFonts w:hint="eastAsia" w:ascii="黑体" w:hAnsi="黑体" w:eastAsia="黑体" w:cs="Times New Roman"/>
          <w:b/>
          <w:sz w:val="48"/>
          <w:szCs w:val="48"/>
        </w:rPr>
        <w:t>说明</w:t>
      </w:r>
    </w:p>
    <w:p>
      <w:pPr>
        <w:spacing w:line="440" w:lineRule="exact"/>
        <w:ind w:firstLine="722" w:firstLineChars="200"/>
        <w:jc w:val="center"/>
        <w:rPr>
          <w:rFonts w:ascii="黑体" w:hAnsi="黑体" w:eastAsia="黑体" w:cs="Times New Roman"/>
          <w:b/>
          <w:sz w:val="36"/>
          <w:szCs w:val="22"/>
        </w:rPr>
      </w:pPr>
    </w:p>
    <w:p>
      <w:pPr>
        <w:spacing w:line="440" w:lineRule="exact"/>
        <w:ind w:firstLine="722" w:firstLineChars="200"/>
        <w:jc w:val="center"/>
        <w:rPr>
          <w:rFonts w:ascii="Times New Roman" w:hAnsi="Times New Roman" w:eastAsia="宋体" w:cs="Times New Roman"/>
          <w:b/>
          <w:sz w:val="36"/>
          <w:szCs w:val="22"/>
        </w:rPr>
      </w:pPr>
    </w:p>
    <w:p>
      <w:pPr>
        <w:spacing w:line="440" w:lineRule="exact"/>
        <w:ind w:firstLine="722" w:firstLineChars="200"/>
        <w:jc w:val="center"/>
        <w:rPr>
          <w:rFonts w:ascii="Times New Roman" w:hAnsi="Times New Roman" w:eastAsia="宋体" w:cs="Times New Roman"/>
          <w:b/>
          <w:sz w:val="36"/>
          <w:szCs w:val="22"/>
        </w:rPr>
      </w:pPr>
    </w:p>
    <w:p>
      <w:pPr>
        <w:spacing w:line="440" w:lineRule="exact"/>
        <w:ind w:firstLine="722" w:firstLineChars="200"/>
        <w:jc w:val="center"/>
        <w:rPr>
          <w:rFonts w:ascii="Times New Roman" w:hAnsi="Times New Roman" w:eastAsia="宋体" w:cs="Times New Roman"/>
          <w:b/>
          <w:sz w:val="36"/>
          <w:szCs w:val="22"/>
        </w:rPr>
      </w:pPr>
    </w:p>
    <w:p>
      <w:pPr>
        <w:spacing w:line="440" w:lineRule="exact"/>
        <w:ind w:firstLine="722" w:firstLineChars="200"/>
        <w:jc w:val="center"/>
        <w:rPr>
          <w:rFonts w:ascii="Times New Roman" w:hAnsi="Times New Roman" w:eastAsia="宋体" w:cs="Times New Roman"/>
          <w:b/>
          <w:sz w:val="36"/>
          <w:szCs w:val="22"/>
        </w:rPr>
      </w:pPr>
    </w:p>
    <w:p>
      <w:pPr>
        <w:spacing w:line="440" w:lineRule="exact"/>
        <w:ind w:firstLine="722" w:firstLineChars="200"/>
        <w:jc w:val="center"/>
        <w:rPr>
          <w:rFonts w:ascii="Times New Roman" w:hAnsi="Times New Roman" w:eastAsia="宋体" w:cs="Times New Roman"/>
          <w:b/>
          <w:sz w:val="36"/>
          <w:szCs w:val="22"/>
        </w:rPr>
      </w:pPr>
    </w:p>
    <w:p>
      <w:pPr>
        <w:spacing w:line="440" w:lineRule="exact"/>
        <w:ind w:firstLine="722" w:firstLineChars="200"/>
        <w:jc w:val="center"/>
        <w:rPr>
          <w:rFonts w:ascii="Times New Roman" w:hAnsi="Times New Roman" w:eastAsia="宋体" w:cs="Times New Roman"/>
          <w:b/>
          <w:sz w:val="36"/>
          <w:szCs w:val="22"/>
        </w:rPr>
      </w:pPr>
    </w:p>
    <w:p>
      <w:pPr>
        <w:spacing w:line="440" w:lineRule="exact"/>
        <w:ind w:firstLine="722" w:firstLineChars="200"/>
        <w:jc w:val="center"/>
        <w:rPr>
          <w:rFonts w:ascii="Times New Roman" w:hAnsi="Times New Roman" w:eastAsia="宋体" w:cs="Times New Roman"/>
          <w:b/>
          <w:sz w:val="36"/>
          <w:szCs w:val="22"/>
        </w:rPr>
      </w:pPr>
    </w:p>
    <w:p>
      <w:pPr>
        <w:spacing w:line="440" w:lineRule="exact"/>
        <w:ind w:firstLine="722" w:firstLineChars="200"/>
        <w:jc w:val="center"/>
        <w:rPr>
          <w:rFonts w:ascii="Times New Roman" w:hAnsi="Times New Roman" w:eastAsia="宋体" w:cs="Times New Roman"/>
          <w:b/>
          <w:sz w:val="36"/>
          <w:szCs w:val="22"/>
        </w:rPr>
      </w:pPr>
    </w:p>
    <w:p>
      <w:pPr>
        <w:spacing w:line="440" w:lineRule="exact"/>
        <w:ind w:firstLine="722" w:firstLineChars="200"/>
        <w:jc w:val="center"/>
        <w:rPr>
          <w:rFonts w:ascii="Times New Roman" w:hAnsi="Times New Roman" w:eastAsia="宋体" w:cs="Times New Roman"/>
          <w:b/>
          <w:sz w:val="36"/>
          <w:szCs w:val="22"/>
        </w:rPr>
      </w:pPr>
    </w:p>
    <w:p>
      <w:pPr>
        <w:spacing w:line="440" w:lineRule="exact"/>
        <w:ind w:firstLine="722" w:firstLineChars="200"/>
        <w:jc w:val="center"/>
        <w:rPr>
          <w:rFonts w:ascii="Times New Roman" w:hAnsi="Times New Roman" w:eastAsia="宋体" w:cs="Times New Roman"/>
          <w:b/>
          <w:sz w:val="36"/>
          <w:szCs w:val="22"/>
        </w:rPr>
      </w:pPr>
    </w:p>
    <w:p>
      <w:pPr>
        <w:spacing w:line="440" w:lineRule="exact"/>
        <w:ind w:firstLine="722" w:firstLineChars="200"/>
        <w:jc w:val="center"/>
        <w:rPr>
          <w:rFonts w:ascii="Times New Roman" w:hAnsi="Times New Roman" w:eastAsia="宋体" w:cs="Times New Roman"/>
          <w:b/>
          <w:sz w:val="36"/>
          <w:szCs w:val="22"/>
        </w:rPr>
      </w:pPr>
    </w:p>
    <w:p>
      <w:pPr>
        <w:spacing w:line="440" w:lineRule="exact"/>
        <w:ind w:firstLine="722" w:firstLineChars="200"/>
        <w:jc w:val="center"/>
        <w:rPr>
          <w:rFonts w:ascii="Times New Roman" w:hAnsi="Times New Roman" w:eastAsia="宋体" w:cs="Times New Roman"/>
          <w:b/>
          <w:sz w:val="36"/>
          <w:szCs w:val="22"/>
        </w:rPr>
      </w:pPr>
    </w:p>
    <w:p>
      <w:pPr>
        <w:spacing w:line="440" w:lineRule="exact"/>
        <w:ind w:firstLine="722" w:firstLineChars="200"/>
        <w:jc w:val="center"/>
        <w:rPr>
          <w:rFonts w:ascii="Times New Roman" w:hAnsi="Times New Roman" w:eastAsia="宋体" w:cs="Times New Roman"/>
          <w:b/>
          <w:sz w:val="36"/>
          <w:szCs w:val="22"/>
        </w:rPr>
      </w:pPr>
    </w:p>
    <w:p>
      <w:pPr>
        <w:spacing w:line="440" w:lineRule="exact"/>
        <w:ind w:firstLine="722" w:firstLineChars="200"/>
        <w:jc w:val="center"/>
        <w:rPr>
          <w:rFonts w:ascii="Times New Roman" w:hAnsi="Times New Roman" w:eastAsia="宋体" w:cs="Times New Roman"/>
          <w:b/>
          <w:sz w:val="36"/>
          <w:szCs w:val="22"/>
        </w:rPr>
      </w:pPr>
    </w:p>
    <w:p>
      <w:pPr>
        <w:spacing w:line="440" w:lineRule="exact"/>
        <w:ind w:firstLine="722" w:firstLineChars="200"/>
        <w:jc w:val="center"/>
        <w:rPr>
          <w:rFonts w:ascii="Times New Roman" w:hAnsi="Times New Roman" w:eastAsia="宋体" w:cs="Times New Roman"/>
          <w:b/>
          <w:sz w:val="36"/>
          <w:szCs w:val="22"/>
        </w:rPr>
      </w:pPr>
    </w:p>
    <w:p>
      <w:pPr>
        <w:spacing w:line="440" w:lineRule="exact"/>
        <w:ind w:firstLine="722" w:firstLineChars="200"/>
        <w:jc w:val="center"/>
        <w:rPr>
          <w:rFonts w:ascii="Times New Roman" w:hAnsi="Times New Roman" w:eastAsia="宋体" w:cs="Times New Roman"/>
          <w:b/>
          <w:sz w:val="36"/>
          <w:szCs w:val="22"/>
        </w:rPr>
      </w:pPr>
    </w:p>
    <w:p>
      <w:pPr>
        <w:spacing w:line="440" w:lineRule="exact"/>
        <w:jc w:val="center"/>
        <w:rPr>
          <w:rFonts w:ascii="黑体" w:hAnsi="黑体" w:eastAsia="黑体" w:cs="Times New Roman"/>
          <w:b/>
          <w:sz w:val="32"/>
          <w:szCs w:val="32"/>
        </w:rPr>
      </w:pPr>
      <w:r>
        <w:rPr>
          <w:rFonts w:hint="eastAsia" w:ascii="黑体" w:hAnsi="黑体" w:eastAsia="黑体" w:cs="Times New Roman"/>
          <w:b/>
          <w:sz w:val="32"/>
          <w:szCs w:val="32"/>
        </w:rPr>
        <w:t>《四川省泡菜工业水污染物排放标准》编制组</w:t>
      </w:r>
    </w:p>
    <w:p>
      <w:pPr>
        <w:spacing w:line="440" w:lineRule="exact"/>
        <w:ind w:firstLine="722" w:firstLineChars="200"/>
        <w:jc w:val="center"/>
        <w:rPr>
          <w:rFonts w:ascii="Times New Roman" w:hAnsi="Times New Roman" w:eastAsia="宋体" w:cs="Times New Roman"/>
          <w:b/>
          <w:sz w:val="36"/>
          <w:szCs w:val="22"/>
        </w:rPr>
      </w:pPr>
    </w:p>
    <w:p>
      <w:pPr>
        <w:spacing w:line="440" w:lineRule="exact"/>
        <w:jc w:val="center"/>
        <w:rPr>
          <w:rFonts w:ascii="Times New Roman" w:hAnsi="Times New Roman" w:eastAsia="宋体" w:cs="Times New Roman"/>
          <w:b/>
          <w:sz w:val="36"/>
          <w:szCs w:val="22"/>
        </w:rPr>
      </w:pPr>
      <w:r>
        <w:rPr>
          <w:rFonts w:ascii="Times New Roman" w:hAnsi="Times New Roman" w:eastAsia="宋体" w:cs="Times New Roman"/>
          <w:b/>
          <w:sz w:val="36"/>
          <w:szCs w:val="22"/>
        </w:rPr>
        <w:t>2021年6月</w:t>
      </w:r>
      <w:r>
        <w:rPr>
          <w:rFonts w:ascii="Times New Roman" w:hAnsi="Times New Roman" w:eastAsia="宋体" w:cs="Times New Roman"/>
          <w:b/>
          <w:sz w:val="36"/>
          <w:szCs w:val="22"/>
        </w:rPr>
        <w:br w:type="page"/>
      </w:r>
    </w:p>
    <w:sdt>
      <w:sdtPr>
        <w:rPr>
          <w:rFonts w:ascii="Times New Roman" w:hAnsi="Times New Roman" w:eastAsia="宋体" w:cs="Times New Roman"/>
          <w:szCs w:val="22"/>
          <w:lang w:val="zh-CN"/>
        </w:rPr>
        <w:id w:val="12601449"/>
        <w:docPartObj>
          <w:docPartGallery w:val="Table of Contents"/>
          <w:docPartUnique/>
        </w:docPartObj>
      </w:sdtPr>
      <w:sdtEndPr>
        <w:rPr>
          <w:rFonts w:ascii="Times New Roman" w:hAnsi="Times New Roman" w:eastAsia="宋体" w:cs="Times New Roman"/>
          <w:szCs w:val="22"/>
          <w:lang w:val="en-US"/>
        </w:rPr>
      </w:sdtEndPr>
      <w:sdtContent>
        <w:p>
          <w:pPr>
            <w:spacing w:line="440" w:lineRule="exact"/>
            <w:ind w:firstLine="420" w:firstLineChars="200"/>
            <w:jc w:val="center"/>
            <w:rPr>
              <w:rFonts w:ascii="Times New Roman" w:hAnsi="Times New Roman" w:eastAsia="宋体" w:cs="Times New Roman"/>
              <w:b/>
              <w:sz w:val="36"/>
              <w:szCs w:val="22"/>
            </w:rPr>
          </w:pPr>
          <w:r>
            <w:rPr>
              <w:rFonts w:hint="eastAsia" w:ascii="Times New Roman" w:hAnsi="Times New Roman" w:eastAsia="宋体" w:cs="Times New Roman"/>
              <w:b/>
              <w:sz w:val="36"/>
              <w:szCs w:val="22"/>
            </w:rPr>
            <w:t>目录</w:t>
          </w:r>
        </w:p>
        <w:p>
          <w:pPr>
            <w:pStyle w:val="17"/>
            <w:tabs>
              <w:tab w:val="right" w:leader="dot" w:pos="8302"/>
            </w:tabs>
            <w:rPr>
              <w:rFonts w:hint="default" w:asciiTheme="minorHAnsi" w:hAnsiTheme="minorHAnsi" w:eastAsiaTheme="minorEastAsia" w:cstheme="minorBidi"/>
              <w:b/>
              <w:bCs/>
              <w:sz w:val="21"/>
              <w:szCs w:val="22"/>
            </w:rPr>
          </w:pPr>
          <w:r>
            <w:rPr>
              <w:rFonts w:hint="default"/>
              <w:szCs w:val="22"/>
            </w:rPr>
            <w:fldChar w:fldCharType="begin"/>
          </w:r>
          <w:r>
            <w:rPr>
              <w:szCs w:val="22"/>
            </w:rPr>
            <w:instrText xml:space="preserve"> TOC \o "1-3" \h \z \u </w:instrText>
          </w:r>
          <w:r>
            <w:rPr>
              <w:rFonts w:hint="default"/>
              <w:szCs w:val="22"/>
            </w:rPr>
            <w:fldChar w:fldCharType="separate"/>
          </w:r>
          <w:r>
            <w:fldChar w:fldCharType="begin"/>
          </w:r>
          <w:r>
            <w:instrText xml:space="preserve"> HYPERLINK \l "_Toc76386078" </w:instrText>
          </w:r>
          <w:r>
            <w:fldChar w:fldCharType="separate"/>
          </w:r>
          <w:r>
            <w:rPr>
              <w:rStyle w:val="29"/>
              <w:b/>
              <w:bCs/>
              <w:kern w:val="44"/>
            </w:rPr>
            <w:t>1项目背景</w:t>
          </w:r>
          <w:r>
            <w:rPr>
              <w:b/>
              <w:bCs/>
            </w:rPr>
            <w:tab/>
          </w:r>
          <w:r>
            <w:rPr>
              <w:b/>
              <w:bCs/>
            </w:rPr>
            <w:fldChar w:fldCharType="begin"/>
          </w:r>
          <w:r>
            <w:rPr>
              <w:b/>
              <w:bCs/>
            </w:rPr>
            <w:instrText xml:space="preserve"> PAGEREF _Toc76386078 \h </w:instrText>
          </w:r>
          <w:r>
            <w:rPr>
              <w:rFonts w:hint="default"/>
              <w:b/>
              <w:bCs/>
            </w:rPr>
            <w:fldChar w:fldCharType="separate"/>
          </w:r>
          <w:r>
            <w:rPr>
              <w:rFonts w:hint="default"/>
              <w:b/>
              <w:bCs/>
            </w:rPr>
            <w:t>1</w:t>
          </w:r>
          <w:r>
            <w:rPr>
              <w:b/>
              <w:bCs/>
            </w:rPr>
            <w:fldChar w:fldCharType="end"/>
          </w:r>
          <w:r>
            <w:rPr>
              <w:b/>
              <w:bCs/>
            </w:rPr>
            <w:fldChar w:fldCharType="end"/>
          </w:r>
        </w:p>
        <w:p>
          <w:pPr>
            <w:pStyle w:val="20"/>
            <w:tabs>
              <w:tab w:val="right" w:leader="dot" w:pos="8302"/>
            </w:tabs>
            <w:spacing w:line="360" w:lineRule="auto"/>
            <w:rPr>
              <w:szCs w:val="22"/>
            </w:rPr>
          </w:pPr>
          <w:r>
            <w:fldChar w:fldCharType="begin"/>
          </w:r>
          <w:r>
            <w:instrText xml:space="preserve"> HYPERLINK \l "_Toc76386079" </w:instrText>
          </w:r>
          <w:r>
            <w:fldChar w:fldCharType="separate"/>
          </w:r>
          <w:r>
            <w:rPr>
              <w:rStyle w:val="29"/>
              <w:rFonts w:ascii="Times New Roman" w:hAnsi="Times New Roman" w:eastAsia="宋体" w:cs="Times New Roman"/>
            </w:rPr>
            <w:t>1.1任务来源</w:t>
          </w:r>
          <w:r>
            <w:tab/>
          </w:r>
          <w:r>
            <w:fldChar w:fldCharType="begin"/>
          </w:r>
          <w:r>
            <w:instrText xml:space="preserve"> PAGEREF _Toc76386079 \h </w:instrText>
          </w:r>
          <w:r>
            <w:fldChar w:fldCharType="separate"/>
          </w:r>
          <w:r>
            <w:t>1</w:t>
          </w:r>
          <w:r>
            <w:fldChar w:fldCharType="end"/>
          </w:r>
          <w:r>
            <w:fldChar w:fldCharType="end"/>
          </w:r>
        </w:p>
        <w:p>
          <w:pPr>
            <w:pStyle w:val="20"/>
            <w:tabs>
              <w:tab w:val="right" w:leader="dot" w:pos="8302"/>
            </w:tabs>
            <w:spacing w:line="360" w:lineRule="auto"/>
            <w:rPr>
              <w:szCs w:val="22"/>
            </w:rPr>
          </w:pPr>
          <w:r>
            <w:fldChar w:fldCharType="begin"/>
          </w:r>
          <w:r>
            <w:instrText xml:space="preserve"> HYPERLINK \l "_Toc76386080" </w:instrText>
          </w:r>
          <w:r>
            <w:fldChar w:fldCharType="separate"/>
          </w:r>
          <w:r>
            <w:rPr>
              <w:rStyle w:val="29"/>
              <w:rFonts w:ascii="Times New Roman" w:hAnsi="Times New Roman" w:eastAsia="宋体" w:cs="Times New Roman"/>
            </w:rPr>
            <w:t>1.2工作过程</w:t>
          </w:r>
          <w:r>
            <w:tab/>
          </w:r>
          <w:r>
            <w:fldChar w:fldCharType="begin"/>
          </w:r>
          <w:r>
            <w:instrText xml:space="preserve"> PAGEREF _Toc76386080 \h </w:instrText>
          </w:r>
          <w:r>
            <w:fldChar w:fldCharType="separate"/>
          </w:r>
          <w:r>
            <w:t>1</w:t>
          </w:r>
          <w:r>
            <w:fldChar w:fldCharType="end"/>
          </w:r>
          <w:r>
            <w:fldChar w:fldCharType="end"/>
          </w:r>
        </w:p>
        <w:p>
          <w:pPr>
            <w:pStyle w:val="17"/>
            <w:tabs>
              <w:tab w:val="right" w:leader="dot" w:pos="8302"/>
            </w:tabs>
            <w:rPr>
              <w:rFonts w:hint="default" w:asciiTheme="minorHAnsi" w:hAnsiTheme="minorHAnsi" w:eastAsiaTheme="minorEastAsia" w:cstheme="minorBidi"/>
              <w:b/>
              <w:bCs/>
              <w:sz w:val="21"/>
              <w:szCs w:val="22"/>
            </w:rPr>
          </w:pPr>
          <w:r>
            <w:fldChar w:fldCharType="begin"/>
          </w:r>
          <w:r>
            <w:instrText xml:space="preserve"> HYPERLINK \l "_Toc76386081" </w:instrText>
          </w:r>
          <w:r>
            <w:fldChar w:fldCharType="separate"/>
          </w:r>
          <w:r>
            <w:rPr>
              <w:rStyle w:val="29"/>
              <w:b/>
              <w:bCs/>
              <w:kern w:val="44"/>
            </w:rPr>
            <w:t>2行业概况</w:t>
          </w:r>
          <w:r>
            <w:rPr>
              <w:b/>
              <w:bCs/>
            </w:rPr>
            <w:tab/>
          </w:r>
          <w:r>
            <w:rPr>
              <w:b/>
              <w:bCs/>
            </w:rPr>
            <w:fldChar w:fldCharType="begin"/>
          </w:r>
          <w:r>
            <w:rPr>
              <w:b/>
              <w:bCs/>
            </w:rPr>
            <w:instrText xml:space="preserve"> PAGEREF _Toc76386081 \h </w:instrText>
          </w:r>
          <w:r>
            <w:rPr>
              <w:rFonts w:hint="default"/>
              <w:b/>
              <w:bCs/>
            </w:rPr>
            <w:fldChar w:fldCharType="separate"/>
          </w:r>
          <w:r>
            <w:rPr>
              <w:rFonts w:hint="default"/>
              <w:b/>
              <w:bCs/>
            </w:rPr>
            <w:t>2</w:t>
          </w:r>
          <w:r>
            <w:rPr>
              <w:b/>
              <w:bCs/>
            </w:rPr>
            <w:fldChar w:fldCharType="end"/>
          </w:r>
          <w:r>
            <w:rPr>
              <w:b/>
              <w:bCs/>
            </w:rPr>
            <w:fldChar w:fldCharType="end"/>
          </w:r>
        </w:p>
        <w:p>
          <w:pPr>
            <w:pStyle w:val="20"/>
            <w:tabs>
              <w:tab w:val="right" w:leader="dot" w:pos="8302"/>
            </w:tabs>
            <w:spacing w:line="360" w:lineRule="auto"/>
            <w:rPr>
              <w:szCs w:val="22"/>
            </w:rPr>
          </w:pPr>
          <w:r>
            <w:fldChar w:fldCharType="begin"/>
          </w:r>
          <w:r>
            <w:instrText xml:space="preserve"> HYPERLINK \l "_Toc76386082" </w:instrText>
          </w:r>
          <w:r>
            <w:fldChar w:fldCharType="separate"/>
          </w:r>
          <w:r>
            <w:rPr>
              <w:rStyle w:val="29"/>
              <w:rFonts w:ascii="Times New Roman" w:hAnsi="Times New Roman" w:eastAsia="宋体" w:cs="Times New Roman"/>
            </w:rPr>
            <w:t>2.1 产业规模</w:t>
          </w:r>
          <w:r>
            <w:tab/>
          </w:r>
          <w:r>
            <w:fldChar w:fldCharType="begin"/>
          </w:r>
          <w:r>
            <w:instrText xml:space="preserve"> PAGEREF _Toc76386082 \h </w:instrText>
          </w:r>
          <w:r>
            <w:fldChar w:fldCharType="separate"/>
          </w:r>
          <w:r>
            <w:t>2</w:t>
          </w:r>
          <w:r>
            <w:fldChar w:fldCharType="end"/>
          </w:r>
          <w:r>
            <w:fldChar w:fldCharType="end"/>
          </w:r>
        </w:p>
        <w:p>
          <w:pPr>
            <w:pStyle w:val="20"/>
            <w:tabs>
              <w:tab w:val="right" w:leader="dot" w:pos="8302"/>
            </w:tabs>
            <w:spacing w:line="360" w:lineRule="auto"/>
            <w:rPr>
              <w:szCs w:val="22"/>
            </w:rPr>
          </w:pPr>
          <w:r>
            <w:fldChar w:fldCharType="begin"/>
          </w:r>
          <w:r>
            <w:instrText xml:space="preserve"> HYPERLINK \l "_Toc76386083" </w:instrText>
          </w:r>
          <w:r>
            <w:fldChar w:fldCharType="separate"/>
          </w:r>
          <w:r>
            <w:rPr>
              <w:rStyle w:val="29"/>
              <w:rFonts w:ascii="Times New Roman" w:hAnsi="Times New Roman" w:eastAsia="宋体" w:cs="Times New Roman"/>
            </w:rPr>
            <w:t>2.2 产业分布</w:t>
          </w:r>
          <w:r>
            <w:tab/>
          </w:r>
          <w:r>
            <w:fldChar w:fldCharType="begin"/>
          </w:r>
          <w:r>
            <w:instrText xml:space="preserve"> PAGEREF _Toc76386083 \h </w:instrText>
          </w:r>
          <w:r>
            <w:fldChar w:fldCharType="separate"/>
          </w:r>
          <w:r>
            <w:t>4</w:t>
          </w:r>
          <w:r>
            <w:fldChar w:fldCharType="end"/>
          </w:r>
          <w:r>
            <w:fldChar w:fldCharType="end"/>
          </w:r>
        </w:p>
        <w:p>
          <w:pPr>
            <w:pStyle w:val="20"/>
            <w:tabs>
              <w:tab w:val="right" w:leader="dot" w:pos="8302"/>
            </w:tabs>
            <w:spacing w:line="360" w:lineRule="auto"/>
            <w:rPr>
              <w:szCs w:val="22"/>
            </w:rPr>
          </w:pPr>
          <w:r>
            <w:fldChar w:fldCharType="begin"/>
          </w:r>
          <w:r>
            <w:instrText xml:space="preserve"> HYPERLINK \l "_Toc76386084" </w:instrText>
          </w:r>
          <w:r>
            <w:fldChar w:fldCharType="separate"/>
          </w:r>
          <w:r>
            <w:rPr>
              <w:rStyle w:val="29"/>
              <w:rFonts w:ascii="Times New Roman" w:hAnsi="Times New Roman" w:eastAsia="宋体" w:cs="Times New Roman"/>
            </w:rPr>
            <w:t>2.3发展趋势</w:t>
          </w:r>
          <w:r>
            <w:tab/>
          </w:r>
          <w:r>
            <w:fldChar w:fldCharType="begin"/>
          </w:r>
          <w:r>
            <w:instrText xml:space="preserve"> PAGEREF _Toc76386084 \h </w:instrText>
          </w:r>
          <w:r>
            <w:fldChar w:fldCharType="separate"/>
          </w:r>
          <w:r>
            <w:t>5</w:t>
          </w:r>
          <w:r>
            <w:fldChar w:fldCharType="end"/>
          </w:r>
          <w:r>
            <w:fldChar w:fldCharType="end"/>
          </w:r>
        </w:p>
        <w:p>
          <w:pPr>
            <w:pStyle w:val="17"/>
            <w:tabs>
              <w:tab w:val="right" w:leader="dot" w:pos="8302"/>
            </w:tabs>
            <w:rPr>
              <w:rFonts w:hint="default" w:asciiTheme="minorHAnsi" w:hAnsiTheme="minorHAnsi" w:eastAsiaTheme="minorEastAsia" w:cstheme="minorBidi"/>
              <w:b/>
              <w:bCs/>
              <w:sz w:val="21"/>
              <w:szCs w:val="22"/>
            </w:rPr>
          </w:pPr>
          <w:r>
            <w:fldChar w:fldCharType="begin"/>
          </w:r>
          <w:r>
            <w:instrText xml:space="preserve"> HYPERLINK \l "_Toc76386085" </w:instrText>
          </w:r>
          <w:r>
            <w:fldChar w:fldCharType="separate"/>
          </w:r>
          <w:r>
            <w:rPr>
              <w:rStyle w:val="29"/>
              <w:b/>
              <w:bCs/>
              <w:kern w:val="44"/>
            </w:rPr>
            <w:t>3标准制定的必要性分析</w:t>
          </w:r>
          <w:r>
            <w:rPr>
              <w:b/>
              <w:bCs/>
            </w:rPr>
            <w:tab/>
          </w:r>
          <w:r>
            <w:rPr>
              <w:b/>
              <w:bCs/>
            </w:rPr>
            <w:fldChar w:fldCharType="begin"/>
          </w:r>
          <w:r>
            <w:rPr>
              <w:b/>
              <w:bCs/>
            </w:rPr>
            <w:instrText xml:space="preserve"> PAGEREF _Toc76386085 \h </w:instrText>
          </w:r>
          <w:r>
            <w:rPr>
              <w:rFonts w:hint="default"/>
              <w:b/>
              <w:bCs/>
            </w:rPr>
            <w:fldChar w:fldCharType="separate"/>
          </w:r>
          <w:r>
            <w:rPr>
              <w:rFonts w:hint="default"/>
              <w:b/>
              <w:bCs/>
            </w:rPr>
            <w:t>5</w:t>
          </w:r>
          <w:r>
            <w:rPr>
              <w:b/>
              <w:bCs/>
            </w:rPr>
            <w:fldChar w:fldCharType="end"/>
          </w:r>
          <w:r>
            <w:rPr>
              <w:b/>
              <w:bCs/>
            </w:rPr>
            <w:fldChar w:fldCharType="end"/>
          </w:r>
        </w:p>
        <w:p>
          <w:pPr>
            <w:pStyle w:val="20"/>
            <w:tabs>
              <w:tab w:val="right" w:leader="dot" w:pos="8302"/>
            </w:tabs>
            <w:spacing w:line="360" w:lineRule="auto"/>
            <w:rPr>
              <w:szCs w:val="22"/>
            </w:rPr>
          </w:pPr>
          <w:r>
            <w:fldChar w:fldCharType="begin"/>
          </w:r>
          <w:r>
            <w:instrText xml:space="preserve"> HYPERLINK \l "_Toc76386086" </w:instrText>
          </w:r>
          <w:r>
            <w:fldChar w:fldCharType="separate"/>
          </w:r>
          <w:r>
            <w:rPr>
              <w:rStyle w:val="29"/>
              <w:rFonts w:ascii="Times New Roman" w:hAnsi="Times New Roman" w:eastAsia="宋体" w:cs="Times New Roman"/>
            </w:rPr>
            <w:t>3.1长江上游生态屏障建设的环保要求</w:t>
          </w:r>
          <w:r>
            <w:tab/>
          </w:r>
          <w:r>
            <w:fldChar w:fldCharType="begin"/>
          </w:r>
          <w:r>
            <w:instrText xml:space="preserve"> PAGEREF _Toc76386086 \h </w:instrText>
          </w:r>
          <w:r>
            <w:fldChar w:fldCharType="separate"/>
          </w:r>
          <w:r>
            <w:t>5</w:t>
          </w:r>
          <w:r>
            <w:fldChar w:fldCharType="end"/>
          </w:r>
          <w:r>
            <w:fldChar w:fldCharType="end"/>
          </w:r>
        </w:p>
        <w:p>
          <w:pPr>
            <w:pStyle w:val="20"/>
            <w:tabs>
              <w:tab w:val="right" w:leader="dot" w:pos="8302"/>
            </w:tabs>
            <w:spacing w:line="360" w:lineRule="auto"/>
            <w:rPr>
              <w:szCs w:val="22"/>
            </w:rPr>
          </w:pPr>
          <w:r>
            <w:fldChar w:fldCharType="begin"/>
          </w:r>
          <w:r>
            <w:instrText xml:space="preserve"> HYPERLINK \l "_Toc76386087" </w:instrText>
          </w:r>
          <w:r>
            <w:fldChar w:fldCharType="separate"/>
          </w:r>
          <w:r>
            <w:rPr>
              <w:rStyle w:val="29"/>
              <w:rFonts w:ascii="Times New Roman" w:hAnsi="Times New Roman" w:eastAsia="宋体" w:cs="Times New Roman"/>
            </w:rPr>
            <w:t>3.2 行业发展带来的环境问题</w:t>
          </w:r>
          <w:r>
            <w:tab/>
          </w:r>
          <w:r>
            <w:fldChar w:fldCharType="begin"/>
          </w:r>
          <w:r>
            <w:instrText xml:space="preserve"> PAGEREF _Toc76386087 \h </w:instrText>
          </w:r>
          <w:r>
            <w:fldChar w:fldCharType="separate"/>
          </w:r>
          <w:r>
            <w:t>6</w:t>
          </w:r>
          <w:r>
            <w:fldChar w:fldCharType="end"/>
          </w:r>
          <w:r>
            <w:fldChar w:fldCharType="end"/>
          </w:r>
        </w:p>
        <w:p>
          <w:pPr>
            <w:pStyle w:val="20"/>
            <w:tabs>
              <w:tab w:val="right" w:leader="dot" w:pos="8302"/>
            </w:tabs>
            <w:spacing w:line="360" w:lineRule="auto"/>
            <w:rPr>
              <w:szCs w:val="22"/>
            </w:rPr>
          </w:pPr>
          <w:r>
            <w:fldChar w:fldCharType="begin"/>
          </w:r>
          <w:r>
            <w:instrText xml:space="preserve"> HYPERLINK \l "_Toc76386088" </w:instrText>
          </w:r>
          <w:r>
            <w:fldChar w:fldCharType="separate"/>
          </w:r>
          <w:r>
            <w:rPr>
              <w:rStyle w:val="29"/>
              <w:rFonts w:ascii="Times New Roman" w:hAnsi="Times New Roman" w:eastAsia="宋体" w:cs="Times New Roman"/>
            </w:rPr>
            <w:t>3.3 现行标准的主要问题</w:t>
          </w:r>
          <w:r>
            <w:tab/>
          </w:r>
          <w:r>
            <w:fldChar w:fldCharType="begin"/>
          </w:r>
          <w:r>
            <w:instrText xml:space="preserve"> PAGEREF _Toc76386088 \h </w:instrText>
          </w:r>
          <w:r>
            <w:fldChar w:fldCharType="separate"/>
          </w:r>
          <w:r>
            <w:t>7</w:t>
          </w:r>
          <w:r>
            <w:fldChar w:fldCharType="end"/>
          </w:r>
          <w:r>
            <w:fldChar w:fldCharType="end"/>
          </w:r>
        </w:p>
        <w:p>
          <w:pPr>
            <w:pStyle w:val="20"/>
            <w:tabs>
              <w:tab w:val="right" w:leader="dot" w:pos="8302"/>
            </w:tabs>
            <w:spacing w:line="360" w:lineRule="auto"/>
            <w:rPr>
              <w:szCs w:val="22"/>
            </w:rPr>
          </w:pPr>
          <w:r>
            <w:fldChar w:fldCharType="begin"/>
          </w:r>
          <w:r>
            <w:instrText xml:space="preserve"> HYPERLINK \l "_Toc76386089" </w:instrText>
          </w:r>
          <w:r>
            <w:fldChar w:fldCharType="separate"/>
          </w:r>
          <w:r>
            <w:rPr>
              <w:rStyle w:val="29"/>
              <w:rFonts w:ascii="Times New Roman" w:hAnsi="Times New Roman" w:eastAsia="宋体" w:cs="Times New Roman"/>
            </w:rPr>
            <w:t>3.4 促进企业开展清洁生产的必要</w:t>
          </w:r>
          <w:r>
            <w:tab/>
          </w:r>
          <w:r>
            <w:fldChar w:fldCharType="begin"/>
          </w:r>
          <w:r>
            <w:instrText xml:space="preserve"> PAGEREF _Toc76386089 \h </w:instrText>
          </w:r>
          <w:r>
            <w:fldChar w:fldCharType="separate"/>
          </w:r>
          <w:r>
            <w:t>8</w:t>
          </w:r>
          <w:r>
            <w:fldChar w:fldCharType="end"/>
          </w:r>
          <w:r>
            <w:fldChar w:fldCharType="end"/>
          </w:r>
        </w:p>
        <w:p>
          <w:pPr>
            <w:pStyle w:val="17"/>
            <w:tabs>
              <w:tab w:val="right" w:leader="dot" w:pos="8302"/>
            </w:tabs>
            <w:rPr>
              <w:rFonts w:hint="default" w:asciiTheme="minorHAnsi" w:hAnsiTheme="minorHAnsi" w:eastAsiaTheme="minorEastAsia" w:cstheme="minorBidi"/>
              <w:b/>
              <w:bCs/>
              <w:sz w:val="21"/>
              <w:szCs w:val="22"/>
            </w:rPr>
          </w:pPr>
          <w:r>
            <w:fldChar w:fldCharType="begin"/>
          </w:r>
          <w:r>
            <w:instrText xml:space="preserve"> HYPERLINK \l "_Toc76386090" </w:instrText>
          </w:r>
          <w:r>
            <w:fldChar w:fldCharType="separate"/>
          </w:r>
          <w:r>
            <w:rPr>
              <w:rStyle w:val="29"/>
              <w:b/>
              <w:bCs/>
              <w:kern w:val="44"/>
            </w:rPr>
            <w:t>4行业产排污情况及污染控制技术分析</w:t>
          </w:r>
          <w:r>
            <w:rPr>
              <w:b/>
              <w:bCs/>
            </w:rPr>
            <w:tab/>
          </w:r>
          <w:r>
            <w:rPr>
              <w:b/>
              <w:bCs/>
            </w:rPr>
            <w:fldChar w:fldCharType="begin"/>
          </w:r>
          <w:r>
            <w:rPr>
              <w:b/>
              <w:bCs/>
            </w:rPr>
            <w:instrText xml:space="preserve"> PAGEREF _Toc76386090 \h </w:instrText>
          </w:r>
          <w:r>
            <w:rPr>
              <w:rFonts w:hint="default"/>
              <w:b/>
              <w:bCs/>
            </w:rPr>
            <w:fldChar w:fldCharType="separate"/>
          </w:r>
          <w:r>
            <w:rPr>
              <w:rFonts w:hint="default"/>
              <w:b/>
              <w:bCs/>
            </w:rPr>
            <w:t>9</w:t>
          </w:r>
          <w:r>
            <w:rPr>
              <w:b/>
              <w:bCs/>
            </w:rPr>
            <w:fldChar w:fldCharType="end"/>
          </w:r>
          <w:r>
            <w:rPr>
              <w:b/>
              <w:bCs/>
            </w:rPr>
            <w:fldChar w:fldCharType="end"/>
          </w:r>
        </w:p>
        <w:p>
          <w:pPr>
            <w:pStyle w:val="20"/>
            <w:tabs>
              <w:tab w:val="right" w:leader="dot" w:pos="8302"/>
            </w:tabs>
            <w:spacing w:line="360" w:lineRule="auto"/>
            <w:rPr>
              <w:szCs w:val="22"/>
            </w:rPr>
          </w:pPr>
          <w:r>
            <w:fldChar w:fldCharType="begin"/>
          </w:r>
          <w:r>
            <w:instrText xml:space="preserve"> HYPERLINK \l "_Toc76386091" </w:instrText>
          </w:r>
          <w:r>
            <w:fldChar w:fldCharType="separate"/>
          </w:r>
          <w:r>
            <w:rPr>
              <w:rStyle w:val="29"/>
              <w:rFonts w:ascii="Times New Roman" w:hAnsi="Times New Roman" w:eastAsia="宋体" w:cs="Times New Roman"/>
            </w:rPr>
            <w:t>4.1生产工艺流程</w:t>
          </w:r>
          <w:r>
            <w:tab/>
          </w:r>
          <w:r>
            <w:fldChar w:fldCharType="begin"/>
          </w:r>
          <w:r>
            <w:instrText xml:space="preserve"> PAGEREF _Toc76386091 \h </w:instrText>
          </w:r>
          <w:r>
            <w:fldChar w:fldCharType="separate"/>
          </w:r>
          <w:r>
            <w:t>9</w:t>
          </w:r>
          <w:r>
            <w:fldChar w:fldCharType="end"/>
          </w:r>
          <w:r>
            <w:fldChar w:fldCharType="end"/>
          </w:r>
        </w:p>
        <w:p>
          <w:pPr>
            <w:pStyle w:val="11"/>
            <w:tabs>
              <w:tab w:val="right" w:leader="dot" w:pos="8302"/>
            </w:tabs>
            <w:spacing w:line="360" w:lineRule="auto"/>
            <w:rPr>
              <w:szCs w:val="22"/>
            </w:rPr>
          </w:pPr>
          <w:r>
            <w:fldChar w:fldCharType="begin"/>
          </w:r>
          <w:r>
            <w:instrText xml:space="preserve"> HYPERLINK \l "_Toc76386092" </w:instrText>
          </w:r>
          <w:r>
            <w:fldChar w:fldCharType="separate"/>
          </w:r>
          <w:r>
            <w:rPr>
              <w:rStyle w:val="29"/>
              <w:rFonts w:ascii="Times New Roman" w:hAnsi="Times New Roman" w:eastAsia="宋体" w:cs="Times New Roman"/>
            </w:rPr>
            <w:t>4.1.1生产工艺原理</w:t>
          </w:r>
          <w:r>
            <w:tab/>
          </w:r>
          <w:r>
            <w:fldChar w:fldCharType="begin"/>
          </w:r>
          <w:r>
            <w:instrText xml:space="preserve"> PAGEREF _Toc76386092 \h </w:instrText>
          </w:r>
          <w:r>
            <w:fldChar w:fldCharType="separate"/>
          </w:r>
          <w:r>
            <w:t>9</w:t>
          </w:r>
          <w:r>
            <w:fldChar w:fldCharType="end"/>
          </w:r>
          <w:r>
            <w:fldChar w:fldCharType="end"/>
          </w:r>
        </w:p>
        <w:p>
          <w:pPr>
            <w:pStyle w:val="11"/>
            <w:tabs>
              <w:tab w:val="right" w:leader="dot" w:pos="8302"/>
            </w:tabs>
            <w:spacing w:line="360" w:lineRule="auto"/>
            <w:rPr>
              <w:szCs w:val="22"/>
            </w:rPr>
          </w:pPr>
          <w:r>
            <w:fldChar w:fldCharType="begin"/>
          </w:r>
          <w:r>
            <w:instrText xml:space="preserve"> HYPERLINK \l "_Toc76386093" </w:instrText>
          </w:r>
          <w:r>
            <w:fldChar w:fldCharType="separate"/>
          </w:r>
          <w:r>
            <w:rPr>
              <w:rStyle w:val="29"/>
              <w:rFonts w:ascii="Times New Roman" w:hAnsi="Times New Roman" w:eastAsia="宋体" w:cs="Times New Roman"/>
            </w:rPr>
            <w:t>4.1.2主要设备及工艺流程</w:t>
          </w:r>
          <w:r>
            <w:tab/>
          </w:r>
          <w:r>
            <w:fldChar w:fldCharType="begin"/>
          </w:r>
          <w:r>
            <w:instrText xml:space="preserve"> PAGEREF _Toc76386093 \h </w:instrText>
          </w:r>
          <w:r>
            <w:fldChar w:fldCharType="separate"/>
          </w:r>
          <w:r>
            <w:t>9</w:t>
          </w:r>
          <w:r>
            <w:fldChar w:fldCharType="end"/>
          </w:r>
          <w:r>
            <w:fldChar w:fldCharType="end"/>
          </w:r>
        </w:p>
        <w:p>
          <w:pPr>
            <w:pStyle w:val="11"/>
            <w:tabs>
              <w:tab w:val="right" w:leader="dot" w:pos="8302"/>
            </w:tabs>
            <w:spacing w:line="360" w:lineRule="auto"/>
            <w:rPr>
              <w:szCs w:val="22"/>
            </w:rPr>
          </w:pPr>
          <w:r>
            <w:fldChar w:fldCharType="begin"/>
          </w:r>
          <w:r>
            <w:instrText xml:space="preserve"> HYPERLINK \l "_Toc76386094" </w:instrText>
          </w:r>
          <w:r>
            <w:fldChar w:fldCharType="separate"/>
          </w:r>
          <w:r>
            <w:rPr>
              <w:rStyle w:val="29"/>
              <w:rFonts w:ascii="Times New Roman" w:hAnsi="Times New Roman" w:eastAsia="宋体" w:cs="Times New Roman"/>
            </w:rPr>
            <w:t>4.1.3原辅料消耗及产品生成</w:t>
          </w:r>
          <w:r>
            <w:tab/>
          </w:r>
          <w:r>
            <w:fldChar w:fldCharType="begin"/>
          </w:r>
          <w:r>
            <w:instrText xml:space="preserve"> PAGEREF _Toc76386094 \h </w:instrText>
          </w:r>
          <w:r>
            <w:fldChar w:fldCharType="separate"/>
          </w:r>
          <w:r>
            <w:t>11</w:t>
          </w:r>
          <w:r>
            <w:fldChar w:fldCharType="end"/>
          </w:r>
          <w:r>
            <w:fldChar w:fldCharType="end"/>
          </w:r>
        </w:p>
        <w:p>
          <w:pPr>
            <w:pStyle w:val="20"/>
            <w:tabs>
              <w:tab w:val="right" w:leader="dot" w:pos="8302"/>
            </w:tabs>
            <w:spacing w:line="360" w:lineRule="auto"/>
            <w:rPr>
              <w:szCs w:val="22"/>
            </w:rPr>
          </w:pPr>
          <w:r>
            <w:fldChar w:fldCharType="begin"/>
          </w:r>
          <w:r>
            <w:instrText xml:space="preserve"> HYPERLINK \l "_Toc76386095" </w:instrText>
          </w:r>
          <w:r>
            <w:fldChar w:fldCharType="separate"/>
          </w:r>
          <w:r>
            <w:rPr>
              <w:rStyle w:val="29"/>
              <w:rFonts w:ascii="Times New Roman" w:hAnsi="Times New Roman" w:eastAsia="宋体" w:cs="Times New Roman"/>
            </w:rPr>
            <w:t>4.2行业排污现状</w:t>
          </w:r>
          <w:r>
            <w:tab/>
          </w:r>
          <w:r>
            <w:fldChar w:fldCharType="begin"/>
          </w:r>
          <w:r>
            <w:instrText xml:space="preserve"> PAGEREF _Toc76386095 \h </w:instrText>
          </w:r>
          <w:r>
            <w:fldChar w:fldCharType="separate"/>
          </w:r>
          <w:r>
            <w:t>11</w:t>
          </w:r>
          <w:r>
            <w:fldChar w:fldCharType="end"/>
          </w:r>
          <w:r>
            <w:fldChar w:fldCharType="end"/>
          </w:r>
        </w:p>
        <w:p>
          <w:pPr>
            <w:pStyle w:val="11"/>
            <w:tabs>
              <w:tab w:val="right" w:leader="dot" w:pos="8302"/>
            </w:tabs>
            <w:spacing w:line="360" w:lineRule="auto"/>
            <w:rPr>
              <w:szCs w:val="22"/>
            </w:rPr>
          </w:pPr>
          <w:r>
            <w:fldChar w:fldCharType="begin"/>
          </w:r>
          <w:r>
            <w:instrText xml:space="preserve"> HYPERLINK \l "_Toc76386096" </w:instrText>
          </w:r>
          <w:r>
            <w:fldChar w:fldCharType="separate"/>
          </w:r>
          <w:r>
            <w:rPr>
              <w:rStyle w:val="29"/>
              <w:rFonts w:ascii="Times New Roman" w:hAnsi="Times New Roman" w:eastAsia="宋体" w:cs="Times New Roman"/>
            </w:rPr>
            <w:t>4.2.1 行业污染物产排情况</w:t>
          </w:r>
          <w:r>
            <w:tab/>
          </w:r>
          <w:r>
            <w:fldChar w:fldCharType="begin"/>
          </w:r>
          <w:r>
            <w:instrText xml:space="preserve"> PAGEREF _Toc76386096 \h </w:instrText>
          </w:r>
          <w:r>
            <w:fldChar w:fldCharType="separate"/>
          </w:r>
          <w:r>
            <w:t>11</w:t>
          </w:r>
          <w:r>
            <w:fldChar w:fldCharType="end"/>
          </w:r>
          <w:r>
            <w:fldChar w:fldCharType="end"/>
          </w:r>
        </w:p>
        <w:p>
          <w:pPr>
            <w:pStyle w:val="11"/>
            <w:tabs>
              <w:tab w:val="right" w:leader="dot" w:pos="8302"/>
            </w:tabs>
            <w:spacing w:line="360" w:lineRule="auto"/>
            <w:rPr>
              <w:szCs w:val="22"/>
            </w:rPr>
          </w:pPr>
          <w:r>
            <w:fldChar w:fldCharType="begin"/>
          </w:r>
          <w:r>
            <w:instrText xml:space="preserve"> HYPERLINK \l "_Toc76386097" </w:instrText>
          </w:r>
          <w:r>
            <w:fldChar w:fldCharType="separate"/>
          </w:r>
          <w:r>
            <w:rPr>
              <w:rStyle w:val="29"/>
              <w:rFonts w:ascii="Times New Roman" w:hAnsi="Times New Roman" w:eastAsia="宋体" w:cs="Times New Roman"/>
            </w:rPr>
            <w:t>4.2.2 废水排放去向</w:t>
          </w:r>
          <w:r>
            <w:tab/>
          </w:r>
          <w:r>
            <w:fldChar w:fldCharType="begin"/>
          </w:r>
          <w:r>
            <w:instrText xml:space="preserve"> PAGEREF _Toc76386097 \h </w:instrText>
          </w:r>
          <w:r>
            <w:fldChar w:fldCharType="separate"/>
          </w:r>
          <w:r>
            <w:t>13</w:t>
          </w:r>
          <w:r>
            <w:fldChar w:fldCharType="end"/>
          </w:r>
          <w:r>
            <w:fldChar w:fldCharType="end"/>
          </w:r>
        </w:p>
        <w:p>
          <w:pPr>
            <w:pStyle w:val="11"/>
            <w:tabs>
              <w:tab w:val="right" w:leader="dot" w:pos="8302"/>
            </w:tabs>
            <w:spacing w:line="360" w:lineRule="auto"/>
            <w:rPr>
              <w:szCs w:val="22"/>
            </w:rPr>
          </w:pPr>
          <w:r>
            <w:fldChar w:fldCharType="begin"/>
          </w:r>
          <w:r>
            <w:instrText xml:space="preserve"> HYPERLINK \l "_Toc76386098" </w:instrText>
          </w:r>
          <w:r>
            <w:fldChar w:fldCharType="separate"/>
          </w:r>
          <w:r>
            <w:rPr>
              <w:rStyle w:val="29"/>
              <w:rFonts w:ascii="Times New Roman" w:hAnsi="Times New Roman" w:eastAsia="宋体" w:cs="Times New Roman"/>
            </w:rPr>
            <w:t>4.2.3 废水水质分析</w:t>
          </w:r>
          <w:r>
            <w:tab/>
          </w:r>
          <w:r>
            <w:fldChar w:fldCharType="begin"/>
          </w:r>
          <w:r>
            <w:instrText xml:space="preserve"> PAGEREF _Toc76386098 \h </w:instrText>
          </w:r>
          <w:r>
            <w:fldChar w:fldCharType="separate"/>
          </w:r>
          <w:r>
            <w:t>13</w:t>
          </w:r>
          <w:r>
            <w:fldChar w:fldCharType="end"/>
          </w:r>
          <w:r>
            <w:fldChar w:fldCharType="end"/>
          </w:r>
        </w:p>
        <w:p>
          <w:pPr>
            <w:pStyle w:val="20"/>
            <w:tabs>
              <w:tab w:val="right" w:leader="dot" w:pos="8302"/>
            </w:tabs>
            <w:spacing w:line="360" w:lineRule="auto"/>
            <w:rPr>
              <w:szCs w:val="22"/>
            </w:rPr>
          </w:pPr>
          <w:r>
            <w:fldChar w:fldCharType="begin"/>
          </w:r>
          <w:r>
            <w:instrText xml:space="preserve"> HYPERLINK \l "_Toc76386099" </w:instrText>
          </w:r>
          <w:r>
            <w:fldChar w:fldCharType="separate"/>
          </w:r>
          <w:r>
            <w:rPr>
              <w:rStyle w:val="29"/>
              <w:rFonts w:ascii="Times New Roman" w:hAnsi="Times New Roman" w:eastAsia="宋体" w:cs="Times New Roman"/>
            </w:rPr>
            <w:t>4.3现有污染防治技术及企业排水水质达标分析</w:t>
          </w:r>
          <w:r>
            <w:tab/>
          </w:r>
          <w:r>
            <w:fldChar w:fldCharType="begin"/>
          </w:r>
          <w:r>
            <w:instrText xml:space="preserve"> PAGEREF _Toc76386099 \h </w:instrText>
          </w:r>
          <w:r>
            <w:fldChar w:fldCharType="separate"/>
          </w:r>
          <w:r>
            <w:t>14</w:t>
          </w:r>
          <w:r>
            <w:fldChar w:fldCharType="end"/>
          </w:r>
          <w:r>
            <w:fldChar w:fldCharType="end"/>
          </w:r>
        </w:p>
        <w:p>
          <w:pPr>
            <w:pStyle w:val="11"/>
            <w:tabs>
              <w:tab w:val="right" w:leader="dot" w:pos="8302"/>
            </w:tabs>
            <w:spacing w:line="360" w:lineRule="auto"/>
            <w:rPr>
              <w:szCs w:val="22"/>
            </w:rPr>
          </w:pPr>
          <w:r>
            <w:fldChar w:fldCharType="begin"/>
          </w:r>
          <w:r>
            <w:instrText xml:space="preserve"> HYPERLINK \l "_Toc76386100" </w:instrText>
          </w:r>
          <w:r>
            <w:fldChar w:fldCharType="separate"/>
          </w:r>
          <w:r>
            <w:rPr>
              <w:rStyle w:val="29"/>
              <w:rFonts w:ascii="Times New Roman" w:hAnsi="Times New Roman" w:eastAsia="宋体" w:cs="Times New Roman"/>
            </w:rPr>
            <w:t>4.3.1盐渍泡菜企业污染防治技术</w:t>
          </w:r>
          <w:r>
            <w:tab/>
          </w:r>
          <w:r>
            <w:fldChar w:fldCharType="begin"/>
          </w:r>
          <w:r>
            <w:instrText xml:space="preserve"> PAGEREF _Toc76386100 \h </w:instrText>
          </w:r>
          <w:r>
            <w:fldChar w:fldCharType="separate"/>
          </w:r>
          <w:r>
            <w:t>14</w:t>
          </w:r>
          <w:r>
            <w:fldChar w:fldCharType="end"/>
          </w:r>
          <w:r>
            <w:fldChar w:fldCharType="end"/>
          </w:r>
        </w:p>
        <w:p>
          <w:pPr>
            <w:pStyle w:val="11"/>
            <w:tabs>
              <w:tab w:val="right" w:leader="dot" w:pos="8302"/>
            </w:tabs>
            <w:spacing w:line="360" w:lineRule="auto"/>
            <w:rPr>
              <w:szCs w:val="22"/>
            </w:rPr>
          </w:pPr>
          <w:r>
            <w:fldChar w:fldCharType="begin"/>
          </w:r>
          <w:r>
            <w:instrText xml:space="preserve"> HYPERLINK \l "_Toc76386101" </w:instrText>
          </w:r>
          <w:r>
            <w:fldChar w:fldCharType="separate"/>
          </w:r>
          <w:r>
            <w:rPr>
              <w:rStyle w:val="29"/>
              <w:rFonts w:ascii="Times New Roman" w:hAnsi="Times New Roman" w:eastAsia="宋体" w:cs="Times New Roman"/>
            </w:rPr>
            <w:t>4.3.2 盐水渍泡菜污染防治技术</w:t>
          </w:r>
          <w:r>
            <w:tab/>
          </w:r>
          <w:r>
            <w:fldChar w:fldCharType="begin"/>
          </w:r>
          <w:r>
            <w:instrText xml:space="preserve"> PAGEREF _Toc76386101 \h </w:instrText>
          </w:r>
          <w:r>
            <w:fldChar w:fldCharType="separate"/>
          </w:r>
          <w:r>
            <w:t>17</w:t>
          </w:r>
          <w:r>
            <w:fldChar w:fldCharType="end"/>
          </w:r>
          <w:r>
            <w:fldChar w:fldCharType="end"/>
          </w:r>
        </w:p>
        <w:p>
          <w:pPr>
            <w:pStyle w:val="11"/>
            <w:tabs>
              <w:tab w:val="right" w:leader="dot" w:pos="8302"/>
            </w:tabs>
            <w:spacing w:line="360" w:lineRule="auto"/>
            <w:rPr>
              <w:szCs w:val="22"/>
            </w:rPr>
          </w:pPr>
          <w:r>
            <w:fldChar w:fldCharType="begin"/>
          </w:r>
          <w:r>
            <w:instrText xml:space="preserve"> HYPERLINK \l "_Toc76386102" </w:instrText>
          </w:r>
          <w:r>
            <w:fldChar w:fldCharType="separate"/>
          </w:r>
          <w:r>
            <w:rPr>
              <w:rStyle w:val="29"/>
              <w:rFonts w:ascii="Times New Roman" w:hAnsi="Times New Roman" w:eastAsia="宋体" w:cs="Times New Roman"/>
            </w:rPr>
            <w:t>4.3.3 其他盐渍类污染防治技术</w:t>
          </w:r>
          <w:r>
            <w:tab/>
          </w:r>
          <w:r>
            <w:fldChar w:fldCharType="begin"/>
          </w:r>
          <w:r>
            <w:instrText xml:space="preserve"> PAGEREF _Toc76386102 \h </w:instrText>
          </w:r>
          <w:r>
            <w:fldChar w:fldCharType="separate"/>
          </w:r>
          <w:r>
            <w:t>17</w:t>
          </w:r>
          <w:r>
            <w:fldChar w:fldCharType="end"/>
          </w:r>
          <w:r>
            <w:fldChar w:fldCharType="end"/>
          </w:r>
        </w:p>
        <w:p>
          <w:pPr>
            <w:pStyle w:val="11"/>
            <w:tabs>
              <w:tab w:val="right" w:leader="dot" w:pos="8302"/>
            </w:tabs>
            <w:spacing w:line="360" w:lineRule="auto"/>
            <w:rPr>
              <w:szCs w:val="22"/>
            </w:rPr>
          </w:pPr>
          <w:r>
            <w:fldChar w:fldCharType="begin"/>
          </w:r>
          <w:r>
            <w:instrText xml:space="preserve"> HYPERLINK \l "_Toc76386103" </w:instrText>
          </w:r>
          <w:r>
            <w:fldChar w:fldCharType="separate"/>
          </w:r>
          <w:r>
            <w:rPr>
              <w:rStyle w:val="29"/>
              <w:rFonts w:ascii="Times New Roman" w:hAnsi="Times New Roman" w:eastAsia="宋体" w:cs="Times New Roman"/>
            </w:rPr>
            <w:t>4.3.4企业排水水质达标分析</w:t>
          </w:r>
          <w:r>
            <w:tab/>
          </w:r>
          <w:r>
            <w:fldChar w:fldCharType="begin"/>
          </w:r>
          <w:r>
            <w:instrText xml:space="preserve"> PAGEREF _Toc76386103 \h </w:instrText>
          </w:r>
          <w:r>
            <w:fldChar w:fldCharType="separate"/>
          </w:r>
          <w:r>
            <w:t>18</w:t>
          </w:r>
          <w:r>
            <w:fldChar w:fldCharType="end"/>
          </w:r>
          <w:r>
            <w:fldChar w:fldCharType="end"/>
          </w:r>
        </w:p>
        <w:p>
          <w:pPr>
            <w:pStyle w:val="17"/>
            <w:tabs>
              <w:tab w:val="right" w:leader="dot" w:pos="8302"/>
            </w:tabs>
            <w:rPr>
              <w:rFonts w:hint="default" w:asciiTheme="minorHAnsi" w:hAnsiTheme="minorHAnsi" w:eastAsiaTheme="minorEastAsia" w:cstheme="minorBidi"/>
              <w:b/>
              <w:bCs/>
              <w:sz w:val="21"/>
              <w:szCs w:val="22"/>
            </w:rPr>
          </w:pPr>
          <w:r>
            <w:fldChar w:fldCharType="begin"/>
          </w:r>
          <w:r>
            <w:instrText xml:space="preserve"> HYPERLINK \l "_Toc76386104" </w:instrText>
          </w:r>
          <w:r>
            <w:fldChar w:fldCharType="separate"/>
          </w:r>
          <w:r>
            <w:rPr>
              <w:rStyle w:val="29"/>
              <w:b/>
              <w:bCs/>
              <w:kern w:val="44"/>
            </w:rPr>
            <w:t>5氯离子的环境影响及国内外管控标准情况</w:t>
          </w:r>
          <w:r>
            <w:rPr>
              <w:b/>
              <w:bCs/>
            </w:rPr>
            <w:tab/>
          </w:r>
          <w:r>
            <w:rPr>
              <w:b/>
              <w:bCs/>
            </w:rPr>
            <w:fldChar w:fldCharType="begin"/>
          </w:r>
          <w:r>
            <w:rPr>
              <w:b/>
              <w:bCs/>
            </w:rPr>
            <w:instrText xml:space="preserve"> PAGEREF _Toc76386104 \h </w:instrText>
          </w:r>
          <w:r>
            <w:rPr>
              <w:rFonts w:hint="default"/>
              <w:b/>
              <w:bCs/>
            </w:rPr>
            <w:fldChar w:fldCharType="separate"/>
          </w:r>
          <w:r>
            <w:rPr>
              <w:rFonts w:hint="default"/>
              <w:b/>
              <w:bCs/>
            </w:rPr>
            <w:t>19</w:t>
          </w:r>
          <w:r>
            <w:rPr>
              <w:b/>
              <w:bCs/>
            </w:rPr>
            <w:fldChar w:fldCharType="end"/>
          </w:r>
          <w:r>
            <w:rPr>
              <w:b/>
              <w:bCs/>
            </w:rPr>
            <w:fldChar w:fldCharType="end"/>
          </w:r>
        </w:p>
        <w:p>
          <w:pPr>
            <w:pStyle w:val="20"/>
            <w:tabs>
              <w:tab w:val="right" w:leader="dot" w:pos="8302"/>
            </w:tabs>
            <w:spacing w:line="360" w:lineRule="auto"/>
            <w:rPr>
              <w:szCs w:val="22"/>
            </w:rPr>
          </w:pPr>
          <w:r>
            <w:fldChar w:fldCharType="begin"/>
          </w:r>
          <w:r>
            <w:instrText xml:space="preserve"> HYPERLINK \l "_Toc76386105" </w:instrText>
          </w:r>
          <w:r>
            <w:fldChar w:fldCharType="separate"/>
          </w:r>
          <w:r>
            <w:rPr>
              <w:rStyle w:val="29"/>
              <w:rFonts w:ascii="Times New Roman" w:hAnsi="Times New Roman" w:eastAsia="宋体" w:cs="Times New Roman"/>
            </w:rPr>
            <w:t>5.1氯离子环境影响</w:t>
          </w:r>
          <w:r>
            <w:tab/>
          </w:r>
          <w:r>
            <w:fldChar w:fldCharType="begin"/>
          </w:r>
          <w:r>
            <w:instrText xml:space="preserve"> PAGEREF _Toc76386105 \h </w:instrText>
          </w:r>
          <w:r>
            <w:fldChar w:fldCharType="separate"/>
          </w:r>
          <w:r>
            <w:t>19</w:t>
          </w:r>
          <w:r>
            <w:fldChar w:fldCharType="end"/>
          </w:r>
          <w:r>
            <w:fldChar w:fldCharType="end"/>
          </w:r>
        </w:p>
        <w:p>
          <w:pPr>
            <w:pStyle w:val="11"/>
            <w:tabs>
              <w:tab w:val="right" w:leader="dot" w:pos="8302"/>
            </w:tabs>
            <w:spacing w:line="360" w:lineRule="auto"/>
            <w:rPr>
              <w:szCs w:val="22"/>
            </w:rPr>
          </w:pPr>
          <w:r>
            <w:fldChar w:fldCharType="begin"/>
          </w:r>
          <w:r>
            <w:instrText xml:space="preserve"> HYPERLINK \l "_Toc76386106" </w:instrText>
          </w:r>
          <w:r>
            <w:fldChar w:fldCharType="separate"/>
          </w:r>
          <w:r>
            <w:rPr>
              <w:rStyle w:val="29"/>
              <w:rFonts w:ascii="Times New Roman" w:hAnsi="Times New Roman" w:eastAsia="宋体" w:cs="Times New Roman"/>
            </w:rPr>
            <w:t>5.1.1氯离子对饮用水的影响</w:t>
          </w:r>
          <w:r>
            <w:tab/>
          </w:r>
          <w:r>
            <w:fldChar w:fldCharType="begin"/>
          </w:r>
          <w:r>
            <w:instrText xml:space="preserve"> PAGEREF _Toc76386106 \h </w:instrText>
          </w:r>
          <w:r>
            <w:fldChar w:fldCharType="separate"/>
          </w:r>
          <w:r>
            <w:t>19</w:t>
          </w:r>
          <w:r>
            <w:fldChar w:fldCharType="end"/>
          </w:r>
          <w:r>
            <w:fldChar w:fldCharType="end"/>
          </w:r>
        </w:p>
        <w:p>
          <w:pPr>
            <w:pStyle w:val="11"/>
            <w:tabs>
              <w:tab w:val="right" w:leader="dot" w:pos="8302"/>
            </w:tabs>
            <w:spacing w:line="360" w:lineRule="auto"/>
            <w:rPr>
              <w:szCs w:val="22"/>
            </w:rPr>
          </w:pPr>
          <w:r>
            <w:fldChar w:fldCharType="begin"/>
          </w:r>
          <w:r>
            <w:instrText xml:space="preserve"> HYPERLINK \l "_Toc76386107" </w:instrText>
          </w:r>
          <w:r>
            <w:fldChar w:fldCharType="separate"/>
          </w:r>
          <w:r>
            <w:rPr>
              <w:rStyle w:val="29"/>
              <w:rFonts w:ascii="Times New Roman" w:hAnsi="Times New Roman" w:eastAsia="宋体" w:cs="Times New Roman"/>
            </w:rPr>
            <w:t>5.1.2氯化物对水生动植物的影响</w:t>
          </w:r>
          <w:r>
            <w:tab/>
          </w:r>
          <w:r>
            <w:fldChar w:fldCharType="begin"/>
          </w:r>
          <w:r>
            <w:instrText xml:space="preserve"> PAGEREF _Toc76386107 \h </w:instrText>
          </w:r>
          <w:r>
            <w:fldChar w:fldCharType="separate"/>
          </w:r>
          <w:r>
            <w:t>19</w:t>
          </w:r>
          <w:r>
            <w:fldChar w:fldCharType="end"/>
          </w:r>
          <w:r>
            <w:fldChar w:fldCharType="end"/>
          </w:r>
        </w:p>
        <w:p>
          <w:pPr>
            <w:pStyle w:val="11"/>
            <w:tabs>
              <w:tab w:val="right" w:leader="dot" w:pos="8302"/>
            </w:tabs>
            <w:spacing w:line="360" w:lineRule="auto"/>
            <w:rPr>
              <w:szCs w:val="22"/>
            </w:rPr>
          </w:pPr>
          <w:r>
            <w:fldChar w:fldCharType="begin"/>
          </w:r>
          <w:r>
            <w:instrText xml:space="preserve"> HYPERLINK \l "_Toc76386108" </w:instrText>
          </w:r>
          <w:r>
            <w:fldChar w:fldCharType="separate"/>
          </w:r>
          <w:r>
            <w:rPr>
              <w:rStyle w:val="29"/>
              <w:rFonts w:ascii="Times New Roman" w:hAnsi="Times New Roman" w:eastAsia="宋体" w:cs="Times New Roman"/>
            </w:rPr>
            <w:t>5.1.3氯化物对农业灌溉的影响</w:t>
          </w:r>
          <w:r>
            <w:tab/>
          </w:r>
          <w:r>
            <w:fldChar w:fldCharType="begin"/>
          </w:r>
          <w:r>
            <w:instrText xml:space="preserve"> PAGEREF _Toc76386108 \h </w:instrText>
          </w:r>
          <w:r>
            <w:fldChar w:fldCharType="separate"/>
          </w:r>
          <w:r>
            <w:t>20</w:t>
          </w:r>
          <w:r>
            <w:fldChar w:fldCharType="end"/>
          </w:r>
          <w:r>
            <w:fldChar w:fldCharType="end"/>
          </w:r>
        </w:p>
        <w:p>
          <w:pPr>
            <w:pStyle w:val="11"/>
            <w:tabs>
              <w:tab w:val="right" w:leader="dot" w:pos="8302"/>
            </w:tabs>
            <w:spacing w:line="360" w:lineRule="auto"/>
            <w:rPr>
              <w:szCs w:val="22"/>
            </w:rPr>
          </w:pPr>
          <w:r>
            <w:fldChar w:fldCharType="begin"/>
          </w:r>
          <w:r>
            <w:instrText xml:space="preserve"> HYPERLINK \l "_Toc76386109" </w:instrText>
          </w:r>
          <w:r>
            <w:fldChar w:fldCharType="separate"/>
          </w:r>
          <w:r>
            <w:rPr>
              <w:rStyle w:val="29"/>
              <w:rFonts w:ascii="Times New Roman" w:hAnsi="Times New Roman" w:eastAsia="宋体" w:cs="Times New Roman"/>
            </w:rPr>
            <w:t>5.1.4氯化物对桥梁设施的影响</w:t>
          </w:r>
          <w:r>
            <w:tab/>
          </w:r>
          <w:r>
            <w:fldChar w:fldCharType="begin"/>
          </w:r>
          <w:r>
            <w:instrText xml:space="preserve"> PAGEREF _Toc76386109 \h </w:instrText>
          </w:r>
          <w:r>
            <w:fldChar w:fldCharType="separate"/>
          </w:r>
          <w:r>
            <w:t>20</w:t>
          </w:r>
          <w:r>
            <w:fldChar w:fldCharType="end"/>
          </w:r>
          <w:r>
            <w:fldChar w:fldCharType="end"/>
          </w:r>
        </w:p>
        <w:p>
          <w:pPr>
            <w:pStyle w:val="20"/>
            <w:tabs>
              <w:tab w:val="right" w:leader="dot" w:pos="8302"/>
            </w:tabs>
            <w:spacing w:line="360" w:lineRule="auto"/>
            <w:rPr>
              <w:szCs w:val="22"/>
            </w:rPr>
          </w:pPr>
          <w:r>
            <w:fldChar w:fldCharType="begin"/>
          </w:r>
          <w:r>
            <w:instrText xml:space="preserve"> HYPERLINK \l "_Toc76386110" </w:instrText>
          </w:r>
          <w:r>
            <w:fldChar w:fldCharType="separate"/>
          </w:r>
          <w:r>
            <w:rPr>
              <w:rStyle w:val="29"/>
              <w:rFonts w:ascii="Times New Roman" w:hAnsi="Times New Roman" w:eastAsia="宋体" w:cs="Times New Roman"/>
            </w:rPr>
            <w:t>5.2国内外管控标准情况</w:t>
          </w:r>
          <w:r>
            <w:tab/>
          </w:r>
          <w:r>
            <w:fldChar w:fldCharType="begin"/>
          </w:r>
          <w:r>
            <w:instrText xml:space="preserve"> PAGEREF _Toc76386110 \h </w:instrText>
          </w:r>
          <w:r>
            <w:fldChar w:fldCharType="separate"/>
          </w:r>
          <w:r>
            <w:t>20</w:t>
          </w:r>
          <w:r>
            <w:fldChar w:fldCharType="end"/>
          </w:r>
          <w:r>
            <w:fldChar w:fldCharType="end"/>
          </w:r>
        </w:p>
        <w:p>
          <w:pPr>
            <w:pStyle w:val="11"/>
            <w:tabs>
              <w:tab w:val="right" w:leader="dot" w:pos="8302"/>
            </w:tabs>
            <w:spacing w:line="360" w:lineRule="auto"/>
            <w:rPr>
              <w:szCs w:val="22"/>
            </w:rPr>
          </w:pPr>
          <w:r>
            <w:fldChar w:fldCharType="begin"/>
          </w:r>
          <w:r>
            <w:instrText xml:space="preserve"> HYPERLINK \l "_Toc76386111" </w:instrText>
          </w:r>
          <w:r>
            <w:fldChar w:fldCharType="separate"/>
          </w:r>
          <w:r>
            <w:rPr>
              <w:rStyle w:val="29"/>
              <w:rFonts w:ascii="Times New Roman" w:hAnsi="Times New Roman" w:eastAsia="宋体" w:cs="Times New Roman"/>
            </w:rPr>
            <w:t>5.2.1 国外氯化物排放标准概况</w:t>
          </w:r>
          <w:r>
            <w:tab/>
          </w:r>
          <w:r>
            <w:fldChar w:fldCharType="begin"/>
          </w:r>
          <w:r>
            <w:instrText xml:space="preserve"> PAGEREF _Toc76386111 \h </w:instrText>
          </w:r>
          <w:r>
            <w:fldChar w:fldCharType="separate"/>
          </w:r>
          <w:r>
            <w:t>20</w:t>
          </w:r>
          <w:r>
            <w:fldChar w:fldCharType="end"/>
          </w:r>
          <w:r>
            <w:fldChar w:fldCharType="end"/>
          </w:r>
        </w:p>
        <w:p>
          <w:pPr>
            <w:pStyle w:val="11"/>
            <w:tabs>
              <w:tab w:val="right" w:leader="dot" w:pos="8302"/>
            </w:tabs>
            <w:spacing w:line="360" w:lineRule="auto"/>
            <w:rPr>
              <w:szCs w:val="22"/>
            </w:rPr>
          </w:pPr>
          <w:r>
            <w:fldChar w:fldCharType="begin"/>
          </w:r>
          <w:r>
            <w:instrText xml:space="preserve"> HYPERLINK \l "_Toc76386112" </w:instrText>
          </w:r>
          <w:r>
            <w:fldChar w:fldCharType="separate"/>
          </w:r>
          <w:r>
            <w:rPr>
              <w:rStyle w:val="29"/>
              <w:rFonts w:ascii="Times New Roman" w:hAnsi="Times New Roman" w:eastAsia="宋体" w:cs="Times New Roman"/>
            </w:rPr>
            <w:t>5.2.2 国内氯化物排放标准概况</w:t>
          </w:r>
          <w:r>
            <w:tab/>
          </w:r>
          <w:r>
            <w:fldChar w:fldCharType="begin"/>
          </w:r>
          <w:r>
            <w:instrText xml:space="preserve"> PAGEREF _Toc76386112 \h </w:instrText>
          </w:r>
          <w:r>
            <w:fldChar w:fldCharType="separate"/>
          </w:r>
          <w:r>
            <w:t>21</w:t>
          </w:r>
          <w:r>
            <w:fldChar w:fldCharType="end"/>
          </w:r>
          <w:r>
            <w:fldChar w:fldCharType="end"/>
          </w:r>
        </w:p>
        <w:p>
          <w:pPr>
            <w:pStyle w:val="20"/>
            <w:tabs>
              <w:tab w:val="right" w:leader="dot" w:pos="8302"/>
            </w:tabs>
            <w:spacing w:line="360" w:lineRule="auto"/>
            <w:rPr>
              <w:szCs w:val="22"/>
            </w:rPr>
          </w:pPr>
          <w:r>
            <w:fldChar w:fldCharType="begin"/>
          </w:r>
          <w:r>
            <w:instrText xml:space="preserve"> HYPERLINK \l "_Toc76386113" </w:instrText>
          </w:r>
          <w:r>
            <w:fldChar w:fldCharType="separate"/>
          </w:r>
          <w:r>
            <w:rPr>
              <w:rStyle w:val="29"/>
              <w:rFonts w:ascii="Times New Roman" w:hAnsi="Times New Roman" w:eastAsia="宋体" w:cs="Times New Roman"/>
            </w:rPr>
            <w:t>5.3四川省氯离子</w:t>
          </w:r>
          <w:r>
            <w:rPr>
              <w:rStyle w:val="29"/>
              <w:rFonts w:hint="eastAsia" w:ascii="Times New Roman" w:hAnsi="Times New Roman" w:eastAsia="宋体" w:cs="Times New Roman"/>
              <w:lang w:eastAsia="zh-CN"/>
            </w:rPr>
            <w:t>排放</w:t>
          </w:r>
          <w:r>
            <w:rPr>
              <w:rStyle w:val="29"/>
              <w:rFonts w:ascii="Times New Roman" w:hAnsi="Times New Roman" w:eastAsia="宋体" w:cs="Times New Roman"/>
            </w:rPr>
            <w:t>现状</w:t>
          </w:r>
          <w:r>
            <w:tab/>
          </w:r>
          <w:r>
            <w:fldChar w:fldCharType="begin"/>
          </w:r>
          <w:r>
            <w:instrText xml:space="preserve"> PAGEREF _Toc76386113 \h </w:instrText>
          </w:r>
          <w:r>
            <w:fldChar w:fldCharType="separate"/>
          </w:r>
          <w:r>
            <w:t>26</w:t>
          </w:r>
          <w:r>
            <w:fldChar w:fldCharType="end"/>
          </w:r>
          <w:r>
            <w:fldChar w:fldCharType="end"/>
          </w:r>
        </w:p>
        <w:p>
          <w:pPr>
            <w:pStyle w:val="11"/>
            <w:tabs>
              <w:tab w:val="right" w:leader="dot" w:pos="8302"/>
            </w:tabs>
            <w:spacing w:line="360" w:lineRule="auto"/>
            <w:rPr>
              <w:szCs w:val="22"/>
            </w:rPr>
          </w:pPr>
          <w:r>
            <w:fldChar w:fldCharType="begin"/>
          </w:r>
          <w:r>
            <w:instrText xml:space="preserve"> HYPERLINK \l "_Toc76386114" </w:instrText>
          </w:r>
          <w:r>
            <w:fldChar w:fldCharType="separate"/>
          </w:r>
          <w:r>
            <w:rPr>
              <w:rStyle w:val="29"/>
              <w:rFonts w:ascii="Times New Roman" w:hAnsi="Times New Roman" w:eastAsia="宋体" w:cs="Times New Roman"/>
            </w:rPr>
            <w:t>5.3.1饮用水氯离子调查统计</w:t>
          </w:r>
          <w:r>
            <w:tab/>
          </w:r>
          <w:r>
            <w:fldChar w:fldCharType="begin"/>
          </w:r>
          <w:r>
            <w:instrText xml:space="preserve"> PAGEREF _Toc76386114 \h </w:instrText>
          </w:r>
          <w:r>
            <w:fldChar w:fldCharType="separate"/>
          </w:r>
          <w:r>
            <w:t>26</w:t>
          </w:r>
          <w:r>
            <w:fldChar w:fldCharType="end"/>
          </w:r>
          <w:r>
            <w:fldChar w:fldCharType="end"/>
          </w:r>
        </w:p>
        <w:p>
          <w:pPr>
            <w:pStyle w:val="11"/>
            <w:tabs>
              <w:tab w:val="right" w:leader="dot" w:pos="8302"/>
            </w:tabs>
            <w:spacing w:line="360" w:lineRule="auto"/>
            <w:rPr>
              <w:szCs w:val="22"/>
            </w:rPr>
          </w:pPr>
          <w:r>
            <w:fldChar w:fldCharType="begin"/>
          </w:r>
          <w:r>
            <w:instrText xml:space="preserve"> HYPERLINK \l "_Toc76386115" </w:instrText>
          </w:r>
          <w:r>
            <w:fldChar w:fldCharType="separate"/>
          </w:r>
          <w:r>
            <w:rPr>
              <w:rStyle w:val="29"/>
              <w:rFonts w:ascii="Times New Roman" w:hAnsi="Times New Roman" w:eastAsia="宋体" w:cs="Times New Roman"/>
            </w:rPr>
            <w:t>5.3.2企业周边农灌渠及部分地下水井氯离子污染调查统计</w:t>
          </w:r>
          <w:r>
            <w:tab/>
          </w:r>
          <w:r>
            <w:fldChar w:fldCharType="begin"/>
          </w:r>
          <w:r>
            <w:instrText xml:space="preserve"> PAGEREF _Toc76386115 \h </w:instrText>
          </w:r>
          <w:r>
            <w:fldChar w:fldCharType="separate"/>
          </w:r>
          <w:r>
            <w:t>27</w:t>
          </w:r>
          <w:r>
            <w:fldChar w:fldCharType="end"/>
          </w:r>
          <w:r>
            <w:fldChar w:fldCharType="end"/>
          </w:r>
        </w:p>
        <w:p>
          <w:pPr>
            <w:pStyle w:val="11"/>
            <w:tabs>
              <w:tab w:val="right" w:leader="dot" w:pos="8302"/>
            </w:tabs>
            <w:spacing w:line="360" w:lineRule="auto"/>
            <w:rPr>
              <w:szCs w:val="22"/>
            </w:rPr>
          </w:pPr>
          <w:r>
            <w:fldChar w:fldCharType="begin"/>
          </w:r>
          <w:r>
            <w:instrText xml:space="preserve"> HYPERLINK \l "_Toc76386116" </w:instrText>
          </w:r>
          <w:r>
            <w:fldChar w:fldCharType="separate"/>
          </w:r>
          <w:r>
            <w:rPr>
              <w:rStyle w:val="29"/>
              <w:rFonts w:ascii="Times New Roman" w:hAnsi="Times New Roman" w:eastAsia="宋体" w:cs="Times New Roman"/>
            </w:rPr>
            <w:t>5.3.3地表水主要断面氯离子浓度监测调查</w:t>
          </w:r>
          <w:r>
            <w:tab/>
          </w:r>
          <w:r>
            <w:fldChar w:fldCharType="begin"/>
          </w:r>
          <w:r>
            <w:instrText xml:space="preserve"> PAGEREF _Toc76386116 \h </w:instrText>
          </w:r>
          <w:r>
            <w:fldChar w:fldCharType="separate"/>
          </w:r>
          <w:r>
            <w:t>28</w:t>
          </w:r>
          <w:r>
            <w:fldChar w:fldCharType="end"/>
          </w:r>
          <w:r>
            <w:fldChar w:fldCharType="end"/>
          </w:r>
        </w:p>
        <w:p>
          <w:pPr>
            <w:pStyle w:val="17"/>
            <w:tabs>
              <w:tab w:val="right" w:leader="dot" w:pos="8302"/>
            </w:tabs>
            <w:rPr>
              <w:rFonts w:hint="default" w:asciiTheme="minorHAnsi" w:hAnsiTheme="minorHAnsi" w:eastAsiaTheme="minorEastAsia" w:cstheme="minorBidi"/>
              <w:b/>
              <w:bCs/>
              <w:sz w:val="21"/>
              <w:szCs w:val="22"/>
            </w:rPr>
          </w:pPr>
          <w:r>
            <w:fldChar w:fldCharType="begin"/>
          </w:r>
          <w:r>
            <w:instrText xml:space="preserve"> HYPERLINK \l "_Toc76386117" </w:instrText>
          </w:r>
          <w:r>
            <w:fldChar w:fldCharType="separate"/>
          </w:r>
          <w:r>
            <w:rPr>
              <w:rStyle w:val="29"/>
              <w:b/>
              <w:bCs/>
              <w:kern w:val="44"/>
            </w:rPr>
            <w:t>6标准主要技术内容</w:t>
          </w:r>
          <w:r>
            <w:rPr>
              <w:b/>
              <w:bCs/>
            </w:rPr>
            <w:tab/>
          </w:r>
          <w:r>
            <w:rPr>
              <w:b/>
              <w:bCs/>
            </w:rPr>
            <w:fldChar w:fldCharType="begin"/>
          </w:r>
          <w:r>
            <w:rPr>
              <w:b/>
              <w:bCs/>
            </w:rPr>
            <w:instrText xml:space="preserve"> PAGEREF _Toc76386117 \h </w:instrText>
          </w:r>
          <w:r>
            <w:rPr>
              <w:rFonts w:hint="default"/>
              <w:b/>
              <w:bCs/>
            </w:rPr>
            <w:fldChar w:fldCharType="separate"/>
          </w:r>
          <w:r>
            <w:rPr>
              <w:rFonts w:hint="default"/>
              <w:b/>
              <w:bCs/>
            </w:rPr>
            <w:t>30</w:t>
          </w:r>
          <w:r>
            <w:rPr>
              <w:b/>
              <w:bCs/>
            </w:rPr>
            <w:fldChar w:fldCharType="end"/>
          </w:r>
          <w:r>
            <w:rPr>
              <w:b/>
              <w:bCs/>
            </w:rPr>
            <w:fldChar w:fldCharType="end"/>
          </w:r>
        </w:p>
        <w:p>
          <w:pPr>
            <w:pStyle w:val="20"/>
            <w:tabs>
              <w:tab w:val="right" w:leader="dot" w:pos="8302"/>
            </w:tabs>
            <w:spacing w:line="360" w:lineRule="auto"/>
            <w:rPr>
              <w:szCs w:val="22"/>
            </w:rPr>
          </w:pPr>
          <w:r>
            <w:fldChar w:fldCharType="begin"/>
          </w:r>
          <w:r>
            <w:instrText xml:space="preserve"> HYPERLINK \l "_Toc76386118" </w:instrText>
          </w:r>
          <w:r>
            <w:fldChar w:fldCharType="separate"/>
          </w:r>
          <w:r>
            <w:rPr>
              <w:rStyle w:val="29"/>
              <w:rFonts w:ascii="Times New Roman" w:hAnsi="Times New Roman" w:eastAsia="宋体" w:cs="Times New Roman"/>
            </w:rPr>
            <w:t>6.1标准适用范围</w:t>
          </w:r>
          <w:r>
            <w:tab/>
          </w:r>
          <w:r>
            <w:fldChar w:fldCharType="begin"/>
          </w:r>
          <w:r>
            <w:instrText xml:space="preserve"> PAGEREF _Toc76386118 \h </w:instrText>
          </w:r>
          <w:r>
            <w:fldChar w:fldCharType="separate"/>
          </w:r>
          <w:r>
            <w:t>30</w:t>
          </w:r>
          <w:r>
            <w:fldChar w:fldCharType="end"/>
          </w:r>
          <w:r>
            <w:fldChar w:fldCharType="end"/>
          </w:r>
        </w:p>
        <w:p>
          <w:pPr>
            <w:pStyle w:val="11"/>
            <w:tabs>
              <w:tab w:val="right" w:leader="dot" w:pos="8302"/>
            </w:tabs>
            <w:spacing w:line="360" w:lineRule="auto"/>
            <w:rPr>
              <w:szCs w:val="22"/>
            </w:rPr>
          </w:pPr>
          <w:r>
            <w:fldChar w:fldCharType="begin"/>
          </w:r>
          <w:r>
            <w:instrText xml:space="preserve"> HYPERLINK \l "_Toc76386119" </w:instrText>
          </w:r>
          <w:r>
            <w:fldChar w:fldCharType="separate"/>
          </w:r>
          <w:r>
            <w:rPr>
              <w:rStyle w:val="29"/>
              <w:rFonts w:ascii="Times New Roman" w:hAnsi="Times New Roman" w:eastAsia="宋体" w:cs="Times New Roman"/>
            </w:rPr>
            <w:t>6.1.1本标准的适用范围及依据</w:t>
          </w:r>
          <w:r>
            <w:tab/>
          </w:r>
          <w:r>
            <w:fldChar w:fldCharType="begin"/>
          </w:r>
          <w:r>
            <w:instrText xml:space="preserve"> PAGEREF _Toc76386119 \h </w:instrText>
          </w:r>
          <w:r>
            <w:fldChar w:fldCharType="separate"/>
          </w:r>
          <w:r>
            <w:t>30</w:t>
          </w:r>
          <w:r>
            <w:fldChar w:fldCharType="end"/>
          </w:r>
          <w:r>
            <w:fldChar w:fldCharType="end"/>
          </w:r>
        </w:p>
        <w:p>
          <w:pPr>
            <w:pStyle w:val="11"/>
            <w:tabs>
              <w:tab w:val="right" w:leader="dot" w:pos="8302"/>
            </w:tabs>
            <w:spacing w:line="360" w:lineRule="auto"/>
            <w:rPr>
              <w:szCs w:val="22"/>
            </w:rPr>
          </w:pPr>
          <w:r>
            <w:fldChar w:fldCharType="begin"/>
          </w:r>
          <w:r>
            <w:instrText xml:space="preserve"> HYPERLINK \l "_Toc76386120" </w:instrText>
          </w:r>
          <w:r>
            <w:fldChar w:fldCharType="separate"/>
          </w:r>
          <w:r>
            <w:rPr>
              <w:rStyle w:val="29"/>
              <w:rFonts w:ascii="Times New Roman" w:hAnsi="Times New Roman" w:eastAsia="宋体" w:cs="Times New Roman"/>
            </w:rPr>
            <w:t>6.1.2本标准不适用的情况及依据</w:t>
          </w:r>
          <w:r>
            <w:tab/>
          </w:r>
          <w:r>
            <w:fldChar w:fldCharType="begin"/>
          </w:r>
          <w:r>
            <w:instrText xml:space="preserve"> PAGEREF _Toc76386120 \h </w:instrText>
          </w:r>
          <w:r>
            <w:fldChar w:fldCharType="separate"/>
          </w:r>
          <w:r>
            <w:t>30</w:t>
          </w:r>
          <w:r>
            <w:fldChar w:fldCharType="end"/>
          </w:r>
          <w:r>
            <w:fldChar w:fldCharType="end"/>
          </w:r>
        </w:p>
        <w:p>
          <w:pPr>
            <w:pStyle w:val="20"/>
            <w:tabs>
              <w:tab w:val="right" w:leader="dot" w:pos="8302"/>
            </w:tabs>
            <w:spacing w:line="360" w:lineRule="auto"/>
            <w:rPr>
              <w:szCs w:val="22"/>
            </w:rPr>
          </w:pPr>
          <w:r>
            <w:fldChar w:fldCharType="begin"/>
          </w:r>
          <w:r>
            <w:instrText xml:space="preserve"> HYPERLINK \l "_Toc76386122" </w:instrText>
          </w:r>
          <w:r>
            <w:fldChar w:fldCharType="separate"/>
          </w:r>
          <w:r>
            <w:rPr>
              <w:rStyle w:val="29"/>
              <w:rFonts w:ascii="Times New Roman" w:hAnsi="Times New Roman" w:eastAsia="宋体" w:cs="Times New Roman"/>
            </w:rPr>
            <w:t>6.2标准结构框架</w:t>
          </w:r>
          <w:r>
            <w:tab/>
          </w:r>
          <w:r>
            <w:fldChar w:fldCharType="begin"/>
          </w:r>
          <w:r>
            <w:instrText xml:space="preserve"> PAGEREF _Toc76386122 \h </w:instrText>
          </w:r>
          <w:r>
            <w:fldChar w:fldCharType="separate"/>
          </w:r>
          <w:r>
            <w:t>31</w:t>
          </w:r>
          <w:r>
            <w:fldChar w:fldCharType="end"/>
          </w:r>
          <w:r>
            <w:fldChar w:fldCharType="end"/>
          </w:r>
        </w:p>
        <w:p>
          <w:pPr>
            <w:pStyle w:val="11"/>
            <w:tabs>
              <w:tab w:val="right" w:leader="dot" w:pos="8302"/>
            </w:tabs>
            <w:spacing w:line="360" w:lineRule="auto"/>
            <w:rPr>
              <w:szCs w:val="22"/>
            </w:rPr>
          </w:pPr>
          <w:r>
            <w:fldChar w:fldCharType="begin"/>
          </w:r>
          <w:r>
            <w:instrText xml:space="preserve"> HYPERLINK \l "_Toc76386123" </w:instrText>
          </w:r>
          <w:r>
            <w:fldChar w:fldCharType="separate"/>
          </w:r>
          <w:r>
            <w:rPr>
              <w:rStyle w:val="29"/>
              <w:rFonts w:ascii="Times New Roman" w:hAnsi="Times New Roman" w:eastAsia="宋体" w:cs="Times New Roman"/>
            </w:rPr>
            <w:t>6.2.1主要章节内容</w:t>
          </w:r>
          <w:r>
            <w:tab/>
          </w:r>
          <w:r>
            <w:fldChar w:fldCharType="begin"/>
          </w:r>
          <w:r>
            <w:instrText xml:space="preserve"> PAGEREF _Toc76386123 \h </w:instrText>
          </w:r>
          <w:r>
            <w:fldChar w:fldCharType="separate"/>
          </w:r>
          <w:r>
            <w:t>31</w:t>
          </w:r>
          <w:r>
            <w:fldChar w:fldCharType="end"/>
          </w:r>
          <w:r>
            <w:fldChar w:fldCharType="end"/>
          </w:r>
        </w:p>
        <w:p>
          <w:pPr>
            <w:pStyle w:val="11"/>
            <w:tabs>
              <w:tab w:val="right" w:leader="dot" w:pos="8302"/>
            </w:tabs>
            <w:spacing w:line="360" w:lineRule="auto"/>
            <w:rPr>
              <w:szCs w:val="22"/>
            </w:rPr>
          </w:pPr>
          <w:r>
            <w:fldChar w:fldCharType="begin"/>
          </w:r>
          <w:r>
            <w:instrText xml:space="preserve"> HYPERLINK \l "_Toc76386124" </w:instrText>
          </w:r>
          <w:r>
            <w:fldChar w:fldCharType="separate"/>
          </w:r>
          <w:r>
            <w:rPr>
              <w:rStyle w:val="29"/>
              <w:rFonts w:ascii="Times New Roman" w:hAnsi="Times New Roman" w:eastAsia="宋体" w:cs="Times New Roman"/>
            </w:rPr>
            <w:t>6.2.2现有企业、新建企业划分时间点</w:t>
          </w:r>
          <w:r>
            <w:tab/>
          </w:r>
          <w:r>
            <w:fldChar w:fldCharType="begin"/>
          </w:r>
          <w:r>
            <w:instrText xml:space="preserve"> PAGEREF _Toc76386124 \h </w:instrText>
          </w:r>
          <w:r>
            <w:fldChar w:fldCharType="separate"/>
          </w:r>
          <w:r>
            <w:t>31</w:t>
          </w:r>
          <w:r>
            <w:fldChar w:fldCharType="end"/>
          </w:r>
          <w:r>
            <w:fldChar w:fldCharType="end"/>
          </w:r>
        </w:p>
        <w:p>
          <w:pPr>
            <w:pStyle w:val="11"/>
            <w:tabs>
              <w:tab w:val="right" w:leader="dot" w:pos="8302"/>
            </w:tabs>
            <w:spacing w:line="360" w:lineRule="auto"/>
            <w:rPr>
              <w:szCs w:val="22"/>
            </w:rPr>
          </w:pPr>
          <w:r>
            <w:fldChar w:fldCharType="begin"/>
          </w:r>
          <w:r>
            <w:instrText xml:space="preserve"> HYPERLINK \l "_Toc76386125" </w:instrText>
          </w:r>
          <w:r>
            <w:fldChar w:fldCharType="separate"/>
          </w:r>
          <w:r>
            <w:rPr>
              <w:rStyle w:val="29"/>
              <w:rFonts w:ascii="Times New Roman" w:hAnsi="Times New Roman" w:eastAsia="宋体" w:cs="Times New Roman"/>
            </w:rPr>
            <w:t>6.2.3标准对适用行业的划分及划分依据</w:t>
          </w:r>
          <w:r>
            <w:tab/>
          </w:r>
          <w:r>
            <w:fldChar w:fldCharType="begin"/>
          </w:r>
          <w:r>
            <w:instrText xml:space="preserve"> PAGEREF _Toc76386125 \h </w:instrText>
          </w:r>
          <w:r>
            <w:fldChar w:fldCharType="separate"/>
          </w:r>
          <w:r>
            <w:t>31</w:t>
          </w:r>
          <w:r>
            <w:fldChar w:fldCharType="end"/>
          </w:r>
          <w:r>
            <w:fldChar w:fldCharType="end"/>
          </w:r>
        </w:p>
        <w:p>
          <w:pPr>
            <w:pStyle w:val="20"/>
            <w:tabs>
              <w:tab w:val="right" w:leader="dot" w:pos="8302"/>
            </w:tabs>
            <w:spacing w:line="360" w:lineRule="auto"/>
            <w:rPr>
              <w:szCs w:val="22"/>
            </w:rPr>
          </w:pPr>
          <w:r>
            <w:fldChar w:fldCharType="begin"/>
          </w:r>
          <w:r>
            <w:instrText xml:space="preserve"> HYPERLINK \l "_Toc76386126" </w:instrText>
          </w:r>
          <w:r>
            <w:fldChar w:fldCharType="separate"/>
          </w:r>
          <w:r>
            <w:rPr>
              <w:rStyle w:val="29"/>
              <w:rFonts w:ascii="Times New Roman" w:hAnsi="Times New Roman" w:eastAsia="宋体" w:cs="Times New Roman"/>
            </w:rPr>
            <w:t>6.3术语和定义</w:t>
          </w:r>
          <w:r>
            <w:tab/>
          </w:r>
          <w:r>
            <w:fldChar w:fldCharType="begin"/>
          </w:r>
          <w:r>
            <w:instrText xml:space="preserve"> PAGEREF _Toc76386126 \h </w:instrText>
          </w:r>
          <w:r>
            <w:fldChar w:fldCharType="separate"/>
          </w:r>
          <w:r>
            <w:t>31</w:t>
          </w:r>
          <w:r>
            <w:fldChar w:fldCharType="end"/>
          </w:r>
          <w:r>
            <w:fldChar w:fldCharType="end"/>
          </w:r>
        </w:p>
        <w:p>
          <w:pPr>
            <w:pStyle w:val="20"/>
            <w:tabs>
              <w:tab w:val="right" w:leader="dot" w:pos="8302"/>
            </w:tabs>
            <w:spacing w:line="360" w:lineRule="auto"/>
            <w:rPr>
              <w:szCs w:val="22"/>
            </w:rPr>
          </w:pPr>
          <w:r>
            <w:fldChar w:fldCharType="begin"/>
          </w:r>
          <w:r>
            <w:instrText xml:space="preserve"> HYPERLINK \l "_Toc76386127" </w:instrText>
          </w:r>
          <w:r>
            <w:fldChar w:fldCharType="separate"/>
          </w:r>
          <w:r>
            <w:rPr>
              <w:rStyle w:val="29"/>
              <w:rFonts w:ascii="Times New Roman" w:hAnsi="Times New Roman" w:eastAsia="宋体" w:cs="Times New Roman"/>
            </w:rPr>
            <w:t>6.4污染物项目的选择</w:t>
          </w:r>
          <w:r>
            <w:tab/>
          </w:r>
          <w:r>
            <w:fldChar w:fldCharType="begin"/>
          </w:r>
          <w:r>
            <w:instrText xml:space="preserve"> PAGEREF _Toc76386127 \h </w:instrText>
          </w:r>
          <w:r>
            <w:fldChar w:fldCharType="separate"/>
          </w:r>
          <w:r>
            <w:t>33</w:t>
          </w:r>
          <w:r>
            <w:fldChar w:fldCharType="end"/>
          </w:r>
          <w:r>
            <w:fldChar w:fldCharType="end"/>
          </w:r>
        </w:p>
        <w:p>
          <w:pPr>
            <w:pStyle w:val="11"/>
            <w:tabs>
              <w:tab w:val="right" w:leader="dot" w:pos="8302"/>
            </w:tabs>
            <w:spacing w:line="360" w:lineRule="auto"/>
            <w:rPr>
              <w:szCs w:val="22"/>
            </w:rPr>
          </w:pPr>
          <w:r>
            <w:fldChar w:fldCharType="begin"/>
          </w:r>
          <w:r>
            <w:instrText xml:space="preserve"> HYPERLINK \l "_Toc76386128" </w:instrText>
          </w:r>
          <w:r>
            <w:fldChar w:fldCharType="separate"/>
          </w:r>
          <w:r>
            <w:rPr>
              <w:rStyle w:val="29"/>
              <w:rFonts w:ascii="Times New Roman" w:hAnsi="Times New Roman" w:eastAsia="宋体" w:cs="Times New Roman"/>
            </w:rPr>
            <w:t>6.4.1泡菜工业水污染物梳理</w:t>
          </w:r>
          <w:r>
            <w:tab/>
          </w:r>
          <w:r>
            <w:fldChar w:fldCharType="begin"/>
          </w:r>
          <w:r>
            <w:instrText xml:space="preserve"> PAGEREF _Toc76386128 \h </w:instrText>
          </w:r>
          <w:r>
            <w:fldChar w:fldCharType="separate"/>
          </w:r>
          <w:r>
            <w:t>33</w:t>
          </w:r>
          <w:r>
            <w:fldChar w:fldCharType="end"/>
          </w:r>
          <w:r>
            <w:fldChar w:fldCharType="end"/>
          </w:r>
        </w:p>
        <w:p>
          <w:pPr>
            <w:pStyle w:val="11"/>
            <w:tabs>
              <w:tab w:val="right" w:leader="dot" w:pos="8302"/>
            </w:tabs>
            <w:spacing w:line="360" w:lineRule="auto"/>
            <w:rPr>
              <w:szCs w:val="22"/>
            </w:rPr>
          </w:pPr>
          <w:r>
            <w:fldChar w:fldCharType="begin"/>
          </w:r>
          <w:r>
            <w:instrText xml:space="preserve"> HYPERLINK \l "_Toc76386129" </w:instrText>
          </w:r>
          <w:r>
            <w:fldChar w:fldCharType="separate"/>
          </w:r>
          <w:r>
            <w:rPr>
              <w:rStyle w:val="29"/>
              <w:rFonts w:ascii="Times New Roman" w:hAnsi="Times New Roman" w:eastAsia="宋体" w:cs="Times New Roman"/>
            </w:rPr>
            <w:t>6.4.2标准污染物项目选择说明</w:t>
          </w:r>
          <w:r>
            <w:tab/>
          </w:r>
          <w:r>
            <w:fldChar w:fldCharType="begin"/>
          </w:r>
          <w:r>
            <w:instrText xml:space="preserve"> PAGEREF _Toc76386129 \h </w:instrText>
          </w:r>
          <w:r>
            <w:fldChar w:fldCharType="separate"/>
          </w:r>
          <w:r>
            <w:t>33</w:t>
          </w:r>
          <w:r>
            <w:fldChar w:fldCharType="end"/>
          </w:r>
          <w:r>
            <w:fldChar w:fldCharType="end"/>
          </w:r>
        </w:p>
        <w:p>
          <w:pPr>
            <w:pStyle w:val="20"/>
            <w:tabs>
              <w:tab w:val="right" w:leader="dot" w:pos="8302"/>
            </w:tabs>
            <w:spacing w:line="360" w:lineRule="auto"/>
            <w:rPr>
              <w:szCs w:val="22"/>
            </w:rPr>
          </w:pPr>
          <w:r>
            <w:fldChar w:fldCharType="begin"/>
          </w:r>
          <w:r>
            <w:instrText xml:space="preserve"> HYPERLINK \l "_Toc76386130" </w:instrText>
          </w:r>
          <w:r>
            <w:fldChar w:fldCharType="separate"/>
          </w:r>
          <w:r>
            <w:rPr>
              <w:rStyle w:val="29"/>
              <w:rFonts w:ascii="Times New Roman" w:hAnsi="Times New Roman" w:eastAsia="宋体" w:cs="Times New Roman"/>
            </w:rPr>
            <w:t>6.5污染物限值的确定及制定依据</w:t>
          </w:r>
          <w:r>
            <w:tab/>
          </w:r>
          <w:r>
            <w:fldChar w:fldCharType="begin"/>
          </w:r>
          <w:r>
            <w:instrText xml:space="preserve"> PAGEREF _Toc76386130 \h </w:instrText>
          </w:r>
          <w:r>
            <w:fldChar w:fldCharType="separate"/>
          </w:r>
          <w:r>
            <w:t>35</w:t>
          </w:r>
          <w:r>
            <w:fldChar w:fldCharType="end"/>
          </w:r>
          <w:r>
            <w:fldChar w:fldCharType="end"/>
          </w:r>
        </w:p>
        <w:p>
          <w:pPr>
            <w:pStyle w:val="11"/>
            <w:tabs>
              <w:tab w:val="right" w:leader="dot" w:pos="8302"/>
            </w:tabs>
            <w:spacing w:line="360" w:lineRule="auto"/>
            <w:rPr>
              <w:szCs w:val="22"/>
            </w:rPr>
          </w:pPr>
          <w:r>
            <w:fldChar w:fldCharType="begin"/>
          </w:r>
          <w:r>
            <w:instrText xml:space="preserve"> HYPERLINK \l "_Toc76386131" </w:instrText>
          </w:r>
          <w:r>
            <w:fldChar w:fldCharType="separate"/>
          </w:r>
          <w:r>
            <w:rPr>
              <w:rStyle w:val="29"/>
              <w:rFonts w:ascii="Times New Roman" w:hAnsi="Times New Roman" w:eastAsia="宋体" w:cs="Times New Roman"/>
            </w:rPr>
            <w:t>6.5.1直接排放限值</w:t>
          </w:r>
          <w:r>
            <w:tab/>
          </w:r>
          <w:r>
            <w:fldChar w:fldCharType="begin"/>
          </w:r>
          <w:r>
            <w:instrText xml:space="preserve"> PAGEREF _Toc76386131 \h </w:instrText>
          </w:r>
          <w:r>
            <w:fldChar w:fldCharType="separate"/>
          </w:r>
          <w:r>
            <w:t>35</w:t>
          </w:r>
          <w:r>
            <w:fldChar w:fldCharType="end"/>
          </w:r>
          <w:r>
            <w:fldChar w:fldCharType="end"/>
          </w:r>
        </w:p>
        <w:p>
          <w:pPr>
            <w:pStyle w:val="11"/>
            <w:tabs>
              <w:tab w:val="right" w:leader="dot" w:pos="8302"/>
            </w:tabs>
            <w:spacing w:line="360" w:lineRule="auto"/>
            <w:rPr>
              <w:szCs w:val="22"/>
            </w:rPr>
          </w:pPr>
          <w:r>
            <w:fldChar w:fldCharType="begin"/>
          </w:r>
          <w:r>
            <w:instrText xml:space="preserve"> HYPERLINK \l "_Toc76386132" </w:instrText>
          </w:r>
          <w:r>
            <w:fldChar w:fldCharType="separate"/>
          </w:r>
          <w:r>
            <w:rPr>
              <w:rStyle w:val="29"/>
              <w:rFonts w:ascii="Times New Roman" w:hAnsi="Times New Roman" w:eastAsia="宋体" w:cs="Times New Roman"/>
            </w:rPr>
            <w:t>6.5.2间接排放限值</w:t>
          </w:r>
          <w:r>
            <w:tab/>
          </w:r>
          <w:r>
            <w:fldChar w:fldCharType="begin"/>
          </w:r>
          <w:r>
            <w:instrText xml:space="preserve"> PAGEREF _Toc76386132 \h </w:instrText>
          </w:r>
          <w:r>
            <w:fldChar w:fldCharType="separate"/>
          </w:r>
          <w:r>
            <w:t>38</w:t>
          </w:r>
          <w:r>
            <w:fldChar w:fldCharType="end"/>
          </w:r>
          <w:r>
            <w:fldChar w:fldCharType="end"/>
          </w:r>
        </w:p>
        <w:p>
          <w:pPr>
            <w:pStyle w:val="11"/>
            <w:tabs>
              <w:tab w:val="right" w:leader="dot" w:pos="8302"/>
            </w:tabs>
            <w:spacing w:line="360" w:lineRule="auto"/>
            <w:rPr>
              <w:szCs w:val="22"/>
            </w:rPr>
          </w:pPr>
          <w:r>
            <w:fldChar w:fldCharType="begin"/>
          </w:r>
          <w:r>
            <w:instrText xml:space="preserve"> HYPERLINK \l "_Toc76386133" </w:instrText>
          </w:r>
          <w:r>
            <w:fldChar w:fldCharType="separate"/>
          </w:r>
          <w:r>
            <w:rPr>
              <w:rStyle w:val="29"/>
              <w:rFonts w:ascii="Times New Roman" w:hAnsi="Times New Roman" w:eastAsia="宋体" w:cs="Times New Roman"/>
            </w:rPr>
            <w:t>6.5.3单位产品基准排水量</w:t>
          </w:r>
          <w:r>
            <w:tab/>
          </w:r>
          <w:r>
            <w:fldChar w:fldCharType="begin"/>
          </w:r>
          <w:r>
            <w:instrText xml:space="preserve"> PAGEREF _Toc76386133 \h </w:instrText>
          </w:r>
          <w:r>
            <w:fldChar w:fldCharType="separate"/>
          </w:r>
          <w:r>
            <w:t>38</w:t>
          </w:r>
          <w:r>
            <w:fldChar w:fldCharType="end"/>
          </w:r>
          <w:r>
            <w:fldChar w:fldCharType="end"/>
          </w:r>
        </w:p>
        <w:p>
          <w:pPr>
            <w:pStyle w:val="20"/>
            <w:tabs>
              <w:tab w:val="right" w:leader="dot" w:pos="8302"/>
            </w:tabs>
            <w:spacing w:line="360" w:lineRule="auto"/>
            <w:rPr>
              <w:szCs w:val="22"/>
            </w:rPr>
          </w:pPr>
          <w:r>
            <w:fldChar w:fldCharType="begin"/>
          </w:r>
          <w:r>
            <w:instrText xml:space="preserve"> HYPERLINK \l "_Toc76386134" </w:instrText>
          </w:r>
          <w:r>
            <w:fldChar w:fldCharType="separate"/>
          </w:r>
          <w:r>
            <w:rPr>
              <w:rStyle w:val="29"/>
              <w:rFonts w:ascii="Times New Roman" w:hAnsi="Times New Roman" w:eastAsia="宋体" w:cs="Times New Roman"/>
            </w:rPr>
            <w:t>6.6监测要求</w:t>
          </w:r>
          <w:r>
            <w:tab/>
          </w:r>
          <w:r>
            <w:fldChar w:fldCharType="begin"/>
          </w:r>
          <w:r>
            <w:instrText xml:space="preserve"> PAGEREF _Toc76386134 \h </w:instrText>
          </w:r>
          <w:r>
            <w:fldChar w:fldCharType="separate"/>
          </w:r>
          <w:r>
            <w:t>38</w:t>
          </w:r>
          <w:r>
            <w:fldChar w:fldCharType="end"/>
          </w:r>
          <w:r>
            <w:fldChar w:fldCharType="end"/>
          </w:r>
        </w:p>
        <w:p>
          <w:pPr>
            <w:pStyle w:val="20"/>
            <w:tabs>
              <w:tab w:val="right" w:leader="dot" w:pos="8302"/>
            </w:tabs>
            <w:spacing w:line="360" w:lineRule="auto"/>
            <w:rPr>
              <w:szCs w:val="22"/>
            </w:rPr>
          </w:pPr>
          <w:r>
            <w:fldChar w:fldCharType="begin"/>
          </w:r>
          <w:r>
            <w:instrText xml:space="preserve"> HYPERLINK \l "_Toc76386135" </w:instrText>
          </w:r>
          <w:r>
            <w:fldChar w:fldCharType="separate"/>
          </w:r>
          <w:r>
            <w:rPr>
              <w:rStyle w:val="29"/>
              <w:rFonts w:ascii="Times New Roman" w:hAnsi="Times New Roman" w:eastAsia="宋体" w:cs="Times New Roman"/>
            </w:rPr>
            <w:t>6.7氯化物的管控要求</w:t>
          </w:r>
          <w:r>
            <w:tab/>
          </w:r>
          <w:r>
            <w:fldChar w:fldCharType="begin"/>
          </w:r>
          <w:r>
            <w:instrText xml:space="preserve"> PAGEREF _Toc76386135 \h </w:instrText>
          </w:r>
          <w:r>
            <w:fldChar w:fldCharType="separate"/>
          </w:r>
          <w:r>
            <w:t>39</w:t>
          </w:r>
          <w:r>
            <w:fldChar w:fldCharType="end"/>
          </w:r>
          <w:r>
            <w:fldChar w:fldCharType="end"/>
          </w:r>
        </w:p>
        <w:p>
          <w:pPr>
            <w:pStyle w:val="17"/>
            <w:tabs>
              <w:tab w:val="right" w:leader="dot" w:pos="8302"/>
            </w:tabs>
            <w:rPr>
              <w:rFonts w:hint="default" w:asciiTheme="minorHAnsi" w:hAnsiTheme="minorHAnsi" w:eastAsiaTheme="minorEastAsia" w:cstheme="minorBidi"/>
              <w:b/>
              <w:bCs/>
              <w:sz w:val="21"/>
              <w:szCs w:val="22"/>
            </w:rPr>
          </w:pPr>
          <w:r>
            <w:fldChar w:fldCharType="begin"/>
          </w:r>
          <w:r>
            <w:instrText xml:space="preserve"> HYPERLINK \l "_Toc76386136" </w:instrText>
          </w:r>
          <w:r>
            <w:fldChar w:fldCharType="separate"/>
          </w:r>
          <w:r>
            <w:rPr>
              <w:rStyle w:val="29"/>
              <w:b/>
              <w:bCs/>
              <w:kern w:val="44"/>
            </w:rPr>
            <w:t>7本标准与国内外相关标准对比</w:t>
          </w:r>
          <w:r>
            <w:rPr>
              <w:b/>
              <w:bCs/>
            </w:rPr>
            <w:tab/>
          </w:r>
          <w:r>
            <w:rPr>
              <w:b/>
              <w:bCs/>
            </w:rPr>
            <w:fldChar w:fldCharType="begin"/>
          </w:r>
          <w:r>
            <w:rPr>
              <w:b/>
              <w:bCs/>
            </w:rPr>
            <w:instrText xml:space="preserve"> PAGEREF _Toc76386136 \h </w:instrText>
          </w:r>
          <w:r>
            <w:rPr>
              <w:rFonts w:hint="default"/>
              <w:b/>
              <w:bCs/>
            </w:rPr>
            <w:fldChar w:fldCharType="separate"/>
          </w:r>
          <w:r>
            <w:rPr>
              <w:rFonts w:hint="default"/>
              <w:b/>
              <w:bCs/>
            </w:rPr>
            <w:t>39</w:t>
          </w:r>
          <w:r>
            <w:rPr>
              <w:b/>
              <w:bCs/>
            </w:rPr>
            <w:fldChar w:fldCharType="end"/>
          </w:r>
          <w:r>
            <w:rPr>
              <w:b/>
              <w:bCs/>
            </w:rPr>
            <w:fldChar w:fldCharType="end"/>
          </w:r>
        </w:p>
        <w:p>
          <w:pPr>
            <w:pStyle w:val="20"/>
            <w:tabs>
              <w:tab w:val="right" w:leader="dot" w:pos="8302"/>
            </w:tabs>
            <w:spacing w:line="360" w:lineRule="auto"/>
            <w:rPr>
              <w:szCs w:val="22"/>
            </w:rPr>
          </w:pPr>
          <w:r>
            <w:fldChar w:fldCharType="begin"/>
          </w:r>
          <w:r>
            <w:instrText xml:space="preserve"> HYPERLINK \l "_Toc76386137" </w:instrText>
          </w:r>
          <w:r>
            <w:fldChar w:fldCharType="separate"/>
          </w:r>
          <w:r>
            <w:rPr>
              <w:rStyle w:val="29"/>
              <w:rFonts w:ascii="Times New Roman" w:hAnsi="Times New Roman" w:eastAsia="宋体" w:cs="Times New Roman"/>
            </w:rPr>
            <w:t>7.1 与国内相关标准的对比</w:t>
          </w:r>
          <w:r>
            <w:tab/>
          </w:r>
          <w:r>
            <w:fldChar w:fldCharType="begin"/>
          </w:r>
          <w:r>
            <w:instrText xml:space="preserve"> PAGEREF _Toc76386137 \h </w:instrText>
          </w:r>
          <w:r>
            <w:fldChar w:fldCharType="separate"/>
          </w:r>
          <w:r>
            <w:t>39</w:t>
          </w:r>
          <w:r>
            <w:fldChar w:fldCharType="end"/>
          </w:r>
          <w:r>
            <w:fldChar w:fldCharType="end"/>
          </w:r>
        </w:p>
        <w:p>
          <w:pPr>
            <w:pStyle w:val="20"/>
            <w:tabs>
              <w:tab w:val="right" w:leader="dot" w:pos="8302"/>
            </w:tabs>
            <w:spacing w:line="360" w:lineRule="auto"/>
            <w:rPr>
              <w:szCs w:val="22"/>
            </w:rPr>
          </w:pPr>
          <w:r>
            <w:fldChar w:fldCharType="begin"/>
          </w:r>
          <w:r>
            <w:instrText xml:space="preserve"> HYPERLINK \l "_Toc76386138" </w:instrText>
          </w:r>
          <w:r>
            <w:fldChar w:fldCharType="separate"/>
          </w:r>
          <w:r>
            <w:rPr>
              <w:rStyle w:val="29"/>
              <w:rFonts w:ascii="Times New Roman" w:hAnsi="Times New Roman" w:eastAsia="宋体" w:cs="Times New Roman"/>
            </w:rPr>
            <w:t>7.2与国外相关标准的对比</w:t>
          </w:r>
          <w:r>
            <w:tab/>
          </w:r>
          <w:r>
            <w:fldChar w:fldCharType="begin"/>
          </w:r>
          <w:r>
            <w:instrText xml:space="preserve"> PAGEREF _Toc76386138 \h </w:instrText>
          </w:r>
          <w:r>
            <w:fldChar w:fldCharType="separate"/>
          </w:r>
          <w:r>
            <w:t>42</w:t>
          </w:r>
          <w:r>
            <w:fldChar w:fldCharType="end"/>
          </w:r>
          <w:r>
            <w:fldChar w:fldCharType="end"/>
          </w:r>
        </w:p>
        <w:p>
          <w:pPr>
            <w:pStyle w:val="17"/>
            <w:tabs>
              <w:tab w:val="right" w:leader="dot" w:pos="8302"/>
            </w:tabs>
            <w:rPr>
              <w:rFonts w:hint="default" w:asciiTheme="minorHAnsi" w:hAnsiTheme="minorHAnsi" w:eastAsiaTheme="minorEastAsia" w:cstheme="minorBidi"/>
              <w:b/>
              <w:bCs/>
              <w:sz w:val="21"/>
              <w:szCs w:val="22"/>
            </w:rPr>
          </w:pPr>
          <w:r>
            <w:fldChar w:fldCharType="begin"/>
          </w:r>
          <w:r>
            <w:instrText xml:space="preserve"> HYPERLINK \l "_Toc76386139" </w:instrText>
          </w:r>
          <w:r>
            <w:fldChar w:fldCharType="separate"/>
          </w:r>
          <w:r>
            <w:rPr>
              <w:rStyle w:val="29"/>
              <w:b/>
              <w:bCs/>
              <w:kern w:val="44"/>
            </w:rPr>
            <w:t>8标准实施效益分析</w:t>
          </w:r>
          <w:r>
            <w:rPr>
              <w:b/>
              <w:bCs/>
            </w:rPr>
            <w:tab/>
          </w:r>
          <w:r>
            <w:rPr>
              <w:b/>
              <w:bCs/>
            </w:rPr>
            <w:fldChar w:fldCharType="begin"/>
          </w:r>
          <w:r>
            <w:rPr>
              <w:b/>
              <w:bCs/>
            </w:rPr>
            <w:instrText xml:space="preserve"> PAGEREF _Toc76386139 \h </w:instrText>
          </w:r>
          <w:r>
            <w:rPr>
              <w:rFonts w:hint="default"/>
              <w:b/>
              <w:bCs/>
            </w:rPr>
            <w:fldChar w:fldCharType="separate"/>
          </w:r>
          <w:r>
            <w:rPr>
              <w:rFonts w:hint="default"/>
              <w:b/>
              <w:bCs/>
            </w:rPr>
            <w:t>43</w:t>
          </w:r>
          <w:r>
            <w:rPr>
              <w:b/>
              <w:bCs/>
            </w:rPr>
            <w:fldChar w:fldCharType="end"/>
          </w:r>
          <w:r>
            <w:rPr>
              <w:b/>
              <w:bCs/>
            </w:rPr>
            <w:fldChar w:fldCharType="end"/>
          </w:r>
        </w:p>
        <w:p>
          <w:pPr>
            <w:pStyle w:val="20"/>
            <w:tabs>
              <w:tab w:val="right" w:leader="dot" w:pos="8302"/>
            </w:tabs>
            <w:spacing w:line="360" w:lineRule="auto"/>
            <w:rPr>
              <w:szCs w:val="22"/>
            </w:rPr>
          </w:pPr>
          <w:r>
            <w:fldChar w:fldCharType="begin"/>
          </w:r>
          <w:r>
            <w:instrText xml:space="preserve"> HYPERLINK \l "_Toc76386140" </w:instrText>
          </w:r>
          <w:r>
            <w:fldChar w:fldCharType="separate"/>
          </w:r>
          <w:r>
            <w:rPr>
              <w:rStyle w:val="29"/>
              <w:rFonts w:ascii="Times New Roman" w:hAnsi="Times New Roman" w:eastAsia="宋体" w:cs="Times New Roman"/>
            </w:rPr>
            <w:t>8.1实施本标准的环境效益</w:t>
          </w:r>
          <w:r>
            <w:tab/>
          </w:r>
          <w:r>
            <w:fldChar w:fldCharType="begin"/>
          </w:r>
          <w:r>
            <w:instrText xml:space="preserve"> PAGEREF _Toc76386140 \h </w:instrText>
          </w:r>
          <w:r>
            <w:fldChar w:fldCharType="separate"/>
          </w:r>
          <w:r>
            <w:t>43</w:t>
          </w:r>
          <w:r>
            <w:fldChar w:fldCharType="end"/>
          </w:r>
          <w:r>
            <w:fldChar w:fldCharType="end"/>
          </w:r>
        </w:p>
        <w:p>
          <w:pPr>
            <w:pStyle w:val="20"/>
            <w:tabs>
              <w:tab w:val="right" w:leader="dot" w:pos="8302"/>
            </w:tabs>
            <w:spacing w:line="360" w:lineRule="auto"/>
            <w:rPr>
              <w:szCs w:val="22"/>
            </w:rPr>
          </w:pPr>
          <w:r>
            <w:fldChar w:fldCharType="begin"/>
          </w:r>
          <w:r>
            <w:instrText xml:space="preserve"> HYPERLINK \l "_Toc76386141" </w:instrText>
          </w:r>
          <w:r>
            <w:fldChar w:fldCharType="separate"/>
          </w:r>
          <w:r>
            <w:rPr>
              <w:rStyle w:val="29"/>
              <w:rFonts w:ascii="Times New Roman" w:hAnsi="Times New Roman" w:eastAsia="宋体" w:cs="Times New Roman"/>
            </w:rPr>
            <w:t>8.2实施本标准的成本分析</w:t>
          </w:r>
          <w:r>
            <w:tab/>
          </w:r>
          <w:r>
            <w:fldChar w:fldCharType="begin"/>
          </w:r>
          <w:r>
            <w:instrText xml:space="preserve"> PAGEREF _Toc76386141 \h </w:instrText>
          </w:r>
          <w:r>
            <w:fldChar w:fldCharType="separate"/>
          </w:r>
          <w:r>
            <w:t>44</w:t>
          </w:r>
          <w:r>
            <w:fldChar w:fldCharType="end"/>
          </w:r>
          <w:r>
            <w:fldChar w:fldCharType="end"/>
          </w:r>
        </w:p>
        <w:p>
          <w:pPr>
            <w:spacing w:line="360" w:lineRule="auto"/>
            <w:ind w:firstLine="420" w:firstLineChars="200"/>
            <w:jc w:val="left"/>
            <w:rPr>
              <w:rFonts w:ascii="Times New Roman" w:hAnsi="Times New Roman" w:eastAsia="宋体" w:cs="Times New Roman"/>
              <w:szCs w:val="22"/>
            </w:rPr>
          </w:pPr>
          <w:r>
            <w:rPr>
              <w:rFonts w:ascii="Times New Roman" w:hAnsi="Times New Roman" w:eastAsia="宋体" w:cs="Times New Roman"/>
              <w:szCs w:val="22"/>
            </w:rPr>
            <w:fldChar w:fldCharType="end"/>
          </w:r>
        </w:p>
      </w:sdtContent>
    </w:sdt>
    <w:p>
      <w:pPr>
        <w:widowControl/>
        <w:jc w:val="left"/>
        <w:rPr>
          <w:rFonts w:ascii="黑体" w:hAnsi="黑体" w:eastAsia="黑体" w:cs="Times New Roman"/>
          <w:b/>
          <w:sz w:val="32"/>
          <w:szCs w:val="32"/>
        </w:rPr>
        <w:sectPr>
          <w:headerReference r:id="rId5" w:type="first"/>
          <w:footerReference r:id="rId8" w:type="first"/>
          <w:headerReference r:id="rId3" w:type="default"/>
          <w:footerReference r:id="rId6" w:type="default"/>
          <w:headerReference r:id="rId4" w:type="even"/>
          <w:footerReference r:id="rId7" w:type="even"/>
          <w:pgSz w:w="11906" w:h="16838"/>
          <w:pgMar w:top="1440" w:right="1797" w:bottom="1440" w:left="1797" w:header="851" w:footer="992" w:gutter="0"/>
          <w:cols w:space="425" w:num="1"/>
          <w:docGrid w:type="lines" w:linePitch="312" w:charSpace="0"/>
        </w:sectPr>
      </w:pPr>
    </w:p>
    <w:p>
      <w:pPr>
        <w:keepNext/>
        <w:keepLines/>
        <w:spacing w:before="240" w:after="240" w:line="578" w:lineRule="auto"/>
        <w:jc w:val="left"/>
        <w:outlineLvl w:val="0"/>
        <w:rPr>
          <w:rFonts w:ascii="Times New Roman" w:hAnsi="Times New Roman" w:eastAsia="宋体" w:cs="Times New Roman"/>
          <w:b/>
          <w:bCs/>
          <w:kern w:val="44"/>
          <w:sz w:val="32"/>
          <w:szCs w:val="30"/>
        </w:rPr>
      </w:pPr>
      <w:bookmarkStart w:id="0" w:name="_Toc76386078"/>
      <w:r>
        <w:rPr>
          <w:rFonts w:hint="eastAsia" w:ascii="Times New Roman" w:hAnsi="Times New Roman" w:eastAsia="宋体" w:cs="Times New Roman"/>
          <w:b/>
          <w:bCs/>
          <w:kern w:val="44"/>
          <w:sz w:val="32"/>
          <w:szCs w:val="44"/>
        </w:rPr>
        <w:t>1项目背景</w:t>
      </w:r>
      <w:bookmarkEnd w:id="0"/>
    </w:p>
    <w:p>
      <w:pPr>
        <w:keepNext/>
        <w:keepLines/>
        <w:spacing w:before="120" w:after="120" w:line="415" w:lineRule="auto"/>
        <w:jc w:val="left"/>
        <w:outlineLvl w:val="1"/>
        <w:rPr>
          <w:rFonts w:ascii="Times New Roman" w:hAnsi="Times New Roman" w:eastAsia="宋体" w:cs="Times New Roman"/>
          <w:b/>
          <w:bCs/>
          <w:sz w:val="28"/>
          <w:szCs w:val="32"/>
        </w:rPr>
      </w:pPr>
      <w:bookmarkStart w:id="1" w:name="_Toc76386079"/>
      <w:r>
        <w:rPr>
          <w:rFonts w:hint="eastAsia" w:ascii="Times New Roman" w:hAnsi="Times New Roman" w:eastAsia="宋体" w:cs="Times New Roman"/>
          <w:b/>
          <w:bCs/>
          <w:sz w:val="28"/>
          <w:szCs w:val="32"/>
        </w:rPr>
        <w:t>1.1任务来源</w:t>
      </w:r>
      <w:bookmarkEnd w:id="1"/>
    </w:p>
    <w:p>
      <w:pPr>
        <w:spacing w:line="440" w:lineRule="exact"/>
        <w:ind w:firstLine="420" w:firstLineChars="200"/>
        <w:jc w:val="left"/>
        <w:rPr>
          <w:rFonts w:ascii="Times New Roman" w:hAnsi="Times New Roman" w:eastAsia="宋体" w:cs="Times New Roman"/>
        </w:rPr>
      </w:pPr>
      <w:r>
        <w:rPr>
          <w:rFonts w:hint="eastAsia" w:ascii="Times New Roman" w:hAnsi="Times New Roman" w:eastAsia="宋体" w:cs="Times New Roman"/>
        </w:rPr>
        <w:t>根据四川省市场监督管理局《关于下达2</w:t>
      </w:r>
      <w:r>
        <w:rPr>
          <w:rFonts w:ascii="Times New Roman" w:hAnsi="Times New Roman" w:eastAsia="宋体" w:cs="Times New Roman"/>
        </w:rPr>
        <w:t>020年度地方标准制修订项目立项计划</w:t>
      </w:r>
      <w:r>
        <w:rPr>
          <w:rFonts w:hint="eastAsia" w:ascii="Times New Roman" w:hAnsi="Times New Roman" w:eastAsia="宋体" w:cs="Times New Roman"/>
        </w:rPr>
        <w:t>（第四批）的通知》（川市监函</w:t>
      </w:r>
      <w:r>
        <w:rPr>
          <w:rFonts w:ascii="Times New Roman" w:hAnsi="黑体" w:eastAsia="黑体" w:cs="Times New Roman"/>
        </w:rPr>
        <w:t>〔</w:t>
      </w:r>
      <w:r>
        <w:rPr>
          <w:rFonts w:ascii="Times New Roman" w:hAnsi="Times New Roman" w:eastAsia="黑体" w:cs="Times New Roman"/>
        </w:rPr>
        <w:t>2020</w:t>
      </w:r>
      <w:r>
        <w:rPr>
          <w:rFonts w:ascii="Times New Roman" w:hAnsi="黑体" w:eastAsia="黑体" w:cs="Times New Roman"/>
        </w:rPr>
        <w:t>〕</w:t>
      </w:r>
      <w:r>
        <w:rPr>
          <w:rFonts w:ascii="Times New Roman" w:hAnsi="Times New Roman" w:eastAsia="黑体" w:cs="Times New Roman"/>
        </w:rPr>
        <w:t>560</w:t>
      </w:r>
      <w:r>
        <w:rPr>
          <w:rFonts w:ascii="Times New Roman" w:hAnsi="黑体" w:eastAsia="黑体" w:cs="Times New Roman"/>
        </w:rPr>
        <w:t>号</w:t>
      </w:r>
      <w:r>
        <w:rPr>
          <w:rFonts w:hint="eastAsia" w:ascii="Times New Roman" w:hAnsi="Times New Roman" w:eastAsia="宋体" w:cs="Times New Roman"/>
        </w:rPr>
        <w:t>），</w:t>
      </w:r>
      <w:r>
        <w:rPr>
          <w:rFonts w:ascii="Times New Roman" w:hAnsi="Times New Roman" w:eastAsia="宋体" w:cs="Times New Roman"/>
        </w:rPr>
        <w:t>《</w:t>
      </w:r>
      <w:r>
        <w:rPr>
          <w:rFonts w:hint="eastAsia" w:ascii="Times New Roman" w:hAnsi="Times New Roman" w:eastAsia="宋体" w:cs="Times New Roman"/>
        </w:rPr>
        <w:t>四川省泡菜工业水污染物排放标</w:t>
      </w:r>
      <w:r>
        <w:rPr>
          <w:rFonts w:ascii="Times New Roman" w:hAnsi="Times New Roman" w:eastAsia="宋体" w:cs="Times New Roman"/>
        </w:rPr>
        <w:t>》</w:t>
      </w:r>
      <w:r>
        <w:rPr>
          <w:rFonts w:hint="eastAsia" w:ascii="Times New Roman" w:hAnsi="Times New Roman" w:eastAsia="宋体" w:cs="Times New Roman"/>
          <w:lang w:eastAsia="zh-CN"/>
        </w:rPr>
        <w:t>列入了</w:t>
      </w:r>
      <w:r>
        <w:rPr>
          <w:rFonts w:hint="eastAsia" w:ascii="Times New Roman" w:hAnsi="Times New Roman" w:eastAsia="宋体" w:cs="Times New Roman"/>
          <w:lang w:val="en-US" w:eastAsia="zh-CN"/>
        </w:rPr>
        <w:t>2020年度地方标准立项计划。</w:t>
      </w:r>
      <w:r>
        <w:rPr>
          <w:rFonts w:hint="eastAsia" w:ascii="Times New Roman" w:hAnsi="Times New Roman" w:eastAsia="宋体" w:cs="Times New Roman"/>
        </w:rPr>
        <w:t>参照《国家环境保护标准制修订工作管理办法》（国环规科技〔2017〕1号）有关要求，</w:t>
      </w:r>
      <w:r>
        <w:rPr>
          <w:rFonts w:hint="eastAsia" w:ascii="Times New Roman" w:hAnsi="Times New Roman" w:eastAsia="宋体" w:cs="Times New Roman"/>
          <w:lang w:eastAsia="zh-CN"/>
        </w:rPr>
        <w:t>由</w:t>
      </w:r>
      <w:r>
        <w:rPr>
          <w:rFonts w:hint="eastAsia" w:ascii="Times New Roman" w:hAnsi="Times New Roman" w:eastAsia="宋体" w:cs="Times New Roman"/>
        </w:rPr>
        <w:t>四川省生态环境科学研究院</w:t>
      </w:r>
      <w:r>
        <w:rPr>
          <w:rFonts w:hint="eastAsia" w:ascii="Times New Roman" w:hAnsi="Times New Roman" w:eastAsia="宋体" w:cs="Times New Roman"/>
          <w:lang w:eastAsia="zh-CN"/>
        </w:rPr>
        <w:t>牵头，</w:t>
      </w:r>
      <w:r>
        <w:rPr>
          <w:rFonts w:ascii="Times New Roman" w:hAnsi="Times New Roman" w:eastAsia="宋体" w:cs="Times New Roman"/>
          <w:spacing w:val="-2"/>
        </w:rPr>
        <w:t>四川省</w:t>
      </w:r>
      <w:r>
        <w:rPr>
          <w:rFonts w:hint="eastAsia" w:ascii="Times New Roman" w:hAnsi="Times New Roman" w:eastAsia="宋体" w:cs="Times New Roman"/>
          <w:spacing w:val="-2"/>
        </w:rPr>
        <w:t>生态</w:t>
      </w:r>
      <w:r>
        <w:rPr>
          <w:rFonts w:ascii="Times New Roman" w:hAnsi="Times New Roman" w:eastAsia="宋体" w:cs="Times New Roman"/>
          <w:spacing w:val="-2"/>
        </w:rPr>
        <w:t>环境监测总站</w:t>
      </w:r>
      <w:r>
        <w:rPr>
          <w:rFonts w:hint="eastAsia" w:ascii="Times New Roman" w:hAnsi="Times New Roman" w:eastAsia="宋体" w:cs="Times New Roman"/>
          <w:spacing w:val="-2"/>
        </w:rPr>
        <w:t>、生态环境部环境标准研究所</w:t>
      </w:r>
      <w:r>
        <w:rPr>
          <w:rFonts w:hint="eastAsia" w:ascii="Times New Roman" w:hAnsi="Times New Roman" w:eastAsia="宋体" w:cs="Times New Roman"/>
          <w:spacing w:val="-2"/>
          <w:lang w:eastAsia="zh-CN"/>
        </w:rPr>
        <w:t>为协作单位共同开展标准的制定工作。</w:t>
      </w:r>
    </w:p>
    <w:p>
      <w:pPr>
        <w:keepNext/>
        <w:keepLines/>
        <w:spacing w:before="120" w:after="120" w:line="415" w:lineRule="auto"/>
        <w:jc w:val="left"/>
        <w:outlineLvl w:val="1"/>
        <w:rPr>
          <w:rFonts w:ascii="Times New Roman" w:hAnsi="Times New Roman" w:eastAsia="宋体" w:cs="Times New Roman"/>
          <w:b/>
          <w:bCs/>
          <w:sz w:val="28"/>
          <w:szCs w:val="32"/>
        </w:rPr>
      </w:pPr>
      <w:bookmarkStart w:id="2" w:name="_Toc76386080"/>
      <w:r>
        <w:rPr>
          <w:rFonts w:hint="eastAsia" w:ascii="Times New Roman" w:hAnsi="Times New Roman" w:eastAsia="宋体" w:cs="Times New Roman"/>
          <w:b/>
          <w:bCs/>
          <w:sz w:val="28"/>
          <w:szCs w:val="32"/>
        </w:rPr>
        <w:t>1.2工作过程</w:t>
      </w:r>
      <w:bookmarkEnd w:id="2"/>
    </w:p>
    <w:p>
      <w:pPr>
        <w:spacing w:line="440" w:lineRule="exact"/>
        <w:ind w:firstLine="420" w:firstLineChars="200"/>
        <w:jc w:val="left"/>
        <w:rPr>
          <w:rFonts w:ascii="Times New Roman" w:hAnsi="Times New Roman" w:eastAsia="宋体" w:cs="Times New Roman"/>
        </w:rPr>
      </w:pPr>
      <w:r>
        <w:rPr>
          <w:rFonts w:hint="eastAsia" w:ascii="Times New Roman" w:hAnsi="Times New Roman" w:eastAsia="宋体" w:cs="Times New Roman"/>
        </w:rPr>
        <w:t>接到任务</w:t>
      </w:r>
      <w:r>
        <w:rPr>
          <w:rFonts w:ascii="Times New Roman" w:hAnsi="Times New Roman" w:eastAsia="宋体" w:cs="Times New Roman"/>
        </w:rPr>
        <w:t>后，</w:t>
      </w:r>
      <w:r>
        <w:rPr>
          <w:rFonts w:hint="eastAsia" w:ascii="Times New Roman" w:hAnsi="Times New Roman" w:eastAsia="宋体" w:cs="Times New Roman"/>
          <w:lang w:eastAsia="zh-CN"/>
        </w:rPr>
        <w:t>项目</w:t>
      </w:r>
      <w:r>
        <w:rPr>
          <w:rFonts w:ascii="Times New Roman" w:hAnsi="Times New Roman" w:eastAsia="宋体" w:cs="Times New Roman"/>
        </w:rPr>
        <w:t>承担单位成立了标准编制组，开展了相关工作，主要工作过程如下：</w:t>
      </w:r>
    </w:p>
    <w:p>
      <w:pPr>
        <w:spacing w:line="440" w:lineRule="exact"/>
        <w:ind w:firstLine="420" w:firstLineChars="200"/>
        <w:jc w:val="left"/>
        <w:rPr>
          <w:rFonts w:ascii="Times New Roman" w:hAnsi="Times New Roman" w:eastAsia="宋体" w:cs="Times New Roman"/>
        </w:rPr>
      </w:pPr>
      <w:r>
        <w:rPr>
          <w:rFonts w:hint="eastAsia" w:ascii="Times New Roman" w:hAnsi="Times New Roman" w:eastAsia="宋体" w:cs="Times New Roman"/>
        </w:rPr>
        <w:t>（1）前期</w:t>
      </w:r>
      <w:r>
        <w:rPr>
          <w:rFonts w:ascii="Times New Roman" w:hAnsi="Times New Roman" w:eastAsia="宋体" w:cs="Times New Roman"/>
        </w:rPr>
        <w:t>调研</w:t>
      </w:r>
    </w:p>
    <w:p>
      <w:pPr>
        <w:spacing w:line="440" w:lineRule="exact"/>
        <w:ind w:firstLine="420" w:firstLineChars="200"/>
        <w:jc w:val="left"/>
        <w:rPr>
          <w:rFonts w:ascii="Times New Roman" w:hAnsi="Times New Roman" w:eastAsia="宋体" w:cs="Times New Roman"/>
        </w:rPr>
      </w:pPr>
      <w:r>
        <w:rPr>
          <w:rFonts w:hint="eastAsia" w:ascii="Times New Roman" w:hAnsi="Times New Roman" w:eastAsia="宋体" w:cs="Times New Roman"/>
        </w:rPr>
        <w:t>收集</w:t>
      </w:r>
      <w:r>
        <w:rPr>
          <w:rFonts w:ascii="Times New Roman" w:hAnsi="Times New Roman" w:eastAsia="宋体" w:cs="Times New Roman"/>
        </w:rPr>
        <w:t>行业发展资料数据，了解掌握行业发展现状</w:t>
      </w:r>
      <w:r>
        <w:rPr>
          <w:rFonts w:hint="eastAsia" w:ascii="Times New Roman" w:hAnsi="Times New Roman" w:eastAsia="宋体" w:cs="Times New Roman"/>
          <w:lang w:eastAsia="zh-CN"/>
        </w:rPr>
        <w:t>、</w:t>
      </w:r>
      <w:r>
        <w:rPr>
          <w:rFonts w:ascii="Times New Roman" w:hAnsi="Times New Roman" w:eastAsia="宋体" w:cs="Times New Roman"/>
        </w:rPr>
        <w:t>趋势及行业环境保护的基本情况。对</w:t>
      </w:r>
      <w:r>
        <w:rPr>
          <w:rFonts w:hint="eastAsia" w:ascii="Times New Roman" w:hAnsi="Times New Roman" w:eastAsia="宋体" w:cs="Times New Roman"/>
        </w:rPr>
        <w:t>国家</w:t>
      </w:r>
      <w:r>
        <w:rPr>
          <w:rFonts w:ascii="Times New Roman" w:hAnsi="Times New Roman" w:eastAsia="宋体" w:cs="Times New Roman"/>
        </w:rPr>
        <w:t>环境管理需求和省内外</w:t>
      </w:r>
      <w:r>
        <w:rPr>
          <w:rFonts w:hint="eastAsia" w:ascii="Times New Roman" w:hAnsi="Times New Roman" w:eastAsia="宋体" w:cs="Times New Roman"/>
        </w:rPr>
        <w:t>高盐废水</w:t>
      </w:r>
      <w:r>
        <w:rPr>
          <w:rFonts w:ascii="Times New Roman" w:hAnsi="Times New Roman" w:eastAsia="宋体" w:cs="Times New Roman"/>
        </w:rPr>
        <w:t>排放控制标准体系进行了研究</w:t>
      </w:r>
      <w:r>
        <w:rPr>
          <w:rFonts w:hint="eastAsia" w:ascii="Times New Roman" w:hAnsi="Times New Roman" w:eastAsia="宋体" w:cs="Times New Roman"/>
        </w:rPr>
        <w:t>，</w:t>
      </w:r>
      <w:r>
        <w:rPr>
          <w:rFonts w:ascii="Times New Roman" w:hAnsi="Times New Roman" w:eastAsia="宋体" w:cs="Times New Roman"/>
        </w:rPr>
        <w:t>特别是对</w:t>
      </w:r>
      <w:r>
        <w:rPr>
          <w:rFonts w:hint="eastAsia" w:ascii="Times New Roman" w:hAnsi="Times New Roman" w:eastAsia="宋体" w:cs="Times New Roman"/>
        </w:rPr>
        <w:t>《四川省</w:t>
      </w:r>
      <w:r>
        <w:rPr>
          <w:rFonts w:ascii="Times New Roman" w:hAnsi="Times New Roman" w:eastAsia="宋体" w:cs="Times New Roman"/>
        </w:rPr>
        <w:t>水污染物排放标准</w:t>
      </w:r>
      <w:r>
        <w:rPr>
          <w:rFonts w:hint="eastAsia" w:ascii="Times New Roman" w:hAnsi="Times New Roman" w:eastAsia="宋体" w:cs="Times New Roman"/>
        </w:rPr>
        <w:t>》（DB51/</w:t>
      </w:r>
      <w:r>
        <w:rPr>
          <w:rFonts w:ascii="Times New Roman" w:hAnsi="Times New Roman" w:eastAsia="宋体" w:cs="Times New Roman"/>
        </w:rPr>
        <w:t>190-</w:t>
      </w:r>
      <w:r>
        <w:rPr>
          <w:rFonts w:hint="eastAsia" w:ascii="Times New Roman" w:hAnsi="Times New Roman" w:eastAsia="宋体" w:cs="Times New Roman"/>
        </w:rPr>
        <w:t>93）执行</w:t>
      </w:r>
      <w:r>
        <w:rPr>
          <w:rFonts w:ascii="Times New Roman" w:hAnsi="Times New Roman" w:eastAsia="宋体" w:cs="Times New Roman"/>
        </w:rPr>
        <w:t>情况</w:t>
      </w:r>
      <w:r>
        <w:rPr>
          <w:rFonts w:hint="eastAsia" w:ascii="Times New Roman" w:hAnsi="Times New Roman" w:eastAsia="宋体" w:cs="Times New Roman"/>
        </w:rPr>
        <w:t>及</w:t>
      </w:r>
      <w:r>
        <w:rPr>
          <w:rFonts w:ascii="Times New Roman" w:hAnsi="Times New Roman" w:eastAsia="宋体" w:cs="Times New Roman"/>
        </w:rPr>
        <w:t>存在的问题进行了</w:t>
      </w:r>
      <w:r>
        <w:rPr>
          <w:rFonts w:hint="eastAsia" w:ascii="Times New Roman" w:hAnsi="Times New Roman" w:eastAsia="宋体" w:cs="Times New Roman"/>
        </w:rPr>
        <w:t>总结</w:t>
      </w:r>
      <w:r>
        <w:rPr>
          <w:rFonts w:ascii="Times New Roman" w:hAnsi="Times New Roman" w:eastAsia="宋体" w:cs="Times New Roman"/>
        </w:rPr>
        <w:t>分析，明确了</w:t>
      </w:r>
      <w:r>
        <w:rPr>
          <w:rFonts w:hint="eastAsia" w:ascii="Times New Roman" w:hAnsi="Times New Roman" w:eastAsia="宋体" w:cs="Times New Roman"/>
        </w:rPr>
        <w:t>本</w:t>
      </w:r>
      <w:r>
        <w:rPr>
          <w:rFonts w:ascii="Times New Roman" w:hAnsi="Times New Roman" w:eastAsia="宋体" w:cs="Times New Roman"/>
        </w:rPr>
        <w:t>标准的定位及适用范围。</w:t>
      </w:r>
      <w:r>
        <w:rPr>
          <w:rFonts w:hint="eastAsia" w:ascii="Times New Roman" w:hAnsi="Times New Roman" w:eastAsia="宋体" w:cs="Times New Roman"/>
        </w:rPr>
        <w:t>按照</w:t>
      </w:r>
      <w:r>
        <w:rPr>
          <w:rFonts w:ascii="Times New Roman" w:hAnsi="Times New Roman" w:eastAsia="宋体" w:cs="Times New Roman"/>
        </w:rPr>
        <w:t>不同</w:t>
      </w:r>
      <w:r>
        <w:rPr>
          <w:rFonts w:hint="eastAsia" w:ascii="Times New Roman" w:hAnsi="Times New Roman" w:eastAsia="宋体" w:cs="Times New Roman"/>
        </w:rPr>
        <w:t>环境</w:t>
      </w:r>
      <w:r>
        <w:rPr>
          <w:rFonts w:ascii="Times New Roman" w:hAnsi="Times New Roman" w:eastAsia="宋体" w:cs="Times New Roman"/>
        </w:rPr>
        <w:t>管控需求和行业情况，对</w:t>
      </w:r>
      <w:r>
        <w:rPr>
          <w:rFonts w:hint="eastAsia" w:ascii="Times New Roman" w:hAnsi="Times New Roman" w:eastAsia="宋体" w:cs="Times New Roman"/>
        </w:rPr>
        <w:t>北京</w:t>
      </w:r>
      <w:r>
        <w:rPr>
          <w:rFonts w:ascii="Times New Roman" w:hAnsi="Times New Roman" w:eastAsia="宋体" w:cs="Times New Roman"/>
        </w:rPr>
        <w:t>、</w:t>
      </w:r>
      <w:r>
        <w:rPr>
          <w:rFonts w:hint="eastAsia" w:ascii="Times New Roman" w:hAnsi="Times New Roman" w:eastAsia="宋体" w:cs="Times New Roman"/>
        </w:rPr>
        <w:t>重庆</w:t>
      </w:r>
      <w:r>
        <w:rPr>
          <w:rFonts w:ascii="Times New Roman" w:hAnsi="Times New Roman" w:eastAsia="宋体" w:cs="Times New Roman"/>
        </w:rPr>
        <w:t>、湖北、</w:t>
      </w:r>
      <w:r>
        <w:rPr>
          <w:rFonts w:hint="eastAsia" w:ascii="Times New Roman" w:hAnsi="Times New Roman" w:eastAsia="宋体" w:cs="Times New Roman"/>
        </w:rPr>
        <w:t>河南</w:t>
      </w:r>
      <w:r>
        <w:rPr>
          <w:rFonts w:ascii="Times New Roman" w:hAnsi="Times New Roman" w:eastAsia="宋体" w:cs="Times New Roman"/>
        </w:rPr>
        <w:t>、贵州、辽宁、山东</w:t>
      </w:r>
      <w:r>
        <w:rPr>
          <w:rFonts w:hint="eastAsia" w:ascii="Times New Roman" w:hAnsi="Times New Roman" w:eastAsia="宋体" w:cs="Times New Roman"/>
        </w:rPr>
        <w:t>等地</w:t>
      </w:r>
      <w:r>
        <w:rPr>
          <w:rFonts w:ascii="Times New Roman" w:hAnsi="Times New Roman" w:eastAsia="宋体" w:cs="Times New Roman"/>
        </w:rPr>
        <w:t>氯化物</w:t>
      </w:r>
      <w:r>
        <w:rPr>
          <w:rFonts w:hint="eastAsia" w:ascii="Times New Roman" w:hAnsi="Times New Roman" w:eastAsia="宋体" w:cs="Times New Roman"/>
        </w:rPr>
        <w:t>的排放管控</w:t>
      </w:r>
      <w:r>
        <w:rPr>
          <w:rFonts w:ascii="Times New Roman" w:hAnsi="Times New Roman" w:eastAsia="宋体" w:cs="Times New Roman"/>
        </w:rPr>
        <w:t>情况进行</w:t>
      </w:r>
      <w:r>
        <w:rPr>
          <w:rFonts w:hint="eastAsia" w:ascii="Times New Roman" w:hAnsi="Times New Roman" w:eastAsia="宋体" w:cs="Times New Roman"/>
        </w:rPr>
        <w:t>重点</w:t>
      </w:r>
      <w:r>
        <w:rPr>
          <w:rFonts w:ascii="Times New Roman" w:hAnsi="Times New Roman" w:eastAsia="宋体" w:cs="Times New Roman"/>
        </w:rPr>
        <w:t>调查，</w:t>
      </w:r>
      <w:r>
        <w:rPr>
          <w:rFonts w:hint="eastAsia" w:ascii="Times New Roman" w:hAnsi="Times New Roman" w:eastAsia="宋体" w:cs="Times New Roman"/>
        </w:rPr>
        <w:t>分析</w:t>
      </w:r>
      <w:r>
        <w:rPr>
          <w:rFonts w:ascii="Times New Roman" w:hAnsi="Times New Roman" w:eastAsia="宋体" w:cs="Times New Roman"/>
        </w:rPr>
        <w:t>评估</w:t>
      </w:r>
      <w:r>
        <w:rPr>
          <w:rFonts w:hint="eastAsia" w:ascii="Times New Roman" w:hAnsi="Times New Roman" w:eastAsia="宋体" w:cs="Times New Roman"/>
        </w:rPr>
        <w:t>了四川省</w:t>
      </w:r>
      <w:r>
        <w:rPr>
          <w:rFonts w:ascii="Times New Roman" w:hAnsi="Times New Roman" w:eastAsia="宋体" w:cs="Times New Roman"/>
        </w:rPr>
        <w:t>现有泡菜</w:t>
      </w:r>
      <w:r>
        <w:rPr>
          <w:rFonts w:hint="eastAsia" w:ascii="Times New Roman" w:hAnsi="Times New Roman" w:eastAsia="宋体" w:cs="Times New Roman"/>
        </w:rPr>
        <w:t>工业</w:t>
      </w:r>
      <w:r>
        <w:rPr>
          <w:rFonts w:ascii="Times New Roman" w:hAnsi="Times New Roman" w:eastAsia="宋体" w:cs="Times New Roman"/>
        </w:rPr>
        <w:t>企业</w:t>
      </w:r>
      <w:r>
        <w:rPr>
          <w:rFonts w:hint="eastAsia" w:ascii="Times New Roman" w:hAnsi="Times New Roman" w:eastAsia="宋体" w:cs="Times New Roman"/>
        </w:rPr>
        <w:t>主要</w:t>
      </w:r>
      <w:r>
        <w:rPr>
          <w:rFonts w:ascii="Times New Roman" w:hAnsi="Times New Roman" w:eastAsia="宋体" w:cs="Times New Roman"/>
        </w:rPr>
        <w:t>水污染物排放水平</w:t>
      </w:r>
      <w:r>
        <w:rPr>
          <w:rFonts w:hint="eastAsia" w:ascii="Times New Roman" w:hAnsi="Times New Roman" w:eastAsia="宋体" w:cs="Times New Roman"/>
        </w:rPr>
        <w:t>。</w:t>
      </w:r>
      <w:r>
        <w:rPr>
          <w:rFonts w:ascii="Times New Roman" w:hAnsi="Times New Roman" w:eastAsia="宋体" w:cs="Times New Roman"/>
        </w:rPr>
        <w:t>在</w:t>
      </w:r>
      <w:r>
        <w:rPr>
          <w:rFonts w:hint="eastAsia" w:ascii="Times New Roman" w:hAnsi="Times New Roman" w:eastAsia="宋体" w:cs="Times New Roman"/>
        </w:rPr>
        <w:t>总结</w:t>
      </w:r>
      <w:r>
        <w:rPr>
          <w:rFonts w:ascii="Times New Roman" w:hAnsi="Times New Roman" w:eastAsia="宋体" w:cs="Times New Roman"/>
        </w:rPr>
        <w:t>上述调研成果的基础上，标准编制组编制完成了标准开题报告。</w:t>
      </w:r>
    </w:p>
    <w:p>
      <w:pPr>
        <w:spacing w:line="440" w:lineRule="exact"/>
        <w:ind w:firstLine="420" w:firstLineChars="200"/>
        <w:jc w:val="left"/>
        <w:rPr>
          <w:rFonts w:ascii="Times New Roman" w:hAnsi="Times New Roman" w:eastAsia="宋体" w:cs="Times New Roman"/>
        </w:rPr>
      </w:pPr>
      <w:r>
        <w:rPr>
          <w:rFonts w:hint="eastAsia" w:ascii="Times New Roman" w:hAnsi="Times New Roman" w:eastAsia="宋体" w:cs="Times New Roman"/>
        </w:rPr>
        <w:t>（2）开题</w:t>
      </w:r>
      <w:r>
        <w:rPr>
          <w:rFonts w:ascii="Times New Roman" w:hAnsi="Times New Roman" w:eastAsia="宋体" w:cs="Times New Roman"/>
        </w:rPr>
        <w:t>论证</w:t>
      </w:r>
    </w:p>
    <w:p>
      <w:pPr>
        <w:spacing w:line="440" w:lineRule="exact"/>
        <w:ind w:firstLine="420" w:firstLineChars="200"/>
        <w:jc w:val="left"/>
        <w:rPr>
          <w:rFonts w:ascii="Times New Roman" w:hAnsi="Times New Roman" w:eastAsia="宋体" w:cs="Times New Roman"/>
        </w:rPr>
      </w:pPr>
      <w:r>
        <w:rPr>
          <w:rFonts w:hint="eastAsia" w:ascii="Times New Roman" w:hAnsi="Times New Roman" w:eastAsia="宋体" w:cs="Times New Roman"/>
        </w:rPr>
        <w:t>2</w:t>
      </w:r>
      <w:r>
        <w:rPr>
          <w:rFonts w:ascii="Times New Roman" w:hAnsi="Times New Roman" w:eastAsia="宋体" w:cs="Times New Roman"/>
        </w:rPr>
        <w:t>020</w:t>
      </w:r>
      <w:r>
        <w:rPr>
          <w:rFonts w:hint="eastAsia" w:ascii="Times New Roman" w:hAnsi="Times New Roman" w:eastAsia="宋体" w:cs="Times New Roman"/>
        </w:rPr>
        <w:t>年1月，</w:t>
      </w:r>
      <w:r>
        <w:rPr>
          <w:rFonts w:ascii="Times New Roman" w:hAnsi="Times New Roman" w:eastAsia="宋体" w:cs="Times New Roman"/>
        </w:rPr>
        <w:t>四川省</w:t>
      </w:r>
      <w:r>
        <w:rPr>
          <w:rFonts w:hint="eastAsia" w:ascii="Times New Roman" w:hAnsi="Times New Roman" w:eastAsia="宋体" w:cs="Times New Roman"/>
        </w:rPr>
        <w:t>生态</w:t>
      </w:r>
      <w:r>
        <w:rPr>
          <w:rFonts w:ascii="Times New Roman" w:hAnsi="Times New Roman" w:eastAsia="宋体" w:cs="Times New Roman"/>
        </w:rPr>
        <w:t>环境科学研究院在成都主持召开了《</w:t>
      </w:r>
      <w:r>
        <w:rPr>
          <w:rFonts w:hint="eastAsia" w:ascii="Times New Roman" w:hAnsi="Times New Roman" w:eastAsia="宋体" w:cs="Times New Roman"/>
        </w:rPr>
        <w:t>四川省泡菜工业水污染物排放标</w:t>
      </w:r>
      <w:r>
        <w:rPr>
          <w:rFonts w:ascii="Times New Roman" w:hAnsi="Times New Roman" w:eastAsia="宋体" w:cs="Times New Roman"/>
        </w:rPr>
        <w:t>》</w:t>
      </w:r>
      <w:r>
        <w:rPr>
          <w:rFonts w:hint="eastAsia" w:ascii="Times New Roman" w:hAnsi="Times New Roman" w:eastAsia="宋体" w:cs="Times New Roman"/>
        </w:rPr>
        <w:t>的</w:t>
      </w:r>
      <w:r>
        <w:rPr>
          <w:rFonts w:ascii="Times New Roman" w:hAnsi="Times New Roman" w:eastAsia="宋体" w:cs="Times New Roman"/>
        </w:rPr>
        <w:t>开题论证会，来自</w:t>
      </w:r>
      <w:r>
        <w:rPr>
          <w:rFonts w:hint="eastAsia" w:ascii="Times New Roman" w:hAnsi="Times New Roman" w:eastAsia="宋体" w:cs="Times New Roman"/>
          <w:lang w:eastAsia="zh-CN"/>
        </w:rPr>
        <w:t>四川大学、西南石油大学、四川省食品研究院等单位的</w:t>
      </w:r>
      <w:r>
        <w:rPr>
          <w:rFonts w:ascii="Times New Roman" w:hAnsi="Times New Roman" w:eastAsia="宋体" w:cs="Times New Roman"/>
        </w:rPr>
        <w:t>专家组成专家组</w:t>
      </w:r>
      <w:r>
        <w:rPr>
          <w:rFonts w:hint="eastAsia" w:ascii="Times New Roman" w:hAnsi="Times New Roman" w:eastAsia="宋体" w:cs="Times New Roman"/>
        </w:rPr>
        <w:t>对</w:t>
      </w:r>
      <w:r>
        <w:rPr>
          <w:rFonts w:ascii="Times New Roman" w:hAnsi="Times New Roman" w:eastAsia="宋体" w:cs="Times New Roman"/>
        </w:rPr>
        <w:t>标准开题报告及标准监测</w:t>
      </w:r>
      <w:r>
        <w:rPr>
          <w:rFonts w:hint="eastAsia" w:ascii="Times New Roman" w:hAnsi="Times New Roman" w:eastAsia="宋体" w:cs="Times New Roman"/>
        </w:rPr>
        <w:t>方案</w:t>
      </w:r>
      <w:r>
        <w:rPr>
          <w:rFonts w:ascii="Times New Roman" w:hAnsi="Times New Roman" w:eastAsia="宋体" w:cs="Times New Roman"/>
        </w:rPr>
        <w:t>进行了审查。</w:t>
      </w:r>
      <w:r>
        <w:rPr>
          <w:rFonts w:hint="eastAsia" w:ascii="Times New Roman" w:hAnsi="Times New Roman" w:eastAsia="宋体" w:cs="Times New Roman"/>
        </w:rPr>
        <w:t>专家</w:t>
      </w:r>
      <w:r>
        <w:rPr>
          <w:rFonts w:ascii="Times New Roman" w:hAnsi="Times New Roman" w:eastAsia="宋体" w:cs="Times New Roman"/>
        </w:rPr>
        <w:t>组在充分肯定标准编制组前期</w:t>
      </w:r>
      <w:r>
        <w:rPr>
          <w:rFonts w:hint="eastAsia" w:ascii="Times New Roman" w:hAnsi="Times New Roman" w:eastAsia="宋体" w:cs="Times New Roman"/>
          <w:lang w:eastAsia="zh-CN"/>
        </w:rPr>
        <w:t>开展的工作，并对下一步工作提出了意见和建议。</w:t>
      </w:r>
      <w:r>
        <w:rPr>
          <w:rFonts w:hint="eastAsia" w:ascii="Times New Roman" w:hAnsi="Times New Roman" w:eastAsia="宋体" w:cs="Times New Roman"/>
        </w:rPr>
        <w:t>。</w:t>
      </w:r>
    </w:p>
    <w:p>
      <w:pPr>
        <w:spacing w:line="440" w:lineRule="exact"/>
        <w:ind w:firstLine="420" w:firstLineChars="200"/>
        <w:jc w:val="left"/>
        <w:rPr>
          <w:rFonts w:ascii="Times New Roman" w:hAnsi="Times New Roman" w:eastAsia="宋体" w:cs="Times New Roman"/>
        </w:rPr>
      </w:pPr>
      <w:r>
        <w:rPr>
          <w:rFonts w:hint="eastAsia" w:ascii="Times New Roman" w:hAnsi="Times New Roman" w:eastAsia="宋体" w:cs="Times New Roman"/>
        </w:rPr>
        <w:t>（3）</w:t>
      </w:r>
      <w:r>
        <w:rPr>
          <w:rFonts w:hint="eastAsia" w:ascii="Times New Roman" w:hAnsi="Times New Roman" w:eastAsia="宋体" w:cs="Times New Roman"/>
          <w:lang w:eastAsia="zh-CN"/>
        </w:rPr>
        <w:t>深入调研论证</w:t>
      </w:r>
      <w:r>
        <w:rPr>
          <w:rFonts w:ascii="Times New Roman" w:hAnsi="Times New Roman" w:eastAsia="宋体" w:cs="Times New Roman"/>
        </w:rPr>
        <w:t>，形成征求意见稿</w:t>
      </w:r>
    </w:p>
    <w:p>
      <w:pPr>
        <w:spacing w:line="440" w:lineRule="exact"/>
        <w:ind w:firstLine="420" w:firstLineChars="200"/>
        <w:jc w:val="left"/>
        <w:rPr>
          <w:rFonts w:ascii="Times New Roman" w:hAnsi="Times New Roman" w:eastAsia="宋体" w:cs="Times New Roman"/>
        </w:rPr>
      </w:pPr>
      <w:r>
        <w:rPr>
          <w:rFonts w:hint="eastAsia" w:ascii="Times New Roman" w:hAnsi="Times New Roman" w:eastAsia="宋体" w:cs="Times New Roman"/>
        </w:rPr>
        <w:t>针对</w:t>
      </w:r>
      <w:r>
        <w:rPr>
          <w:rFonts w:ascii="Times New Roman" w:hAnsi="Times New Roman" w:eastAsia="宋体" w:cs="Times New Roman"/>
        </w:rPr>
        <w:t>开题论证会专家提出的意见和建议，为</w:t>
      </w:r>
      <w:r>
        <w:rPr>
          <w:rFonts w:hint="eastAsia" w:ascii="Times New Roman" w:hAnsi="Times New Roman" w:eastAsia="宋体" w:cs="Times New Roman"/>
        </w:rPr>
        <w:t>更</w:t>
      </w:r>
      <w:r>
        <w:rPr>
          <w:rFonts w:ascii="Times New Roman" w:hAnsi="Times New Roman" w:eastAsia="宋体" w:cs="Times New Roman"/>
        </w:rPr>
        <w:t>客观地了解泡菜</w:t>
      </w:r>
      <w:r>
        <w:rPr>
          <w:rFonts w:hint="eastAsia" w:ascii="Times New Roman" w:hAnsi="Times New Roman" w:eastAsia="宋体" w:cs="Times New Roman"/>
        </w:rPr>
        <w:t>工业</w:t>
      </w:r>
      <w:r>
        <w:rPr>
          <w:rFonts w:ascii="Times New Roman" w:hAnsi="Times New Roman" w:eastAsia="宋体" w:cs="Times New Roman"/>
        </w:rPr>
        <w:t>企业的污染</w:t>
      </w:r>
      <w:r>
        <w:rPr>
          <w:rFonts w:hint="eastAsia" w:ascii="Times New Roman" w:hAnsi="Times New Roman" w:eastAsia="宋体" w:cs="Times New Roman"/>
        </w:rPr>
        <w:t>治理</w:t>
      </w:r>
      <w:r>
        <w:rPr>
          <w:rFonts w:ascii="Times New Roman" w:hAnsi="Times New Roman" w:eastAsia="宋体" w:cs="Times New Roman"/>
        </w:rPr>
        <w:t>与排放情况，标准编制组</w:t>
      </w:r>
      <w:r>
        <w:rPr>
          <w:rFonts w:hint="eastAsia" w:ascii="Times New Roman" w:hAnsi="Times New Roman" w:eastAsia="宋体" w:cs="Times New Roman"/>
        </w:rPr>
        <w:t>对</w:t>
      </w:r>
      <w:r>
        <w:rPr>
          <w:rFonts w:ascii="Times New Roman" w:hAnsi="Times New Roman" w:eastAsia="宋体" w:cs="Times New Roman"/>
        </w:rPr>
        <w:t>省内</w:t>
      </w:r>
      <w:r>
        <w:rPr>
          <w:rFonts w:hint="eastAsia" w:ascii="Times New Roman" w:hAnsi="Times New Roman" w:eastAsia="宋体" w:cs="Times New Roman"/>
        </w:rPr>
        <w:t>重点</w:t>
      </w:r>
      <w:r>
        <w:rPr>
          <w:rFonts w:ascii="Times New Roman" w:hAnsi="Times New Roman" w:eastAsia="宋体" w:cs="Times New Roman"/>
        </w:rPr>
        <w:t>泡菜</w:t>
      </w:r>
      <w:r>
        <w:rPr>
          <w:rFonts w:hint="eastAsia" w:ascii="Times New Roman" w:hAnsi="Times New Roman" w:eastAsia="宋体" w:cs="Times New Roman"/>
        </w:rPr>
        <w:t>工业</w:t>
      </w:r>
      <w:r>
        <w:rPr>
          <w:rFonts w:ascii="Times New Roman" w:hAnsi="Times New Roman" w:eastAsia="宋体" w:cs="Times New Roman"/>
        </w:rPr>
        <w:t>企业开展了深入调研。收集</w:t>
      </w:r>
      <w:r>
        <w:rPr>
          <w:rFonts w:hint="eastAsia" w:ascii="Times New Roman" w:hAnsi="Times New Roman" w:eastAsia="宋体" w:cs="Times New Roman"/>
        </w:rPr>
        <w:t>了</w:t>
      </w:r>
      <w:r>
        <w:rPr>
          <w:rFonts w:ascii="Times New Roman" w:hAnsi="Times New Roman" w:eastAsia="宋体" w:cs="Times New Roman"/>
        </w:rPr>
        <w:t>国省控重点</w:t>
      </w:r>
      <w:r>
        <w:rPr>
          <w:rFonts w:hint="eastAsia" w:ascii="Times New Roman" w:hAnsi="Times New Roman" w:eastAsia="宋体" w:cs="Times New Roman"/>
        </w:rPr>
        <w:t>源中</w:t>
      </w:r>
      <w:r>
        <w:rPr>
          <w:rFonts w:ascii="Times New Roman" w:hAnsi="Times New Roman" w:eastAsia="宋体" w:cs="Times New Roman"/>
        </w:rPr>
        <w:t>泡菜</w:t>
      </w:r>
      <w:r>
        <w:rPr>
          <w:rFonts w:hint="eastAsia" w:ascii="Times New Roman" w:hAnsi="Times New Roman" w:eastAsia="宋体" w:cs="Times New Roman"/>
        </w:rPr>
        <w:t>工业</w:t>
      </w:r>
      <w:r>
        <w:rPr>
          <w:rFonts w:ascii="Times New Roman" w:hAnsi="Times New Roman" w:eastAsia="宋体" w:cs="Times New Roman"/>
        </w:rPr>
        <w:t>企业2017-2019</w:t>
      </w:r>
      <w:r>
        <w:rPr>
          <w:rFonts w:hint="eastAsia" w:ascii="Times New Roman" w:hAnsi="Times New Roman" w:eastAsia="宋体" w:cs="Times New Roman"/>
        </w:rPr>
        <w:t>年</w:t>
      </w:r>
      <w:r>
        <w:rPr>
          <w:rFonts w:ascii="Times New Roman" w:hAnsi="Times New Roman" w:eastAsia="宋体" w:cs="Times New Roman"/>
        </w:rPr>
        <w:t>的监督性监测数据</w:t>
      </w:r>
      <w:r>
        <w:rPr>
          <w:rFonts w:hint="eastAsia" w:ascii="Times New Roman" w:hAnsi="Times New Roman" w:eastAsia="宋体" w:cs="Times New Roman"/>
        </w:rPr>
        <w:t>和</w:t>
      </w:r>
      <w:r>
        <w:rPr>
          <w:rFonts w:ascii="Times New Roman" w:hAnsi="Times New Roman" w:eastAsia="宋体" w:cs="Times New Roman"/>
        </w:rPr>
        <w:t>在线监测数据</w:t>
      </w:r>
      <w:r>
        <w:rPr>
          <w:rFonts w:hint="eastAsia" w:ascii="Times New Roman" w:hAnsi="Times New Roman" w:eastAsia="宋体" w:cs="Times New Roman"/>
        </w:rPr>
        <w:t>；组织</w:t>
      </w:r>
      <w:r>
        <w:rPr>
          <w:rFonts w:ascii="Times New Roman" w:hAnsi="Times New Roman" w:eastAsia="宋体" w:cs="Times New Roman"/>
        </w:rPr>
        <w:t>省内</w:t>
      </w:r>
      <w:r>
        <w:rPr>
          <w:rFonts w:hint="eastAsia" w:ascii="Times New Roman" w:hAnsi="Times New Roman" w:eastAsia="宋体" w:cs="Times New Roman"/>
        </w:rPr>
        <w:t>主要</w:t>
      </w:r>
      <w:r>
        <w:rPr>
          <w:rFonts w:ascii="Times New Roman" w:hAnsi="Times New Roman" w:eastAsia="宋体" w:cs="Times New Roman"/>
        </w:rPr>
        <w:t>的</w:t>
      </w:r>
      <w:r>
        <w:rPr>
          <w:rFonts w:hint="eastAsia" w:ascii="Times New Roman" w:hAnsi="Times New Roman" w:eastAsia="宋体" w:cs="Times New Roman"/>
        </w:rPr>
        <w:t>泡菜</w:t>
      </w:r>
      <w:r>
        <w:rPr>
          <w:rFonts w:ascii="Times New Roman" w:hAnsi="Times New Roman" w:eastAsia="宋体" w:cs="Times New Roman"/>
        </w:rPr>
        <w:t>生产加工地区</w:t>
      </w:r>
      <w:r>
        <w:rPr>
          <w:rFonts w:hint="eastAsia" w:ascii="Times New Roman" w:hAnsi="Times New Roman" w:eastAsia="宋体" w:cs="Times New Roman"/>
        </w:rPr>
        <w:t>成都</w:t>
      </w:r>
      <w:r>
        <w:rPr>
          <w:rFonts w:ascii="Times New Roman" w:hAnsi="Times New Roman" w:eastAsia="宋体" w:cs="Times New Roman"/>
        </w:rPr>
        <w:t>、眉山、宜宾和自贡</w:t>
      </w:r>
      <w:r>
        <w:rPr>
          <w:rFonts w:hint="eastAsia" w:ascii="Times New Roman" w:hAnsi="Times New Roman" w:eastAsia="宋体" w:cs="Times New Roman"/>
        </w:rPr>
        <w:t>的</w:t>
      </w:r>
      <w:r>
        <w:rPr>
          <w:rFonts w:ascii="Times New Roman" w:hAnsi="Times New Roman" w:eastAsia="宋体" w:cs="Times New Roman"/>
        </w:rPr>
        <w:t>相关企业和园区填报标准制定问卷调查表</w:t>
      </w:r>
      <w:r>
        <w:rPr>
          <w:rFonts w:hint="eastAsia" w:ascii="Times New Roman" w:hAnsi="Times New Roman" w:eastAsia="宋体" w:cs="Times New Roman"/>
        </w:rPr>
        <w:t>，</w:t>
      </w:r>
      <w:r>
        <w:rPr>
          <w:rFonts w:ascii="Times New Roman" w:hAnsi="Times New Roman" w:eastAsia="宋体" w:cs="Times New Roman"/>
        </w:rPr>
        <w:t>收集企业水污染</w:t>
      </w:r>
      <w:r>
        <w:rPr>
          <w:rFonts w:hint="eastAsia" w:ascii="Times New Roman" w:hAnsi="Times New Roman" w:eastAsia="宋体" w:cs="Times New Roman"/>
        </w:rPr>
        <w:t>防治</w:t>
      </w:r>
      <w:r>
        <w:rPr>
          <w:rFonts w:ascii="Times New Roman" w:hAnsi="Times New Roman" w:eastAsia="宋体" w:cs="Times New Roman"/>
        </w:rPr>
        <w:t>工作基本情况和废水排放数据</w:t>
      </w:r>
      <w:r>
        <w:rPr>
          <w:rFonts w:hint="eastAsia" w:ascii="Times New Roman" w:hAnsi="Times New Roman" w:eastAsia="宋体" w:cs="Times New Roman"/>
        </w:rPr>
        <w:t>；对</w:t>
      </w:r>
      <w:r>
        <w:rPr>
          <w:rFonts w:ascii="Times New Roman" w:hAnsi="Times New Roman" w:eastAsia="宋体" w:cs="Times New Roman"/>
        </w:rPr>
        <w:t>四川省2</w:t>
      </w:r>
      <w:r>
        <w:rPr>
          <w:rFonts w:hint="eastAsia" w:ascii="Times New Roman" w:hAnsi="Times New Roman" w:eastAsia="宋体" w:cs="Times New Roman"/>
        </w:rPr>
        <w:t>0余家覆盖各类</w:t>
      </w:r>
      <w:r>
        <w:rPr>
          <w:rFonts w:ascii="Times New Roman" w:hAnsi="Times New Roman" w:eastAsia="宋体" w:cs="Times New Roman"/>
        </w:rPr>
        <w:t>生产工艺、规模</w:t>
      </w:r>
      <w:r>
        <w:rPr>
          <w:rFonts w:hint="eastAsia" w:ascii="Times New Roman" w:hAnsi="Times New Roman" w:eastAsia="宋体" w:cs="Times New Roman"/>
        </w:rPr>
        <w:t>大小</w:t>
      </w:r>
      <w:r>
        <w:rPr>
          <w:rFonts w:ascii="Times New Roman" w:hAnsi="Times New Roman" w:eastAsia="宋体" w:cs="Times New Roman"/>
        </w:rPr>
        <w:t>的典型代表企业</w:t>
      </w:r>
      <w:r>
        <w:rPr>
          <w:rFonts w:hint="eastAsia" w:ascii="Times New Roman" w:hAnsi="Times New Roman" w:eastAsia="宋体" w:cs="Times New Roman"/>
        </w:rPr>
        <w:t>进行</w:t>
      </w:r>
      <w:r>
        <w:rPr>
          <w:rFonts w:ascii="Times New Roman" w:hAnsi="Times New Roman" w:eastAsia="宋体" w:cs="Times New Roman"/>
        </w:rPr>
        <w:t>了</w:t>
      </w:r>
      <w:r>
        <w:rPr>
          <w:rFonts w:hint="eastAsia" w:ascii="Times New Roman" w:hAnsi="Times New Roman" w:eastAsia="宋体" w:cs="Times New Roman"/>
        </w:rPr>
        <w:t>废水</w:t>
      </w:r>
      <w:r>
        <w:rPr>
          <w:rFonts w:ascii="Times New Roman" w:hAnsi="Times New Roman" w:eastAsia="宋体" w:cs="Times New Roman"/>
        </w:rPr>
        <w:t>中</w:t>
      </w:r>
      <w:r>
        <w:rPr>
          <w:rFonts w:hint="eastAsia" w:ascii="Times New Roman" w:hAnsi="Times New Roman" w:eastAsia="宋体" w:cs="Times New Roman"/>
        </w:rPr>
        <w:t>COD</w:t>
      </w:r>
      <w:r>
        <w:rPr>
          <w:rFonts w:hint="eastAsia" w:ascii="Times New Roman" w:hAnsi="Times New Roman" w:eastAsia="宋体" w:cs="Times New Roman"/>
          <w:vertAlign w:val="subscript"/>
        </w:rPr>
        <w:t>Cr</w:t>
      </w:r>
      <w:r>
        <w:rPr>
          <w:rFonts w:hint="eastAsia" w:ascii="Times New Roman" w:hAnsi="Times New Roman" w:eastAsia="宋体" w:cs="Times New Roman"/>
        </w:rPr>
        <w:t>、BOD</w:t>
      </w:r>
      <w:r>
        <w:rPr>
          <w:rFonts w:hint="eastAsia" w:ascii="Times New Roman" w:hAnsi="Times New Roman" w:eastAsia="宋体" w:cs="Times New Roman"/>
          <w:vertAlign w:val="subscript"/>
        </w:rPr>
        <w:t>5</w:t>
      </w:r>
      <w:r>
        <w:rPr>
          <w:rFonts w:hint="eastAsia" w:ascii="Times New Roman" w:hAnsi="Times New Roman" w:eastAsia="宋体" w:cs="Times New Roman"/>
        </w:rPr>
        <w:t>、</w:t>
      </w:r>
      <w:r>
        <w:rPr>
          <w:rFonts w:ascii="Times New Roman" w:hAnsi="Times New Roman" w:eastAsia="宋体" w:cs="Times New Roman"/>
        </w:rPr>
        <w:t>氨氮、</w:t>
      </w:r>
      <w:r>
        <w:rPr>
          <w:rFonts w:hint="eastAsia" w:ascii="Times New Roman" w:hAnsi="Times New Roman" w:eastAsia="宋体" w:cs="Times New Roman"/>
        </w:rPr>
        <w:t>总氮</w:t>
      </w:r>
      <w:r>
        <w:rPr>
          <w:rFonts w:ascii="Times New Roman" w:hAnsi="Times New Roman" w:eastAsia="宋体" w:cs="Times New Roman"/>
        </w:rPr>
        <w:t>、总磷、氯化物等指标进行了</w:t>
      </w:r>
      <w:r>
        <w:rPr>
          <w:rFonts w:hint="eastAsia" w:ascii="Times New Roman" w:hAnsi="Times New Roman" w:eastAsia="宋体" w:cs="Times New Roman"/>
        </w:rPr>
        <w:t>200余个指标样品</w:t>
      </w:r>
      <w:r>
        <w:rPr>
          <w:rFonts w:ascii="Times New Roman" w:hAnsi="Times New Roman" w:eastAsia="宋体" w:cs="Times New Roman"/>
        </w:rPr>
        <w:t>的采样分析</w:t>
      </w:r>
      <w:r>
        <w:rPr>
          <w:rFonts w:hint="eastAsia" w:ascii="Times New Roman" w:hAnsi="Times New Roman" w:eastAsia="宋体" w:cs="Times New Roman"/>
        </w:rPr>
        <w:t>；并在</w:t>
      </w:r>
      <w:r>
        <w:rPr>
          <w:rFonts w:ascii="Times New Roman" w:hAnsi="Times New Roman" w:eastAsia="宋体" w:cs="Times New Roman"/>
        </w:rPr>
        <w:t>四川省</w:t>
      </w:r>
      <w:r>
        <w:rPr>
          <w:rFonts w:hint="eastAsia" w:ascii="Times New Roman" w:hAnsi="Times New Roman" w:eastAsia="宋体" w:cs="Times New Roman"/>
        </w:rPr>
        <w:t>生态</w:t>
      </w:r>
      <w:r>
        <w:rPr>
          <w:rFonts w:ascii="Times New Roman" w:hAnsi="Times New Roman" w:eastAsia="宋体" w:cs="Times New Roman"/>
        </w:rPr>
        <w:t>环境厅的支持下，</w:t>
      </w:r>
      <w:r>
        <w:rPr>
          <w:rFonts w:hint="eastAsia" w:ascii="Times New Roman" w:hAnsi="Times New Roman" w:eastAsia="宋体" w:cs="Times New Roman"/>
        </w:rPr>
        <w:t>自2018年</w:t>
      </w:r>
      <w:r>
        <w:rPr>
          <w:rFonts w:ascii="Times New Roman" w:hAnsi="Times New Roman" w:eastAsia="宋体" w:cs="Times New Roman"/>
        </w:rPr>
        <w:t>起至今对四川省</w:t>
      </w:r>
      <w:r>
        <w:rPr>
          <w:rFonts w:hint="eastAsia" w:ascii="Times New Roman" w:hAnsi="Times New Roman" w:eastAsia="宋体" w:cs="Times New Roman"/>
        </w:rPr>
        <w:t>主要</w:t>
      </w:r>
      <w:r>
        <w:rPr>
          <w:rFonts w:ascii="Times New Roman" w:hAnsi="Times New Roman" w:eastAsia="宋体" w:cs="Times New Roman"/>
        </w:rPr>
        <w:t>国省控</w:t>
      </w:r>
      <w:r>
        <w:rPr>
          <w:rFonts w:hint="eastAsia" w:ascii="Times New Roman" w:hAnsi="Times New Roman" w:eastAsia="宋体" w:cs="Times New Roman"/>
        </w:rPr>
        <w:t>及重点</w:t>
      </w:r>
      <w:r>
        <w:rPr>
          <w:rFonts w:ascii="Times New Roman" w:hAnsi="Times New Roman" w:eastAsia="宋体" w:cs="Times New Roman"/>
        </w:rPr>
        <w:t>监测断面</w:t>
      </w:r>
      <w:r>
        <w:rPr>
          <w:rFonts w:hint="eastAsia" w:ascii="Times New Roman" w:hAnsi="Times New Roman" w:eastAsia="宋体" w:cs="Times New Roman"/>
        </w:rPr>
        <w:t>进行</w:t>
      </w:r>
      <w:r>
        <w:rPr>
          <w:rFonts w:ascii="Times New Roman" w:hAnsi="Times New Roman" w:eastAsia="宋体" w:cs="Times New Roman"/>
        </w:rPr>
        <w:t>了</w:t>
      </w:r>
      <w:r>
        <w:rPr>
          <w:rFonts w:hint="eastAsia" w:ascii="Times New Roman" w:hAnsi="Times New Roman" w:eastAsia="宋体" w:cs="Times New Roman"/>
        </w:rPr>
        <w:t>水体</w:t>
      </w:r>
      <w:r>
        <w:rPr>
          <w:rFonts w:ascii="Times New Roman" w:hAnsi="Times New Roman" w:eastAsia="宋体" w:cs="Times New Roman"/>
        </w:rPr>
        <w:t>中氯化物</w:t>
      </w:r>
      <w:r>
        <w:rPr>
          <w:rFonts w:hint="eastAsia" w:ascii="Times New Roman" w:hAnsi="Times New Roman" w:eastAsia="宋体" w:cs="Times New Roman"/>
        </w:rPr>
        <w:t>浓度</w:t>
      </w:r>
      <w:r>
        <w:rPr>
          <w:rFonts w:ascii="Times New Roman" w:hAnsi="Times New Roman" w:eastAsia="宋体" w:cs="Times New Roman"/>
        </w:rPr>
        <w:t>的监测</w:t>
      </w:r>
      <w:r>
        <w:rPr>
          <w:rFonts w:hint="eastAsia" w:ascii="Times New Roman" w:hAnsi="Times New Roman" w:eastAsia="宋体" w:cs="Times New Roman"/>
        </w:rPr>
        <w:t>；</w:t>
      </w:r>
      <w:r>
        <w:rPr>
          <w:rFonts w:ascii="Times New Roman" w:hAnsi="Times New Roman" w:eastAsia="宋体" w:cs="Times New Roman"/>
        </w:rPr>
        <w:t>对</w:t>
      </w:r>
      <w:r>
        <w:rPr>
          <w:rFonts w:hint="eastAsia" w:ascii="Times New Roman" w:hAnsi="Times New Roman" w:eastAsia="宋体" w:cs="Times New Roman"/>
        </w:rPr>
        <w:t>重庆</w:t>
      </w:r>
      <w:r>
        <w:rPr>
          <w:rFonts w:ascii="Times New Roman" w:hAnsi="Times New Roman" w:eastAsia="宋体" w:cs="Times New Roman"/>
        </w:rPr>
        <w:t>及</w:t>
      </w:r>
      <w:r>
        <w:rPr>
          <w:rFonts w:hint="eastAsia" w:ascii="Times New Roman" w:hAnsi="Times New Roman" w:eastAsia="宋体" w:cs="Times New Roman"/>
        </w:rPr>
        <w:t>省内</w:t>
      </w:r>
      <w:r>
        <w:rPr>
          <w:rFonts w:ascii="Times New Roman" w:hAnsi="Times New Roman" w:eastAsia="宋体" w:cs="Times New Roman"/>
        </w:rPr>
        <w:t>典型的</w:t>
      </w:r>
      <w:r>
        <w:rPr>
          <w:rFonts w:hint="eastAsia" w:ascii="Times New Roman" w:hAnsi="Times New Roman" w:eastAsia="宋体" w:cs="Times New Roman"/>
        </w:rPr>
        <w:t>榨菜</w:t>
      </w:r>
      <w:r>
        <w:rPr>
          <w:rFonts w:ascii="Times New Roman" w:hAnsi="Times New Roman" w:eastAsia="宋体" w:cs="Times New Roman"/>
        </w:rPr>
        <w:t>和泡菜</w:t>
      </w:r>
      <w:r>
        <w:rPr>
          <w:rFonts w:hint="eastAsia" w:ascii="Times New Roman" w:hAnsi="Times New Roman" w:eastAsia="宋体" w:cs="Times New Roman"/>
        </w:rPr>
        <w:t>工业</w:t>
      </w:r>
      <w:r>
        <w:rPr>
          <w:rFonts w:ascii="Times New Roman" w:hAnsi="Times New Roman" w:eastAsia="宋体" w:cs="Times New Roman"/>
        </w:rPr>
        <w:t>企业进行</w:t>
      </w:r>
      <w:r>
        <w:rPr>
          <w:rFonts w:hint="eastAsia" w:ascii="Times New Roman" w:hAnsi="Times New Roman" w:eastAsia="宋体" w:cs="Times New Roman"/>
        </w:rPr>
        <w:t>调研</w:t>
      </w:r>
      <w:r>
        <w:rPr>
          <w:rFonts w:ascii="Times New Roman" w:hAnsi="Times New Roman" w:eastAsia="宋体" w:cs="Times New Roman"/>
        </w:rPr>
        <w:t>。</w:t>
      </w:r>
      <w:r>
        <w:rPr>
          <w:rFonts w:hint="eastAsia" w:ascii="Times New Roman" w:hAnsi="Times New Roman" w:eastAsia="宋体" w:cs="Times New Roman"/>
        </w:rPr>
        <w:t>在此</w:t>
      </w:r>
      <w:r>
        <w:rPr>
          <w:rFonts w:ascii="Times New Roman" w:hAnsi="Times New Roman" w:eastAsia="宋体" w:cs="Times New Roman"/>
        </w:rPr>
        <w:t>基础上，根据实测及调研数据分析</w:t>
      </w:r>
      <w:r>
        <w:rPr>
          <w:rFonts w:hint="eastAsia" w:ascii="Times New Roman" w:hAnsi="Times New Roman" w:eastAsia="宋体" w:cs="Times New Roman"/>
        </w:rPr>
        <w:t>现有</w:t>
      </w:r>
      <w:r>
        <w:rPr>
          <w:rFonts w:ascii="Times New Roman" w:hAnsi="Times New Roman" w:eastAsia="宋体" w:cs="Times New Roman"/>
        </w:rPr>
        <w:t>企业</w:t>
      </w:r>
      <w:r>
        <w:rPr>
          <w:rFonts w:hint="eastAsia" w:ascii="Times New Roman" w:hAnsi="Times New Roman" w:eastAsia="宋体" w:cs="Times New Roman"/>
        </w:rPr>
        <w:t>COD</w:t>
      </w:r>
      <w:r>
        <w:rPr>
          <w:rFonts w:hint="eastAsia" w:ascii="Times New Roman" w:hAnsi="Times New Roman" w:eastAsia="宋体" w:cs="Times New Roman"/>
          <w:vertAlign w:val="subscript"/>
        </w:rPr>
        <w:t>Cr</w:t>
      </w:r>
      <w:r>
        <w:rPr>
          <w:rFonts w:hint="eastAsia" w:ascii="Times New Roman" w:hAnsi="Times New Roman" w:eastAsia="宋体" w:cs="Times New Roman"/>
        </w:rPr>
        <w:t>、BOD</w:t>
      </w:r>
      <w:r>
        <w:rPr>
          <w:rFonts w:hint="eastAsia" w:ascii="Times New Roman" w:hAnsi="Times New Roman" w:eastAsia="宋体" w:cs="Times New Roman"/>
          <w:vertAlign w:val="subscript"/>
        </w:rPr>
        <w:t>5</w:t>
      </w:r>
      <w:r>
        <w:rPr>
          <w:rFonts w:hint="eastAsia" w:ascii="Times New Roman" w:hAnsi="Times New Roman" w:eastAsia="宋体" w:cs="Times New Roman"/>
        </w:rPr>
        <w:t>、</w:t>
      </w:r>
      <w:r>
        <w:rPr>
          <w:rFonts w:ascii="Times New Roman" w:hAnsi="Times New Roman" w:eastAsia="宋体" w:cs="Times New Roman"/>
        </w:rPr>
        <w:t>氨氮、</w:t>
      </w:r>
      <w:r>
        <w:rPr>
          <w:rFonts w:hint="eastAsia" w:ascii="Times New Roman" w:hAnsi="Times New Roman" w:eastAsia="宋体" w:cs="Times New Roman"/>
        </w:rPr>
        <w:t>总氮</w:t>
      </w:r>
      <w:r>
        <w:rPr>
          <w:rFonts w:ascii="Times New Roman" w:hAnsi="Times New Roman" w:eastAsia="宋体" w:cs="Times New Roman"/>
        </w:rPr>
        <w:t>、总磷、氯化物</w:t>
      </w:r>
      <w:r>
        <w:rPr>
          <w:rFonts w:hint="eastAsia" w:ascii="Times New Roman" w:hAnsi="Times New Roman" w:eastAsia="宋体" w:cs="Times New Roman"/>
        </w:rPr>
        <w:t>等</w:t>
      </w:r>
      <w:r>
        <w:rPr>
          <w:rFonts w:ascii="Times New Roman" w:hAnsi="Times New Roman" w:eastAsia="宋体" w:cs="Times New Roman"/>
        </w:rPr>
        <w:t>的排放水平，补充完善相关资料，形成标准主要技术内容。分别</w:t>
      </w:r>
      <w:r>
        <w:rPr>
          <w:rFonts w:hint="eastAsia" w:ascii="Times New Roman" w:hAnsi="Times New Roman" w:eastAsia="宋体" w:cs="Times New Roman"/>
        </w:rPr>
        <w:t>组织</w:t>
      </w:r>
      <w:r>
        <w:rPr>
          <w:rFonts w:ascii="Times New Roman" w:hAnsi="Times New Roman" w:eastAsia="宋体" w:cs="Times New Roman"/>
        </w:rPr>
        <w:t>与泡菜、豆瓣等生产企业和有关专家进行</w:t>
      </w:r>
      <w:r>
        <w:rPr>
          <w:rFonts w:hint="eastAsia" w:ascii="Times New Roman" w:hAnsi="Times New Roman" w:eastAsia="宋体" w:cs="Times New Roman"/>
        </w:rPr>
        <w:t>专题</w:t>
      </w:r>
      <w:r>
        <w:rPr>
          <w:rFonts w:ascii="Times New Roman" w:hAnsi="Times New Roman" w:eastAsia="宋体" w:cs="Times New Roman"/>
        </w:rPr>
        <w:t>研讨，经反复修改</w:t>
      </w:r>
      <w:r>
        <w:rPr>
          <w:rFonts w:hint="eastAsia" w:ascii="Times New Roman" w:hAnsi="Times New Roman" w:eastAsia="宋体" w:cs="Times New Roman"/>
        </w:rPr>
        <w:t>，</w:t>
      </w:r>
      <w:r>
        <w:rPr>
          <w:rFonts w:ascii="Times New Roman" w:hAnsi="Times New Roman" w:eastAsia="宋体" w:cs="Times New Roman"/>
        </w:rPr>
        <w:t>形成标准征求意见稿及编制</w:t>
      </w:r>
      <w:r>
        <w:rPr>
          <w:rFonts w:hint="eastAsia" w:ascii="Times New Roman" w:hAnsi="Times New Roman" w:eastAsia="宋体" w:cs="Times New Roman"/>
        </w:rPr>
        <w:t>说明</w:t>
      </w:r>
      <w:r>
        <w:rPr>
          <w:rFonts w:ascii="Times New Roman" w:hAnsi="Times New Roman" w:eastAsia="宋体" w:cs="Times New Roman"/>
        </w:rPr>
        <w:t>。</w:t>
      </w:r>
    </w:p>
    <w:p>
      <w:pPr>
        <w:spacing w:line="440" w:lineRule="exact"/>
        <w:ind w:firstLine="420" w:firstLineChars="200"/>
        <w:jc w:val="left"/>
        <w:rPr>
          <w:rFonts w:ascii="Times New Roman" w:hAnsi="Times New Roman" w:eastAsia="宋体" w:cs="Times New Roman"/>
        </w:rPr>
      </w:pPr>
      <w:r>
        <w:rPr>
          <w:rFonts w:hint="eastAsia" w:ascii="Times New Roman" w:hAnsi="Times New Roman" w:eastAsia="宋体" w:cs="Times New Roman"/>
        </w:rPr>
        <w:t>（4）征求</w:t>
      </w:r>
      <w:r>
        <w:rPr>
          <w:rFonts w:ascii="Times New Roman" w:hAnsi="Times New Roman" w:eastAsia="宋体" w:cs="Times New Roman"/>
        </w:rPr>
        <w:t>意见稿</w:t>
      </w:r>
      <w:r>
        <w:rPr>
          <w:rFonts w:hint="eastAsia" w:ascii="Times New Roman" w:hAnsi="Times New Roman" w:eastAsia="宋体" w:cs="Times New Roman"/>
        </w:rPr>
        <w:t>技术</w:t>
      </w:r>
      <w:r>
        <w:rPr>
          <w:rFonts w:ascii="Times New Roman" w:hAnsi="Times New Roman" w:eastAsia="宋体" w:cs="Times New Roman"/>
        </w:rPr>
        <w:t>审查</w:t>
      </w:r>
    </w:p>
    <w:p>
      <w:pPr>
        <w:spacing w:line="440" w:lineRule="exact"/>
        <w:ind w:firstLine="420" w:firstLineChars="200"/>
        <w:jc w:val="left"/>
        <w:rPr>
          <w:rFonts w:ascii="Times New Roman" w:hAnsi="Times New Roman" w:eastAsia="宋体" w:cs="Times New Roman"/>
        </w:rPr>
      </w:pPr>
      <w:r>
        <w:rPr>
          <w:rFonts w:hint="eastAsia" w:ascii="Times New Roman" w:hAnsi="Times New Roman" w:eastAsia="宋体" w:cs="Times New Roman"/>
        </w:rPr>
        <w:t>2021年</w:t>
      </w:r>
      <w:r>
        <w:rPr>
          <w:rFonts w:ascii="Times New Roman" w:hAnsi="Times New Roman" w:eastAsia="宋体" w:cs="Times New Roman"/>
        </w:rPr>
        <w:t>6</w:t>
      </w:r>
      <w:r>
        <w:rPr>
          <w:rFonts w:hint="eastAsia" w:ascii="Times New Roman" w:hAnsi="Times New Roman" w:eastAsia="宋体" w:cs="Times New Roman"/>
        </w:rPr>
        <w:t>月</w:t>
      </w:r>
      <w:r>
        <w:rPr>
          <w:rFonts w:ascii="Times New Roman" w:hAnsi="Times New Roman" w:eastAsia="宋体" w:cs="Times New Roman"/>
        </w:rPr>
        <w:t>15</w:t>
      </w:r>
      <w:r>
        <w:rPr>
          <w:rFonts w:hint="eastAsia" w:ascii="Times New Roman" w:hAnsi="Times New Roman" w:eastAsia="宋体" w:cs="Times New Roman"/>
        </w:rPr>
        <w:t>日，四川省市场监督管理局</w:t>
      </w:r>
      <w:r>
        <w:rPr>
          <w:rFonts w:hint="eastAsia" w:ascii="Times New Roman" w:hAnsi="Times New Roman" w:eastAsia="宋体" w:cs="Times New Roman"/>
          <w:lang w:eastAsia="zh-CN"/>
        </w:rPr>
        <w:t>会</w:t>
      </w:r>
      <w:r>
        <w:rPr>
          <w:rFonts w:hint="eastAsia" w:ascii="Times New Roman" w:hAnsi="Times New Roman" w:eastAsia="宋体" w:cs="Times New Roman"/>
        </w:rPr>
        <w:t>同生态环境厅召开标准技术审查会，眉山“中国泡菜城”管委会和相关泡菜工业企业代表，从事污水处理、环境影响评价、环境标准等方面研究的专家，以及管理部门的代表参加会议。</w:t>
      </w:r>
      <w:r>
        <w:rPr>
          <w:rFonts w:hint="eastAsia" w:ascii="Times New Roman" w:hAnsi="Times New Roman" w:eastAsia="宋体" w:cs="Times New Roman"/>
          <w:lang w:eastAsia="zh-CN"/>
        </w:rPr>
        <w:t>会上，来自四川大学等单位的</w:t>
      </w:r>
      <w:r>
        <w:rPr>
          <w:rFonts w:hint="eastAsia" w:ascii="Times New Roman" w:hAnsi="Times New Roman" w:eastAsia="宋体" w:cs="Times New Roman"/>
          <w:lang w:val="en-US" w:eastAsia="zh-CN"/>
        </w:rPr>
        <w:t>9名专家成立</w:t>
      </w:r>
      <w:r>
        <w:rPr>
          <w:rFonts w:hint="eastAsia" w:ascii="Times New Roman" w:hAnsi="Times New Roman" w:eastAsia="宋体" w:cs="Times New Roman"/>
          <w:lang w:eastAsia="zh-CN"/>
        </w:rPr>
        <w:t>专家组，</w:t>
      </w:r>
      <w:r>
        <w:rPr>
          <w:rFonts w:hint="eastAsia" w:ascii="Times New Roman" w:hAnsi="Times New Roman" w:eastAsia="宋体" w:cs="Times New Roman"/>
        </w:rPr>
        <w:t>与会专家一致同意</w:t>
      </w:r>
      <w:r>
        <w:rPr>
          <w:rFonts w:hint="eastAsia" w:ascii="Times New Roman" w:hAnsi="Times New Roman" w:eastAsia="宋体" w:cs="Times New Roman"/>
          <w:lang w:eastAsia="zh-CN"/>
        </w:rPr>
        <w:t>标准</w:t>
      </w:r>
      <w:r>
        <w:rPr>
          <w:rFonts w:hint="eastAsia" w:ascii="Times New Roman" w:hAnsi="Times New Roman" w:eastAsia="宋体" w:cs="Times New Roman"/>
        </w:rPr>
        <w:t>通过技术审查，并提出尽快编制标准实施工作方案和污染防治技术指南的建议。会后，编制组</w:t>
      </w:r>
      <w:r>
        <w:rPr>
          <w:rFonts w:hint="eastAsia" w:ascii="Times New Roman" w:hAnsi="Times New Roman" w:eastAsia="宋体" w:cs="Times New Roman"/>
          <w:lang w:eastAsia="zh-CN"/>
        </w:rPr>
        <w:t>根据专家意见，对标准进一步修改完善。</w:t>
      </w:r>
    </w:p>
    <w:p>
      <w:pPr>
        <w:keepNext/>
        <w:keepLines/>
        <w:spacing w:before="240" w:after="240" w:line="578" w:lineRule="auto"/>
        <w:jc w:val="left"/>
        <w:outlineLvl w:val="0"/>
        <w:rPr>
          <w:rFonts w:ascii="Times New Roman" w:hAnsi="Times New Roman" w:eastAsia="宋体" w:cs="Times New Roman"/>
          <w:b/>
          <w:bCs/>
          <w:kern w:val="44"/>
          <w:sz w:val="32"/>
          <w:szCs w:val="44"/>
        </w:rPr>
      </w:pPr>
      <w:bookmarkStart w:id="3" w:name="_Toc76386081"/>
      <w:r>
        <w:rPr>
          <w:rFonts w:hint="eastAsia" w:ascii="Times New Roman" w:hAnsi="Times New Roman" w:eastAsia="宋体" w:cs="Times New Roman"/>
          <w:b/>
          <w:bCs/>
          <w:kern w:val="44"/>
          <w:sz w:val="32"/>
          <w:szCs w:val="44"/>
        </w:rPr>
        <w:t>2行业概况</w:t>
      </w:r>
      <w:bookmarkEnd w:id="3"/>
    </w:p>
    <w:p>
      <w:pPr>
        <w:keepNext/>
        <w:keepLines/>
        <w:spacing w:before="120" w:after="120" w:line="415" w:lineRule="auto"/>
        <w:jc w:val="left"/>
        <w:outlineLvl w:val="1"/>
        <w:rPr>
          <w:rFonts w:ascii="Times New Roman" w:hAnsi="Times New Roman" w:eastAsia="宋体" w:cs="Times New Roman"/>
          <w:b/>
          <w:bCs/>
          <w:sz w:val="30"/>
          <w:szCs w:val="32"/>
        </w:rPr>
      </w:pPr>
      <w:bookmarkStart w:id="4" w:name="_Toc76386082"/>
      <w:r>
        <w:rPr>
          <w:rFonts w:hint="eastAsia" w:ascii="Times New Roman" w:hAnsi="Times New Roman" w:eastAsia="宋体" w:cs="Times New Roman"/>
          <w:b/>
          <w:bCs/>
          <w:sz w:val="30"/>
          <w:szCs w:val="32"/>
        </w:rPr>
        <w:t>2.1 产业规模</w:t>
      </w:r>
      <w:bookmarkEnd w:id="4"/>
    </w:p>
    <w:p>
      <w:pPr>
        <w:spacing w:line="440" w:lineRule="exact"/>
        <w:ind w:firstLine="420" w:firstLineChars="200"/>
        <w:jc w:val="left"/>
        <w:rPr>
          <w:rFonts w:ascii="Times New Roman" w:hAnsi="Times New Roman" w:eastAsia="宋体" w:cs="Times New Roman"/>
          <w:szCs w:val="22"/>
        </w:rPr>
      </w:pPr>
      <w:r>
        <w:rPr>
          <w:rFonts w:ascii="宋体" w:hAnsi="宋体" w:eastAsia="宋体" w:cs="Times New Roman"/>
          <w:szCs w:val="22"/>
        </w:rPr>
        <w:t>“</w:t>
      </w:r>
      <w:r>
        <w:rPr>
          <w:rFonts w:ascii="Times New Roman" w:hAnsi="Times New Roman" w:eastAsia="宋体" w:cs="Times New Roman"/>
          <w:szCs w:val="22"/>
        </w:rPr>
        <w:t>世界泡菜看中国，中国泡菜看四川</w:t>
      </w:r>
      <w:r>
        <w:rPr>
          <w:rFonts w:ascii="宋体" w:hAnsi="宋体" w:eastAsia="宋体" w:cs="Times New Roman"/>
          <w:szCs w:val="22"/>
        </w:rPr>
        <w:t>”</w:t>
      </w:r>
      <w:r>
        <w:rPr>
          <w:rFonts w:hint="eastAsia" w:ascii="Times New Roman" w:hAnsi="Times New Roman" w:eastAsia="宋体" w:cs="Times New Roman"/>
          <w:szCs w:val="22"/>
        </w:rPr>
        <w:t>。</w:t>
      </w:r>
      <w:r>
        <w:rPr>
          <w:rFonts w:ascii="Times New Roman" w:hAnsi="Times New Roman" w:eastAsia="宋体" w:cs="Times New Roman"/>
          <w:szCs w:val="22"/>
        </w:rPr>
        <w:t>四川泡菜作为中国泡菜的典型代表，</w:t>
      </w:r>
      <w:r>
        <w:rPr>
          <w:rFonts w:hint="eastAsia" w:ascii="Times New Roman" w:hAnsi="Times New Roman" w:eastAsia="宋体" w:cs="Times New Roman"/>
          <w:szCs w:val="22"/>
        </w:rPr>
        <w:t>受到政府的重点扶持和培育，从而成为四川省部分区域的</w:t>
      </w:r>
      <w:r>
        <w:rPr>
          <w:rFonts w:ascii="Times New Roman" w:hAnsi="Times New Roman" w:eastAsia="宋体" w:cs="Times New Roman"/>
          <w:szCs w:val="22"/>
        </w:rPr>
        <w:t>农村支柱产业和特色优势产业</w:t>
      </w:r>
      <w:r>
        <w:rPr>
          <w:rFonts w:hint="eastAsia" w:ascii="Times New Roman" w:hAnsi="Times New Roman" w:eastAsia="宋体" w:cs="Times New Roman"/>
          <w:szCs w:val="22"/>
        </w:rPr>
        <w:t>，如眉山市东坡区、成都市郫县和新都区等。经过近十余年的工业化发展，</w:t>
      </w:r>
      <w:r>
        <w:rPr>
          <w:rFonts w:ascii="Times New Roman" w:hAnsi="Times New Roman" w:eastAsia="宋体" w:cs="Times New Roman"/>
          <w:szCs w:val="22"/>
        </w:rPr>
        <w:t>四川泡菜</w:t>
      </w:r>
      <w:r>
        <w:rPr>
          <w:rFonts w:hint="eastAsia" w:ascii="Times New Roman" w:hAnsi="Times New Roman" w:eastAsia="宋体" w:cs="Times New Roman"/>
          <w:szCs w:val="22"/>
        </w:rPr>
        <w:t>产业规模逐渐增大，并逐渐涌现出一批大中型企业。根据本项目组统计，目前全省涉及泡菜、豆瓣等泡菜工业企业约</w:t>
      </w:r>
      <w:r>
        <w:rPr>
          <w:rFonts w:ascii="Times New Roman" w:hAnsi="Times New Roman" w:eastAsia="宋体" w:cs="Times New Roman"/>
          <w:szCs w:val="22"/>
        </w:rPr>
        <w:t>167家</w:t>
      </w:r>
      <w:r>
        <w:rPr>
          <w:rFonts w:hint="eastAsia" w:ascii="Times New Roman" w:hAnsi="Times New Roman" w:eastAsia="宋体" w:cs="Times New Roman"/>
          <w:szCs w:val="22"/>
        </w:rPr>
        <w:t>，按照《国民经济行业分类》（</w:t>
      </w:r>
      <w:r>
        <w:rPr>
          <w:rFonts w:ascii="Times New Roman" w:hAnsi="Times New Roman" w:eastAsia="宋体" w:cs="Times New Roman"/>
          <w:szCs w:val="22"/>
        </w:rPr>
        <w:t>GB/T 4754—2017</w:t>
      </w:r>
      <w:r>
        <w:rPr>
          <w:rFonts w:hint="eastAsia" w:ascii="Times New Roman" w:hAnsi="Times New Roman" w:eastAsia="宋体" w:cs="Times New Roman"/>
          <w:szCs w:val="22"/>
        </w:rPr>
        <w:t>），这些企业主要以蔬菜加工（</w:t>
      </w:r>
      <w:r>
        <w:rPr>
          <w:rFonts w:ascii="Times New Roman" w:hAnsi="Times New Roman" w:eastAsia="宋体" w:cs="Times New Roman"/>
          <w:szCs w:val="22"/>
        </w:rPr>
        <w:t>1371</w:t>
      </w:r>
      <w:r>
        <w:rPr>
          <w:rFonts w:hint="eastAsia" w:ascii="Times New Roman" w:hAnsi="Times New Roman" w:eastAsia="宋体" w:cs="Times New Roman"/>
          <w:szCs w:val="22"/>
        </w:rPr>
        <w:t>）、豆制品制造（1392）、其他未明农副食品加工（1399）和其他调味品和发酵制品制造（</w:t>
      </w:r>
      <w:r>
        <w:rPr>
          <w:rFonts w:ascii="Times New Roman" w:hAnsi="Times New Roman" w:eastAsia="宋体" w:cs="Times New Roman"/>
          <w:szCs w:val="22"/>
        </w:rPr>
        <w:t>1469</w:t>
      </w:r>
      <w:r>
        <w:rPr>
          <w:rFonts w:hint="eastAsia" w:ascii="Times New Roman" w:hAnsi="Times New Roman" w:eastAsia="宋体" w:cs="Times New Roman"/>
          <w:szCs w:val="22"/>
        </w:rPr>
        <w:t>）等行业类型为主。工业总产值约49</w:t>
      </w:r>
      <w:r>
        <w:rPr>
          <w:rFonts w:ascii="Times New Roman" w:hAnsi="Times New Roman" w:eastAsia="宋体" w:cs="Times New Roman"/>
          <w:szCs w:val="22"/>
        </w:rPr>
        <w:t>亿元，其中产值上亿元的泡菜</w:t>
      </w:r>
      <w:r>
        <w:rPr>
          <w:rFonts w:hint="eastAsia" w:ascii="Times New Roman" w:hAnsi="Times New Roman" w:eastAsia="宋体" w:cs="Times New Roman"/>
          <w:szCs w:val="22"/>
        </w:rPr>
        <w:t>工业</w:t>
      </w:r>
      <w:r>
        <w:rPr>
          <w:rFonts w:ascii="Times New Roman" w:hAnsi="Times New Roman" w:eastAsia="宋体" w:cs="Times New Roman"/>
          <w:szCs w:val="22"/>
        </w:rPr>
        <w:t>企业</w:t>
      </w:r>
      <w:r>
        <w:rPr>
          <w:rFonts w:hint="eastAsia" w:ascii="Times New Roman" w:hAnsi="Times New Roman" w:eastAsia="宋体" w:cs="Times New Roman"/>
          <w:szCs w:val="22"/>
        </w:rPr>
        <w:t>有</w:t>
      </w:r>
      <w:r>
        <w:rPr>
          <w:rFonts w:ascii="Times New Roman" w:hAnsi="Times New Roman" w:eastAsia="宋体" w:cs="Times New Roman"/>
          <w:szCs w:val="22"/>
        </w:rPr>
        <w:t>10家</w:t>
      </w:r>
      <w:r>
        <w:rPr>
          <w:rFonts w:hint="eastAsia" w:ascii="Times New Roman" w:hAnsi="Times New Roman" w:eastAsia="宋体" w:cs="Times New Roman"/>
          <w:szCs w:val="22"/>
        </w:rPr>
        <w:t>，占工业</w:t>
      </w:r>
      <w:r>
        <w:rPr>
          <w:rFonts w:ascii="Times New Roman" w:hAnsi="Times New Roman" w:eastAsia="宋体" w:cs="Times New Roman"/>
          <w:szCs w:val="22"/>
        </w:rPr>
        <w:t>总产值</w:t>
      </w:r>
      <w:r>
        <w:rPr>
          <w:rFonts w:hint="eastAsia" w:ascii="Times New Roman" w:hAnsi="Times New Roman" w:eastAsia="宋体" w:cs="Times New Roman"/>
          <w:szCs w:val="22"/>
        </w:rPr>
        <w:t>的63.52%。工业产值上亿企业名单如表2</w:t>
      </w:r>
      <w:r>
        <w:rPr>
          <w:rFonts w:ascii="Times New Roman" w:hAnsi="Times New Roman" w:eastAsia="宋体" w:cs="Times New Roman"/>
          <w:szCs w:val="22"/>
        </w:rPr>
        <w:t>-1</w:t>
      </w:r>
      <w:r>
        <w:rPr>
          <w:rFonts w:hint="eastAsia" w:ascii="Times New Roman" w:hAnsi="Times New Roman" w:eastAsia="宋体" w:cs="Times New Roman"/>
          <w:szCs w:val="22"/>
        </w:rPr>
        <w:t>所示。</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根据我国中小企业划型标准规定，工业企业</w:t>
      </w:r>
      <w:r>
        <w:rPr>
          <w:rFonts w:hint="eastAsia" w:ascii="Times New Roman" w:hAnsi="Times New Roman" w:eastAsia="宋体" w:cs="Times New Roman"/>
          <w:szCs w:val="22"/>
          <w:shd w:val="clear" w:color="auto" w:fill="FFFFFF"/>
        </w:rPr>
        <w:t>从业人员1000人以下或营业收入40000万元以下的为中小微型企业。其中，从业人员300人及以上，且营业收入2000万元及以上的为中型企业；从业人员20人及以上，且营业收入300万元及以上的为小型企业；从业人员20人以下或营业收入300万元以下的为微型企业。项目组以统计的企业产值，将我省泡菜工业企业划分成大中小微型企业</w:t>
      </w:r>
      <w:r>
        <w:rPr>
          <w:rFonts w:hint="eastAsia" w:ascii="Times New Roman" w:hAnsi="Times New Roman" w:eastAsia="宋体" w:cs="Times New Roman"/>
          <w:szCs w:val="22"/>
          <w:shd w:val="clear" w:color="auto" w:fill="FFFFFF"/>
          <w:lang w:eastAsia="zh-CN"/>
        </w:rPr>
        <w:t>（</w:t>
      </w:r>
      <w:r>
        <w:rPr>
          <w:rFonts w:hint="eastAsia" w:ascii="Times New Roman" w:hAnsi="Times New Roman" w:eastAsia="宋体" w:cs="Times New Roman"/>
          <w:szCs w:val="22"/>
          <w:shd w:val="clear" w:color="auto" w:fill="FFFFFF"/>
        </w:rPr>
        <w:t>如图2</w:t>
      </w:r>
      <w:r>
        <w:rPr>
          <w:rFonts w:ascii="Times New Roman" w:hAnsi="Times New Roman" w:eastAsia="宋体" w:cs="Times New Roman"/>
          <w:szCs w:val="22"/>
          <w:shd w:val="clear" w:color="auto" w:fill="FFFFFF"/>
        </w:rPr>
        <w:t>-1</w:t>
      </w:r>
      <w:r>
        <w:rPr>
          <w:rFonts w:hint="eastAsia" w:ascii="Times New Roman" w:hAnsi="Times New Roman" w:eastAsia="宋体" w:cs="Times New Roman"/>
          <w:szCs w:val="22"/>
          <w:shd w:val="clear" w:color="auto" w:fill="FFFFFF"/>
        </w:rPr>
        <w:t>所示</w:t>
      </w:r>
      <w:r>
        <w:rPr>
          <w:rFonts w:hint="eastAsia" w:ascii="Times New Roman" w:hAnsi="Times New Roman" w:eastAsia="宋体" w:cs="Times New Roman"/>
          <w:szCs w:val="22"/>
          <w:shd w:val="clear" w:color="auto" w:fill="FFFFFF"/>
          <w:lang w:eastAsia="zh-CN"/>
        </w:rPr>
        <w:t>）</w:t>
      </w:r>
      <w:r>
        <w:rPr>
          <w:rFonts w:hint="eastAsia" w:ascii="Times New Roman" w:hAnsi="Times New Roman" w:eastAsia="宋体" w:cs="Times New Roman"/>
          <w:szCs w:val="22"/>
          <w:shd w:val="clear" w:color="auto" w:fill="FFFFFF"/>
        </w:rPr>
        <w:t>。我省泡菜工业企业数量以小微企业为主，数量占比7</w:t>
      </w:r>
      <w:r>
        <w:rPr>
          <w:rFonts w:ascii="Times New Roman" w:hAnsi="Times New Roman" w:eastAsia="宋体" w:cs="Times New Roman"/>
          <w:szCs w:val="22"/>
          <w:shd w:val="clear" w:color="auto" w:fill="FFFFFF"/>
        </w:rPr>
        <w:t>5.4%</w:t>
      </w:r>
      <w:r>
        <w:rPr>
          <w:rFonts w:hint="eastAsia" w:ascii="Times New Roman" w:hAnsi="Times New Roman" w:eastAsia="宋体" w:cs="Times New Roman"/>
          <w:szCs w:val="22"/>
          <w:shd w:val="clear" w:color="auto" w:fill="FFFFFF"/>
        </w:rPr>
        <w:t>，贡献产值仅占9</w:t>
      </w:r>
      <w:r>
        <w:rPr>
          <w:rFonts w:ascii="Times New Roman" w:hAnsi="Times New Roman" w:eastAsia="宋体" w:cs="Times New Roman"/>
          <w:szCs w:val="22"/>
          <w:shd w:val="clear" w:color="auto" w:fill="FFFFFF"/>
        </w:rPr>
        <w:t>.4%</w:t>
      </w:r>
      <w:r>
        <w:rPr>
          <w:rFonts w:hint="eastAsia" w:ascii="Times New Roman" w:hAnsi="Times New Roman" w:eastAsia="宋体" w:cs="Times New Roman"/>
          <w:szCs w:val="22"/>
          <w:shd w:val="clear" w:color="auto" w:fill="FFFFFF"/>
        </w:rPr>
        <w:t>，大中型企业数量占比</w:t>
      </w:r>
      <w:r>
        <w:rPr>
          <w:rFonts w:ascii="Times New Roman" w:hAnsi="Times New Roman" w:eastAsia="宋体" w:cs="Times New Roman"/>
          <w:szCs w:val="22"/>
          <w:shd w:val="clear" w:color="auto" w:fill="FFFFFF"/>
        </w:rPr>
        <w:t>24.6%</w:t>
      </w:r>
      <w:r>
        <w:rPr>
          <w:rFonts w:hint="eastAsia" w:ascii="Times New Roman" w:hAnsi="Times New Roman" w:eastAsia="宋体" w:cs="Times New Roman"/>
          <w:szCs w:val="22"/>
          <w:shd w:val="clear" w:color="auto" w:fill="FFFFFF"/>
        </w:rPr>
        <w:t>，贡献产值占比为9</w:t>
      </w:r>
      <w:r>
        <w:rPr>
          <w:rFonts w:ascii="Times New Roman" w:hAnsi="Times New Roman" w:eastAsia="宋体" w:cs="Times New Roman"/>
          <w:szCs w:val="22"/>
          <w:shd w:val="clear" w:color="auto" w:fill="FFFFFF"/>
        </w:rPr>
        <w:t>0.6%</w:t>
      </w:r>
      <w:r>
        <w:rPr>
          <w:rFonts w:hint="eastAsia" w:ascii="Times New Roman" w:hAnsi="Times New Roman" w:eastAsia="宋体" w:cs="Times New Roman"/>
          <w:szCs w:val="22"/>
          <w:shd w:val="clear" w:color="auto" w:fill="FFFFFF"/>
        </w:rPr>
        <w:t>。由此可见，我省泡菜产业仍然是一个以低端产品为主的传统工业。</w:t>
      </w:r>
    </w:p>
    <w:p>
      <w:pPr>
        <w:jc w:val="center"/>
        <w:rPr>
          <w:rFonts w:ascii="Times New Roman" w:hAnsi="Times New Roman" w:eastAsia="宋体" w:cs="Times New Roman"/>
          <w:b/>
        </w:rPr>
      </w:pPr>
      <w:r>
        <w:rPr>
          <w:rFonts w:hint="eastAsia" w:ascii="Times New Roman" w:hAnsi="Times New Roman" w:eastAsia="宋体" w:cs="Times New Roman"/>
          <w:b/>
        </w:rPr>
        <w:t>表2-1 工业总产值上亿企业名单</w:t>
      </w:r>
    </w:p>
    <w:tbl>
      <w:tblPr>
        <w:tblStyle w:val="25"/>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17"/>
        <w:gridCol w:w="1136"/>
        <w:gridCol w:w="1277"/>
        <w:gridCol w:w="3653"/>
        <w:gridCol w:w="164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4" w:hRule="atLeast"/>
        </w:trPr>
        <w:tc>
          <w:tcPr>
            <w:tcW w:w="479" w:type="pct"/>
            <w:shd w:val="clear" w:color="auto" w:fill="auto"/>
            <w:vAlign w:val="center"/>
          </w:tcPr>
          <w:p>
            <w:pPr>
              <w:jc w:val="center"/>
              <w:rPr>
                <w:rFonts w:ascii="Times New Roman" w:hAnsi="Times New Roman" w:eastAsia="宋体" w:cs="Times New Roman"/>
                <w:b/>
                <w:sz w:val="18"/>
                <w:szCs w:val="22"/>
              </w:rPr>
            </w:pPr>
            <w:r>
              <w:rPr>
                <w:rFonts w:hint="eastAsia" w:ascii="Times New Roman" w:hAnsi="Times New Roman" w:eastAsia="宋体" w:cs="Times New Roman"/>
                <w:b/>
                <w:sz w:val="18"/>
                <w:szCs w:val="22"/>
              </w:rPr>
              <w:t>序号</w:t>
            </w:r>
          </w:p>
        </w:tc>
        <w:tc>
          <w:tcPr>
            <w:tcW w:w="666" w:type="pct"/>
            <w:shd w:val="clear" w:color="auto" w:fill="auto"/>
            <w:vAlign w:val="center"/>
          </w:tcPr>
          <w:p>
            <w:pPr>
              <w:jc w:val="center"/>
              <w:rPr>
                <w:rFonts w:ascii="Times New Roman" w:hAnsi="Times New Roman" w:eastAsia="宋体" w:cs="Times New Roman"/>
                <w:b/>
                <w:sz w:val="18"/>
                <w:szCs w:val="22"/>
              </w:rPr>
            </w:pPr>
            <w:r>
              <w:rPr>
                <w:rFonts w:hint="eastAsia" w:ascii="Times New Roman" w:hAnsi="Times New Roman" w:eastAsia="宋体" w:cs="Times New Roman"/>
                <w:b/>
                <w:sz w:val="18"/>
                <w:szCs w:val="22"/>
              </w:rPr>
              <w:t>市州</w:t>
            </w:r>
          </w:p>
        </w:tc>
        <w:tc>
          <w:tcPr>
            <w:tcW w:w="749" w:type="pct"/>
            <w:shd w:val="clear" w:color="auto" w:fill="auto"/>
            <w:vAlign w:val="center"/>
          </w:tcPr>
          <w:p>
            <w:pPr>
              <w:jc w:val="center"/>
              <w:rPr>
                <w:rFonts w:ascii="Times New Roman" w:hAnsi="Times New Roman" w:eastAsia="宋体" w:cs="Times New Roman"/>
                <w:b/>
                <w:sz w:val="18"/>
                <w:szCs w:val="22"/>
              </w:rPr>
            </w:pPr>
            <w:r>
              <w:rPr>
                <w:rFonts w:hint="eastAsia" w:ascii="Times New Roman" w:hAnsi="Times New Roman" w:eastAsia="宋体" w:cs="Times New Roman"/>
                <w:b/>
                <w:sz w:val="18"/>
                <w:szCs w:val="22"/>
              </w:rPr>
              <w:t>区县</w:t>
            </w:r>
          </w:p>
        </w:tc>
        <w:tc>
          <w:tcPr>
            <w:tcW w:w="2142" w:type="pct"/>
            <w:shd w:val="clear" w:color="auto" w:fill="auto"/>
            <w:vAlign w:val="center"/>
          </w:tcPr>
          <w:p>
            <w:pPr>
              <w:jc w:val="center"/>
              <w:rPr>
                <w:rFonts w:ascii="Times New Roman" w:hAnsi="Times New Roman" w:eastAsia="宋体" w:cs="Times New Roman"/>
                <w:b/>
                <w:sz w:val="18"/>
                <w:szCs w:val="22"/>
              </w:rPr>
            </w:pPr>
            <w:r>
              <w:rPr>
                <w:rFonts w:hint="eastAsia" w:ascii="Times New Roman" w:hAnsi="Times New Roman" w:eastAsia="宋体" w:cs="Times New Roman"/>
                <w:b/>
                <w:sz w:val="18"/>
                <w:szCs w:val="22"/>
              </w:rPr>
              <w:t>企业名称</w:t>
            </w:r>
          </w:p>
        </w:tc>
        <w:tc>
          <w:tcPr>
            <w:tcW w:w="964" w:type="pct"/>
            <w:shd w:val="clear" w:color="auto" w:fill="auto"/>
            <w:vAlign w:val="center"/>
          </w:tcPr>
          <w:p>
            <w:pPr>
              <w:jc w:val="center"/>
              <w:rPr>
                <w:rFonts w:ascii="Times New Roman" w:hAnsi="Times New Roman" w:eastAsia="宋体" w:cs="Times New Roman"/>
                <w:b/>
                <w:sz w:val="18"/>
                <w:szCs w:val="22"/>
              </w:rPr>
            </w:pPr>
            <w:r>
              <w:rPr>
                <w:rFonts w:ascii="Times New Roman" w:hAnsi="Times New Roman" w:eastAsia="宋体" w:cs="Times New Roman"/>
                <w:b/>
                <w:sz w:val="18"/>
                <w:szCs w:val="22"/>
              </w:rPr>
              <w:t>工业总产值(万元)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479" w:type="pct"/>
            <w:shd w:val="clear" w:color="auto" w:fill="auto"/>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1</w:t>
            </w:r>
          </w:p>
        </w:tc>
        <w:tc>
          <w:tcPr>
            <w:tcW w:w="666" w:type="pct"/>
            <w:shd w:val="clear" w:color="auto" w:fill="auto"/>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眉山市</w:t>
            </w:r>
          </w:p>
        </w:tc>
        <w:tc>
          <w:tcPr>
            <w:tcW w:w="749" w:type="pct"/>
            <w:shd w:val="clear" w:color="auto" w:fill="auto"/>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东坡区</w:t>
            </w:r>
          </w:p>
        </w:tc>
        <w:tc>
          <w:tcPr>
            <w:tcW w:w="2142" w:type="pct"/>
            <w:shd w:val="clear" w:color="auto" w:fill="auto"/>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吉香居食品股份有限公司</w:t>
            </w:r>
          </w:p>
        </w:tc>
        <w:tc>
          <w:tcPr>
            <w:tcW w:w="964" w:type="pct"/>
            <w:shd w:val="clear" w:color="auto" w:fill="auto"/>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76795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479" w:type="pct"/>
            <w:shd w:val="clear" w:color="auto" w:fill="auto"/>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2</w:t>
            </w:r>
          </w:p>
        </w:tc>
        <w:tc>
          <w:tcPr>
            <w:tcW w:w="666" w:type="pct"/>
            <w:shd w:val="clear" w:color="auto" w:fill="auto"/>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眉山市</w:t>
            </w:r>
          </w:p>
        </w:tc>
        <w:tc>
          <w:tcPr>
            <w:tcW w:w="749" w:type="pct"/>
            <w:shd w:val="clear" w:color="auto" w:fill="auto"/>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东坡区</w:t>
            </w:r>
          </w:p>
        </w:tc>
        <w:tc>
          <w:tcPr>
            <w:tcW w:w="2142" w:type="pct"/>
            <w:shd w:val="clear" w:color="auto" w:fill="auto"/>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四川李记酱菜调味品有限公司</w:t>
            </w:r>
          </w:p>
        </w:tc>
        <w:tc>
          <w:tcPr>
            <w:tcW w:w="964" w:type="pct"/>
            <w:shd w:val="clear" w:color="auto" w:fill="auto"/>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58065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479" w:type="pct"/>
            <w:shd w:val="clear" w:color="auto" w:fill="auto"/>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3</w:t>
            </w:r>
          </w:p>
        </w:tc>
        <w:tc>
          <w:tcPr>
            <w:tcW w:w="666" w:type="pct"/>
            <w:shd w:val="clear" w:color="auto" w:fill="auto"/>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眉山市</w:t>
            </w:r>
          </w:p>
        </w:tc>
        <w:tc>
          <w:tcPr>
            <w:tcW w:w="749" w:type="pct"/>
            <w:shd w:val="clear" w:color="auto" w:fill="auto"/>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东坡区</w:t>
            </w:r>
          </w:p>
        </w:tc>
        <w:tc>
          <w:tcPr>
            <w:tcW w:w="2142" w:type="pct"/>
            <w:shd w:val="clear" w:color="auto" w:fill="auto"/>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四川省川南酿造有限公司</w:t>
            </w:r>
          </w:p>
        </w:tc>
        <w:tc>
          <w:tcPr>
            <w:tcW w:w="964" w:type="pct"/>
            <w:shd w:val="clear" w:color="auto" w:fill="auto"/>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50300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479" w:type="pct"/>
            <w:shd w:val="clear" w:color="auto" w:fill="auto"/>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4</w:t>
            </w:r>
          </w:p>
        </w:tc>
        <w:tc>
          <w:tcPr>
            <w:tcW w:w="666" w:type="pct"/>
            <w:shd w:val="clear" w:color="auto" w:fill="auto"/>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广元市</w:t>
            </w:r>
          </w:p>
        </w:tc>
        <w:tc>
          <w:tcPr>
            <w:tcW w:w="749" w:type="pct"/>
            <w:shd w:val="clear" w:color="auto" w:fill="auto"/>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利州区</w:t>
            </w:r>
          </w:p>
        </w:tc>
        <w:tc>
          <w:tcPr>
            <w:tcW w:w="2142" w:type="pct"/>
            <w:shd w:val="clear" w:color="auto" w:fill="auto"/>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广元市吉香居食品有限公司</w:t>
            </w:r>
          </w:p>
        </w:tc>
        <w:tc>
          <w:tcPr>
            <w:tcW w:w="964" w:type="pct"/>
            <w:shd w:val="clear" w:color="auto" w:fill="auto"/>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30000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479" w:type="pct"/>
            <w:shd w:val="clear" w:color="auto" w:fill="auto"/>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5</w:t>
            </w:r>
          </w:p>
        </w:tc>
        <w:tc>
          <w:tcPr>
            <w:tcW w:w="666" w:type="pct"/>
            <w:shd w:val="clear" w:color="auto" w:fill="auto"/>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眉山市</w:t>
            </w:r>
          </w:p>
        </w:tc>
        <w:tc>
          <w:tcPr>
            <w:tcW w:w="749" w:type="pct"/>
            <w:shd w:val="clear" w:color="auto" w:fill="auto"/>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东坡区</w:t>
            </w:r>
          </w:p>
        </w:tc>
        <w:tc>
          <w:tcPr>
            <w:tcW w:w="2142" w:type="pct"/>
            <w:shd w:val="clear" w:color="auto" w:fill="auto"/>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四川省味聚特食品有限公司</w:t>
            </w:r>
          </w:p>
        </w:tc>
        <w:tc>
          <w:tcPr>
            <w:tcW w:w="964" w:type="pct"/>
            <w:shd w:val="clear" w:color="auto" w:fill="auto"/>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22000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479" w:type="pct"/>
            <w:shd w:val="clear" w:color="auto" w:fill="auto"/>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6</w:t>
            </w:r>
          </w:p>
        </w:tc>
        <w:tc>
          <w:tcPr>
            <w:tcW w:w="666" w:type="pct"/>
            <w:shd w:val="clear" w:color="auto" w:fill="auto"/>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德阳市</w:t>
            </w:r>
          </w:p>
        </w:tc>
        <w:tc>
          <w:tcPr>
            <w:tcW w:w="749" w:type="pct"/>
            <w:shd w:val="clear" w:color="auto" w:fill="auto"/>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什邡</w:t>
            </w:r>
          </w:p>
        </w:tc>
        <w:tc>
          <w:tcPr>
            <w:tcW w:w="2142" w:type="pct"/>
            <w:shd w:val="clear" w:color="auto" w:fill="auto"/>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四川道泉老坛酸菜股份有限公司</w:t>
            </w:r>
          </w:p>
        </w:tc>
        <w:tc>
          <w:tcPr>
            <w:tcW w:w="964" w:type="pct"/>
            <w:shd w:val="clear" w:color="auto" w:fill="auto"/>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20000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479" w:type="pct"/>
            <w:shd w:val="clear" w:color="auto" w:fill="auto"/>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7</w:t>
            </w:r>
          </w:p>
        </w:tc>
        <w:tc>
          <w:tcPr>
            <w:tcW w:w="666" w:type="pct"/>
            <w:shd w:val="clear" w:color="auto" w:fill="auto"/>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绵阳市</w:t>
            </w:r>
          </w:p>
        </w:tc>
        <w:tc>
          <w:tcPr>
            <w:tcW w:w="749" w:type="pct"/>
            <w:shd w:val="clear" w:color="auto" w:fill="auto"/>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江油市</w:t>
            </w:r>
          </w:p>
        </w:tc>
        <w:tc>
          <w:tcPr>
            <w:tcW w:w="2142" w:type="pct"/>
            <w:shd w:val="clear" w:color="auto" w:fill="auto"/>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四川清香园调味品股份有限公司</w:t>
            </w:r>
          </w:p>
        </w:tc>
        <w:tc>
          <w:tcPr>
            <w:tcW w:w="964" w:type="pct"/>
            <w:shd w:val="clear" w:color="auto" w:fill="auto"/>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20000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479" w:type="pct"/>
            <w:shd w:val="clear" w:color="auto" w:fill="auto"/>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8</w:t>
            </w:r>
          </w:p>
        </w:tc>
        <w:tc>
          <w:tcPr>
            <w:tcW w:w="666" w:type="pct"/>
            <w:shd w:val="clear" w:color="auto" w:fill="auto"/>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眉山市</w:t>
            </w:r>
          </w:p>
        </w:tc>
        <w:tc>
          <w:tcPr>
            <w:tcW w:w="749" w:type="pct"/>
            <w:shd w:val="clear" w:color="auto" w:fill="auto"/>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东坡区</w:t>
            </w:r>
          </w:p>
        </w:tc>
        <w:tc>
          <w:tcPr>
            <w:tcW w:w="2142" w:type="pct"/>
            <w:shd w:val="clear" w:color="auto" w:fill="auto"/>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四川老坛子食品有限公司</w:t>
            </w:r>
          </w:p>
        </w:tc>
        <w:tc>
          <w:tcPr>
            <w:tcW w:w="964" w:type="pct"/>
            <w:shd w:val="clear" w:color="auto" w:fill="auto"/>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12600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479" w:type="pct"/>
            <w:shd w:val="clear" w:color="auto" w:fill="auto"/>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9</w:t>
            </w:r>
          </w:p>
        </w:tc>
        <w:tc>
          <w:tcPr>
            <w:tcW w:w="666" w:type="pct"/>
            <w:shd w:val="clear" w:color="auto" w:fill="auto"/>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成都市</w:t>
            </w:r>
          </w:p>
        </w:tc>
        <w:tc>
          <w:tcPr>
            <w:tcW w:w="749" w:type="pct"/>
            <w:shd w:val="clear" w:color="auto" w:fill="auto"/>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龙泉驿区</w:t>
            </w:r>
          </w:p>
        </w:tc>
        <w:tc>
          <w:tcPr>
            <w:tcW w:w="2142" w:type="pct"/>
            <w:shd w:val="clear" w:color="auto" w:fill="auto"/>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四川广乐食品有限公司</w:t>
            </w:r>
          </w:p>
        </w:tc>
        <w:tc>
          <w:tcPr>
            <w:tcW w:w="964" w:type="pct"/>
            <w:shd w:val="clear" w:color="auto" w:fill="auto"/>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12000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7" w:hRule="atLeast"/>
        </w:trPr>
        <w:tc>
          <w:tcPr>
            <w:tcW w:w="479" w:type="pct"/>
            <w:shd w:val="clear" w:color="auto" w:fill="auto"/>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10</w:t>
            </w:r>
          </w:p>
        </w:tc>
        <w:tc>
          <w:tcPr>
            <w:tcW w:w="666" w:type="pct"/>
            <w:shd w:val="clear" w:color="auto" w:fill="auto"/>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眉山市</w:t>
            </w:r>
          </w:p>
        </w:tc>
        <w:tc>
          <w:tcPr>
            <w:tcW w:w="749" w:type="pct"/>
            <w:shd w:val="clear" w:color="auto" w:fill="auto"/>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东坡区</w:t>
            </w:r>
          </w:p>
        </w:tc>
        <w:tc>
          <w:tcPr>
            <w:tcW w:w="2142" w:type="pct"/>
            <w:shd w:val="clear" w:color="auto" w:fill="auto"/>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四川省邓仕食品有限公司</w:t>
            </w:r>
          </w:p>
        </w:tc>
        <w:tc>
          <w:tcPr>
            <w:tcW w:w="964" w:type="pct"/>
            <w:shd w:val="clear" w:color="auto" w:fill="auto"/>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12000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4036" w:type="pct"/>
            <w:gridSpan w:val="4"/>
            <w:shd w:val="clear" w:color="auto" w:fill="auto"/>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合计</w:t>
            </w:r>
          </w:p>
        </w:tc>
        <w:tc>
          <w:tcPr>
            <w:tcW w:w="964" w:type="pct"/>
            <w:shd w:val="clear" w:color="auto" w:fill="auto"/>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313760</w:t>
            </w:r>
          </w:p>
        </w:tc>
      </w:tr>
    </w:tbl>
    <w:p>
      <w:pPr>
        <w:spacing w:line="440" w:lineRule="exact"/>
        <w:ind w:firstLine="420" w:firstLineChars="200"/>
        <w:jc w:val="left"/>
        <w:rPr>
          <w:rFonts w:ascii="Times New Roman" w:hAnsi="Times New Roman" w:eastAsia="宋体" w:cs="Times New Roman"/>
          <w:szCs w:val="22"/>
        </w:rPr>
      </w:pPr>
    </w:p>
    <w:p>
      <w:pPr>
        <w:spacing w:line="360" w:lineRule="auto"/>
        <w:jc w:val="center"/>
        <w:rPr>
          <w:rFonts w:ascii="Times New Roman" w:hAnsi="Times New Roman" w:eastAsia="黑体" w:cs="Times New Roman"/>
          <w:szCs w:val="21"/>
        </w:rPr>
      </w:pPr>
      <w:r>
        <w:rPr>
          <w:rFonts w:ascii="Calibri" w:hAnsi="Calibri" w:eastAsia="宋体" w:cs="Times New Roman"/>
          <w:szCs w:val="22"/>
        </w:rPr>
        <w:drawing>
          <wp:inline distT="0" distB="0" distL="0" distR="0">
            <wp:extent cx="5278120" cy="2767965"/>
            <wp:effectExtent l="0" t="0" r="17780" b="13335"/>
            <wp:docPr id="27" name="图表 30"/>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pPr>
        <w:ind w:firstLine="422"/>
        <w:jc w:val="center"/>
        <w:rPr>
          <w:rFonts w:ascii="Times New Roman" w:hAnsi="Times New Roman" w:eastAsia="宋体" w:cs="Times New Roman"/>
          <w:sz w:val="18"/>
          <w:szCs w:val="22"/>
        </w:rPr>
      </w:pPr>
      <w:r>
        <w:rPr>
          <w:rFonts w:ascii="Times New Roman" w:hAnsi="Times New Roman" w:eastAsia="宋体" w:cs="Times New Roman"/>
          <w:b/>
        </w:rPr>
        <w:t>图</w:t>
      </w:r>
      <w:r>
        <w:rPr>
          <w:rFonts w:hint="eastAsia" w:ascii="Times New Roman" w:hAnsi="Times New Roman" w:eastAsia="宋体" w:cs="Times New Roman"/>
          <w:b/>
        </w:rPr>
        <w:t>2-</w:t>
      </w:r>
      <w:r>
        <w:rPr>
          <w:rFonts w:ascii="Times New Roman" w:hAnsi="Times New Roman" w:eastAsia="宋体" w:cs="Times New Roman"/>
          <w:b/>
        </w:rPr>
        <w:t>1四川泡菜</w:t>
      </w:r>
      <w:r>
        <w:rPr>
          <w:rFonts w:hint="eastAsia" w:ascii="Times New Roman" w:hAnsi="Times New Roman" w:eastAsia="宋体" w:cs="Times New Roman"/>
          <w:b/>
        </w:rPr>
        <w:t>工业</w:t>
      </w:r>
      <w:r>
        <w:rPr>
          <w:rFonts w:ascii="Times New Roman" w:hAnsi="Times New Roman" w:eastAsia="宋体" w:cs="Times New Roman"/>
          <w:b/>
        </w:rPr>
        <w:t>企业</w:t>
      </w:r>
      <w:r>
        <w:rPr>
          <w:rFonts w:hint="eastAsia" w:ascii="Times New Roman" w:hAnsi="Times New Roman" w:eastAsia="宋体" w:cs="Times New Roman"/>
          <w:b/>
        </w:rPr>
        <w:t>规模分布</w:t>
      </w:r>
      <w:r>
        <w:rPr>
          <w:rFonts w:ascii="Times New Roman" w:hAnsi="Times New Roman" w:eastAsia="宋体" w:cs="Times New Roman"/>
          <w:b/>
        </w:rPr>
        <w:t>图</w:t>
      </w:r>
    </w:p>
    <w:p>
      <w:pPr>
        <w:spacing w:line="440" w:lineRule="exact"/>
        <w:ind w:firstLine="420" w:firstLineChars="200"/>
        <w:jc w:val="left"/>
        <w:rPr>
          <w:rFonts w:hint="eastAsia" w:ascii="Times New Roman" w:hAnsi="Times New Roman" w:eastAsia="宋体" w:cs="Times New Roman"/>
          <w:b/>
          <w:bCs/>
          <w:szCs w:val="22"/>
        </w:rPr>
      </w:pPr>
      <w:r>
        <w:rPr>
          <w:rFonts w:hint="eastAsia" w:ascii="Times New Roman" w:hAnsi="Times New Roman" w:eastAsia="宋体" w:cs="Times New Roman"/>
          <w:szCs w:val="22"/>
        </w:rPr>
        <w:t>根据泡菜生产工艺的不同，项目组将四川省泡菜工业企业分为四类，即（1）盐渍泡菜企业：</w:t>
      </w:r>
      <w:r>
        <w:rPr>
          <w:rFonts w:hint="eastAsia" w:ascii="Times New Roman" w:hAnsi="Times New Roman" w:eastAsia="宋体" w:cs="Times New Roman"/>
          <w:kern w:val="0"/>
          <w:szCs w:val="21"/>
        </w:rPr>
        <w:t>以蔬菜为主要原料，用食盐盐渍加工生产蔬菜制品（盐渍过程中不加入新鲜水）的企业</w:t>
      </w:r>
      <w:r>
        <w:rPr>
          <w:rFonts w:hint="eastAsia" w:ascii="Times New Roman" w:hAnsi="Times New Roman" w:eastAsia="宋体" w:cs="Times New Roman"/>
          <w:szCs w:val="22"/>
        </w:rPr>
        <w:t>；（2）盐水渍泡菜企业：</w:t>
      </w:r>
      <w:r>
        <w:rPr>
          <w:rFonts w:hint="eastAsia" w:ascii="Times New Roman" w:hAnsi="Times New Roman" w:eastAsia="宋体" w:cs="Times New Roman"/>
          <w:kern w:val="0"/>
          <w:szCs w:val="21"/>
        </w:rPr>
        <w:t>以蔬菜为主要原料，用食盐水经生渍或熟渍加工方式生产蔬菜制品的企业</w:t>
      </w:r>
      <w:r>
        <w:rPr>
          <w:rFonts w:hint="eastAsia" w:ascii="Times New Roman" w:hAnsi="Times New Roman" w:eastAsia="宋体" w:cs="Times New Roman"/>
          <w:szCs w:val="22"/>
        </w:rPr>
        <w:t>；（3）其他盐渍泡菜企业：以蔬菜为主要原料，用食盐盐渍加工方式生产蔬菜制品，且生产过程中不涉及高浓度盐渍废水（氯化钠质量浓度≥3%）产生的企业；（4）混合型企业：具有盐渍泡菜加工方式，同时含盐水渍泡菜加工方式或其他盐渍泡菜加工方式的蔬菜制品加工企业。根据以上分类，本次调查收集到的盐</w:t>
      </w:r>
      <w:r>
        <w:rPr>
          <w:rFonts w:ascii="Times New Roman" w:hAnsi="Times New Roman" w:eastAsia="宋体" w:cs="Times New Roman"/>
          <w:szCs w:val="22"/>
        </w:rPr>
        <w:t>渍</w:t>
      </w:r>
      <w:r>
        <w:rPr>
          <w:rFonts w:hint="eastAsia" w:ascii="Times New Roman" w:hAnsi="Times New Roman" w:eastAsia="宋体" w:cs="Times New Roman"/>
          <w:szCs w:val="22"/>
        </w:rPr>
        <w:t>泡菜工业企业118</w:t>
      </w:r>
      <w:r>
        <w:rPr>
          <w:rFonts w:ascii="Times New Roman" w:hAnsi="Times New Roman" w:eastAsia="宋体" w:cs="Times New Roman"/>
          <w:szCs w:val="22"/>
        </w:rPr>
        <w:t>家</w:t>
      </w:r>
      <w:r>
        <w:rPr>
          <w:rFonts w:hint="eastAsia" w:ascii="Times New Roman" w:hAnsi="Times New Roman" w:eastAsia="宋体" w:cs="Times New Roman"/>
          <w:szCs w:val="22"/>
        </w:rPr>
        <w:t>，占比7</w:t>
      </w:r>
      <w:r>
        <w:rPr>
          <w:rFonts w:ascii="Times New Roman" w:hAnsi="Times New Roman" w:eastAsia="宋体" w:cs="Times New Roman"/>
          <w:szCs w:val="22"/>
        </w:rPr>
        <w:t>0.7%</w:t>
      </w:r>
      <w:r>
        <w:rPr>
          <w:rFonts w:hint="eastAsia" w:ascii="Times New Roman" w:hAnsi="Times New Roman" w:eastAsia="宋体" w:cs="Times New Roman"/>
          <w:szCs w:val="22"/>
        </w:rPr>
        <w:t>；盐水渍泡菜企业16家，占比9</w:t>
      </w:r>
      <w:r>
        <w:rPr>
          <w:rFonts w:ascii="Times New Roman" w:hAnsi="Times New Roman" w:eastAsia="宋体" w:cs="Times New Roman"/>
          <w:szCs w:val="22"/>
        </w:rPr>
        <w:t>.6%</w:t>
      </w:r>
      <w:r>
        <w:rPr>
          <w:rFonts w:hint="eastAsia" w:ascii="Times New Roman" w:hAnsi="Times New Roman" w:eastAsia="宋体" w:cs="Times New Roman"/>
          <w:szCs w:val="22"/>
        </w:rPr>
        <w:t>；</w:t>
      </w:r>
      <w:r>
        <w:rPr>
          <w:rFonts w:ascii="Times New Roman" w:hAnsi="Times New Roman" w:eastAsia="宋体" w:cs="Times New Roman"/>
          <w:szCs w:val="22"/>
        </w:rPr>
        <w:t>其他</w:t>
      </w:r>
      <w:r>
        <w:rPr>
          <w:rFonts w:hint="eastAsia" w:ascii="Times New Roman" w:hAnsi="Times New Roman" w:eastAsia="宋体" w:cs="Times New Roman"/>
          <w:szCs w:val="22"/>
        </w:rPr>
        <w:t>盐渍</w:t>
      </w:r>
      <w:r>
        <w:rPr>
          <w:rFonts w:ascii="Times New Roman" w:hAnsi="Times New Roman" w:eastAsia="宋体" w:cs="Times New Roman"/>
          <w:szCs w:val="22"/>
        </w:rPr>
        <w:t>类</w:t>
      </w:r>
      <w:r>
        <w:rPr>
          <w:rFonts w:hint="eastAsia" w:ascii="Times New Roman" w:hAnsi="Times New Roman" w:eastAsia="宋体" w:cs="Times New Roman"/>
          <w:szCs w:val="22"/>
        </w:rPr>
        <w:t>企业</w:t>
      </w:r>
      <w:r>
        <w:rPr>
          <w:rFonts w:ascii="Times New Roman" w:hAnsi="Times New Roman" w:eastAsia="宋体" w:cs="Times New Roman"/>
          <w:szCs w:val="22"/>
        </w:rPr>
        <w:t>1</w:t>
      </w:r>
      <w:r>
        <w:rPr>
          <w:rFonts w:hint="eastAsia" w:ascii="Times New Roman" w:hAnsi="Times New Roman" w:eastAsia="宋体" w:cs="Times New Roman"/>
          <w:szCs w:val="22"/>
        </w:rPr>
        <w:t>3</w:t>
      </w:r>
      <w:r>
        <w:rPr>
          <w:rFonts w:ascii="Times New Roman" w:hAnsi="Times New Roman" w:eastAsia="宋体" w:cs="Times New Roman"/>
          <w:szCs w:val="22"/>
        </w:rPr>
        <w:t>家</w:t>
      </w:r>
      <w:r>
        <w:rPr>
          <w:rFonts w:hint="eastAsia" w:ascii="Times New Roman" w:hAnsi="Times New Roman" w:eastAsia="宋体" w:cs="Times New Roman"/>
          <w:szCs w:val="22"/>
        </w:rPr>
        <w:t>，占比7</w:t>
      </w:r>
      <w:r>
        <w:rPr>
          <w:rFonts w:ascii="Times New Roman" w:hAnsi="Times New Roman" w:eastAsia="宋体" w:cs="Times New Roman"/>
          <w:szCs w:val="22"/>
        </w:rPr>
        <w:t>.8%</w:t>
      </w:r>
      <w:r>
        <w:rPr>
          <w:rFonts w:hint="eastAsia" w:ascii="Times New Roman" w:hAnsi="Times New Roman" w:eastAsia="宋体" w:cs="Times New Roman"/>
          <w:szCs w:val="22"/>
        </w:rPr>
        <w:t>；混合型企业</w:t>
      </w:r>
      <w:r>
        <w:rPr>
          <w:rFonts w:ascii="Times New Roman" w:hAnsi="Times New Roman" w:eastAsia="宋体" w:cs="Times New Roman"/>
          <w:szCs w:val="22"/>
        </w:rPr>
        <w:t>20</w:t>
      </w:r>
      <w:r>
        <w:rPr>
          <w:rFonts w:hint="eastAsia" w:ascii="Times New Roman" w:hAnsi="Times New Roman" w:eastAsia="宋体" w:cs="Times New Roman"/>
          <w:szCs w:val="22"/>
        </w:rPr>
        <w:t>家</w:t>
      </w:r>
      <w:r>
        <w:rPr>
          <w:rFonts w:ascii="Times New Roman" w:hAnsi="Times New Roman" w:eastAsia="宋体" w:cs="Times New Roman"/>
          <w:szCs w:val="22"/>
        </w:rPr>
        <w:t>，</w:t>
      </w:r>
      <w:r>
        <w:rPr>
          <w:rFonts w:hint="eastAsia" w:ascii="Times New Roman" w:hAnsi="Times New Roman" w:eastAsia="宋体" w:cs="Times New Roman"/>
          <w:szCs w:val="22"/>
        </w:rPr>
        <w:t>占比1</w:t>
      </w:r>
      <w:r>
        <w:rPr>
          <w:rFonts w:ascii="Times New Roman" w:hAnsi="Times New Roman" w:eastAsia="宋体" w:cs="Times New Roman"/>
          <w:szCs w:val="22"/>
        </w:rPr>
        <w:t>9.9%</w:t>
      </w:r>
      <w:r>
        <w:rPr>
          <w:rFonts w:hint="eastAsia" w:ascii="Times New Roman" w:hAnsi="Times New Roman" w:eastAsia="宋体" w:cs="Times New Roman"/>
          <w:szCs w:val="22"/>
        </w:rPr>
        <w:t>。各类型企业占比如图2</w:t>
      </w:r>
      <w:r>
        <w:rPr>
          <w:rFonts w:ascii="Times New Roman" w:hAnsi="Times New Roman" w:eastAsia="宋体" w:cs="Times New Roman"/>
          <w:szCs w:val="22"/>
        </w:rPr>
        <w:t>-2</w:t>
      </w:r>
      <w:r>
        <w:rPr>
          <w:rFonts w:hint="eastAsia" w:ascii="Times New Roman" w:hAnsi="Times New Roman" w:eastAsia="宋体" w:cs="Times New Roman"/>
          <w:szCs w:val="22"/>
        </w:rPr>
        <w:t>所示。</w:t>
      </w:r>
    </w:p>
    <w:p>
      <w:pPr>
        <w:spacing w:line="440" w:lineRule="exact"/>
        <w:jc w:val="center"/>
        <w:rPr>
          <w:rFonts w:ascii="Times New Roman" w:hAnsi="Times New Roman" w:eastAsia="宋体" w:cs="Times New Roman"/>
          <w:b/>
          <w:bCs/>
          <w:szCs w:val="22"/>
        </w:rPr>
      </w:pPr>
      <w:r>
        <w:rPr>
          <w:rFonts w:ascii="Times New Roman" w:hAnsi="Times New Roman" w:eastAsia="宋体" w:cs="Times New Roman"/>
          <w:szCs w:val="22"/>
        </w:rPr>
        <w:drawing>
          <wp:anchor distT="0" distB="0" distL="114300" distR="114300" simplePos="0" relativeHeight="251661312" behindDoc="0" locked="0" layoutInCell="1" allowOverlap="1">
            <wp:simplePos x="0" y="0"/>
            <wp:positionH relativeFrom="margin">
              <wp:posOffset>112395</wp:posOffset>
            </wp:positionH>
            <wp:positionV relativeFrom="margin">
              <wp:posOffset>394970</wp:posOffset>
            </wp:positionV>
            <wp:extent cx="5135880" cy="2710815"/>
            <wp:effectExtent l="4445" t="4445" r="22225" b="8890"/>
            <wp:wrapTopAndBottom/>
            <wp:docPr id="28" name="图表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anchor>
        </w:drawing>
      </w:r>
      <w:r>
        <w:rPr>
          <w:rFonts w:hint="eastAsia" w:ascii="Times New Roman" w:hAnsi="Times New Roman" w:eastAsia="宋体" w:cs="Times New Roman"/>
          <w:b/>
          <w:bCs/>
          <w:szCs w:val="22"/>
        </w:rPr>
        <w:t>图</w:t>
      </w:r>
      <w:r>
        <w:rPr>
          <w:rFonts w:ascii="Times New Roman" w:hAnsi="Times New Roman" w:eastAsia="宋体" w:cs="Times New Roman"/>
          <w:b/>
          <w:bCs/>
          <w:szCs w:val="22"/>
        </w:rPr>
        <w:t xml:space="preserve">2-2 </w:t>
      </w:r>
      <w:r>
        <w:rPr>
          <w:rFonts w:hint="eastAsia" w:ascii="Times New Roman" w:hAnsi="Times New Roman" w:eastAsia="宋体" w:cs="Times New Roman"/>
          <w:b/>
          <w:bCs/>
          <w:szCs w:val="22"/>
        </w:rPr>
        <w:t>四川省泡菜工业企业类型及分布比例</w:t>
      </w:r>
    </w:p>
    <w:p>
      <w:pPr>
        <w:keepNext/>
        <w:keepLines/>
        <w:spacing w:before="120" w:after="120" w:line="415" w:lineRule="auto"/>
        <w:jc w:val="left"/>
        <w:outlineLvl w:val="1"/>
        <w:rPr>
          <w:rFonts w:ascii="Times New Roman" w:hAnsi="Times New Roman" w:eastAsia="宋体" w:cs="Times New Roman"/>
          <w:b/>
          <w:bCs/>
          <w:sz w:val="30"/>
          <w:szCs w:val="32"/>
        </w:rPr>
      </w:pPr>
      <w:bookmarkStart w:id="5" w:name="_Toc76386083"/>
      <w:r>
        <w:rPr>
          <w:rFonts w:hint="eastAsia" w:ascii="Times New Roman" w:hAnsi="Times New Roman" w:eastAsia="宋体" w:cs="Times New Roman"/>
          <w:b/>
          <w:bCs/>
          <w:sz w:val="30"/>
          <w:szCs w:val="32"/>
        </w:rPr>
        <w:t>2.2 产业分布</w:t>
      </w:r>
      <w:bookmarkEnd w:id="5"/>
    </w:p>
    <w:p>
      <w:pPr>
        <w:spacing w:line="440" w:lineRule="exact"/>
        <w:ind w:firstLine="420" w:firstLineChars="200"/>
        <w:jc w:val="left"/>
        <w:rPr>
          <w:rFonts w:ascii="Times New Roman" w:hAnsi="Times New Roman" w:eastAsia="宋体" w:cs="Times New Roman"/>
          <w:szCs w:val="22"/>
        </w:rPr>
      </w:pPr>
      <w:r>
        <w:rPr>
          <w:rFonts w:ascii="Times New Roman" w:hAnsi="Times New Roman" w:eastAsia="宋体" w:cs="Times New Roman"/>
          <w:szCs w:val="22"/>
        </w:rPr>
        <w:t>根据</w:t>
      </w:r>
      <w:r>
        <w:rPr>
          <w:rFonts w:hint="eastAsia" w:ascii="Times New Roman" w:hAnsi="Times New Roman" w:eastAsia="宋体" w:cs="Times New Roman"/>
          <w:szCs w:val="22"/>
        </w:rPr>
        <w:t>统计</w:t>
      </w:r>
      <w:r>
        <w:rPr>
          <w:rFonts w:ascii="Times New Roman" w:hAnsi="Times New Roman" w:eastAsia="宋体" w:cs="Times New Roman"/>
          <w:szCs w:val="22"/>
        </w:rPr>
        <w:t>调查</w:t>
      </w:r>
      <w:r>
        <w:rPr>
          <w:rFonts w:hint="eastAsia" w:ascii="Times New Roman" w:hAnsi="Times New Roman" w:eastAsia="宋体" w:cs="Times New Roman"/>
          <w:szCs w:val="22"/>
        </w:rPr>
        <w:t>，涉及泡菜、豆瓣等蔬菜盐渍的生产企业分布在我省除攀枝花市、阿坝州、甘孜州、凉山州外的17个市。其中企业数量</w:t>
      </w:r>
      <w:r>
        <w:rPr>
          <w:rFonts w:ascii="Times New Roman" w:hAnsi="Times New Roman" w:eastAsia="宋体" w:cs="Times New Roman"/>
          <w:szCs w:val="22"/>
        </w:rPr>
        <w:t>最多的</w:t>
      </w:r>
      <w:r>
        <w:rPr>
          <w:rFonts w:hint="eastAsia" w:ascii="Times New Roman" w:hAnsi="Times New Roman" w:eastAsia="宋体" w:cs="Times New Roman"/>
          <w:szCs w:val="22"/>
        </w:rPr>
        <w:t>前</w:t>
      </w:r>
      <w:r>
        <w:rPr>
          <w:rFonts w:ascii="Times New Roman" w:hAnsi="Times New Roman" w:eastAsia="宋体" w:cs="Times New Roman"/>
          <w:szCs w:val="22"/>
        </w:rPr>
        <w:t>三个</w:t>
      </w:r>
      <w:r>
        <w:rPr>
          <w:rFonts w:hint="eastAsia" w:ascii="Times New Roman" w:hAnsi="Times New Roman" w:eastAsia="宋体" w:cs="Times New Roman"/>
          <w:szCs w:val="22"/>
        </w:rPr>
        <w:t>地区</w:t>
      </w:r>
      <w:r>
        <w:rPr>
          <w:rFonts w:ascii="Times New Roman" w:hAnsi="Times New Roman" w:eastAsia="宋体" w:cs="Times New Roman"/>
          <w:szCs w:val="22"/>
        </w:rPr>
        <w:t>为成都</w:t>
      </w:r>
      <w:r>
        <w:rPr>
          <w:rFonts w:hint="eastAsia" w:ascii="Times New Roman" w:hAnsi="Times New Roman" w:eastAsia="宋体" w:cs="Times New Roman"/>
          <w:szCs w:val="22"/>
        </w:rPr>
        <w:t>市</w:t>
      </w:r>
      <w:r>
        <w:rPr>
          <w:rFonts w:ascii="Times New Roman" w:hAnsi="Times New Roman" w:eastAsia="宋体" w:cs="Times New Roman"/>
          <w:szCs w:val="22"/>
        </w:rPr>
        <w:t>、眉山</w:t>
      </w:r>
      <w:r>
        <w:rPr>
          <w:rFonts w:hint="eastAsia" w:ascii="Times New Roman" w:hAnsi="Times New Roman" w:eastAsia="宋体" w:cs="Times New Roman"/>
          <w:szCs w:val="22"/>
        </w:rPr>
        <w:t>市和</w:t>
      </w:r>
      <w:r>
        <w:rPr>
          <w:rFonts w:ascii="Times New Roman" w:hAnsi="Times New Roman" w:eastAsia="宋体" w:cs="Times New Roman"/>
          <w:szCs w:val="22"/>
        </w:rPr>
        <w:t>资阳</w:t>
      </w:r>
      <w:r>
        <w:rPr>
          <w:rFonts w:hint="eastAsia" w:ascii="Times New Roman" w:hAnsi="Times New Roman" w:eastAsia="宋体" w:cs="Times New Roman"/>
          <w:szCs w:val="22"/>
        </w:rPr>
        <w:t>市，成都和眉山两地企业数量占比共计51.5%；</w:t>
      </w:r>
      <w:r>
        <w:rPr>
          <w:rFonts w:ascii="Times New Roman" w:hAnsi="Times New Roman" w:eastAsia="宋体" w:cs="Times New Roman"/>
          <w:szCs w:val="22"/>
        </w:rPr>
        <w:t>年产品产量</w:t>
      </w:r>
      <w:r>
        <w:rPr>
          <w:rFonts w:hint="eastAsia" w:ascii="Times New Roman" w:hAnsi="Times New Roman" w:eastAsia="宋体" w:cs="Times New Roman"/>
          <w:szCs w:val="22"/>
        </w:rPr>
        <w:t>最多的</w:t>
      </w:r>
      <w:r>
        <w:rPr>
          <w:rFonts w:ascii="Times New Roman" w:hAnsi="Times New Roman" w:eastAsia="宋体" w:cs="Times New Roman"/>
          <w:szCs w:val="22"/>
        </w:rPr>
        <w:t>前三</w:t>
      </w:r>
      <w:r>
        <w:rPr>
          <w:rFonts w:hint="eastAsia" w:ascii="Times New Roman" w:hAnsi="Times New Roman" w:eastAsia="宋体" w:cs="Times New Roman"/>
          <w:szCs w:val="22"/>
        </w:rPr>
        <w:t>个</w:t>
      </w:r>
      <w:r>
        <w:rPr>
          <w:rFonts w:ascii="Times New Roman" w:hAnsi="Times New Roman" w:eastAsia="宋体" w:cs="Times New Roman"/>
          <w:szCs w:val="22"/>
        </w:rPr>
        <w:t>市为眉山</w:t>
      </w:r>
      <w:r>
        <w:rPr>
          <w:rFonts w:hint="eastAsia" w:ascii="Times New Roman" w:hAnsi="Times New Roman" w:eastAsia="宋体" w:cs="Times New Roman"/>
          <w:szCs w:val="22"/>
        </w:rPr>
        <w:t>市</w:t>
      </w:r>
      <w:r>
        <w:rPr>
          <w:rFonts w:ascii="Times New Roman" w:hAnsi="Times New Roman" w:eastAsia="宋体" w:cs="Times New Roman"/>
          <w:szCs w:val="22"/>
        </w:rPr>
        <w:t>、成都</w:t>
      </w:r>
      <w:r>
        <w:rPr>
          <w:rFonts w:hint="eastAsia" w:ascii="Times New Roman" w:hAnsi="Times New Roman" w:eastAsia="宋体" w:cs="Times New Roman"/>
          <w:szCs w:val="22"/>
        </w:rPr>
        <w:t>市和</w:t>
      </w:r>
      <w:r>
        <w:rPr>
          <w:rFonts w:ascii="Times New Roman" w:hAnsi="Times New Roman" w:eastAsia="宋体" w:cs="Times New Roman"/>
          <w:szCs w:val="22"/>
        </w:rPr>
        <w:t>德阳</w:t>
      </w:r>
      <w:r>
        <w:rPr>
          <w:rFonts w:hint="eastAsia" w:ascii="Times New Roman" w:hAnsi="Times New Roman" w:eastAsia="宋体" w:cs="Times New Roman"/>
          <w:szCs w:val="22"/>
        </w:rPr>
        <w:t>市，成眉两地产品产量占比共计57.1%</w:t>
      </w:r>
      <w:r>
        <w:rPr>
          <w:rFonts w:ascii="Times New Roman" w:hAnsi="Times New Roman" w:eastAsia="宋体" w:cs="Times New Roman"/>
          <w:szCs w:val="22"/>
        </w:rPr>
        <w:t>；工业总产值最高的三个</w:t>
      </w:r>
      <w:r>
        <w:rPr>
          <w:rFonts w:hint="eastAsia" w:ascii="Times New Roman" w:hAnsi="Times New Roman" w:eastAsia="宋体" w:cs="Times New Roman"/>
          <w:szCs w:val="22"/>
        </w:rPr>
        <w:t>地区</w:t>
      </w:r>
      <w:r>
        <w:rPr>
          <w:rFonts w:ascii="Times New Roman" w:hAnsi="Times New Roman" w:eastAsia="宋体" w:cs="Times New Roman"/>
          <w:szCs w:val="22"/>
        </w:rPr>
        <w:t>为眉山</w:t>
      </w:r>
      <w:r>
        <w:rPr>
          <w:rFonts w:hint="eastAsia" w:ascii="Times New Roman" w:hAnsi="Times New Roman" w:eastAsia="宋体" w:cs="Times New Roman"/>
          <w:szCs w:val="22"/>
        </w:rPr>
        <w:t>市</w:t>
      </w:r>
      <w:r>
        <w:rPr>
          <w:rFonts w:ascii="Times New Roman" w:hAnsi="Times New Roman" w:eastAsia="宋体" w:cs="Times New Roman"/>
          <w:szCs w:val="22"/>
        </w:rPr>
        <w:t>、成都</w:t>
      </w:r>
      <w:r>
        <w:rPr>
          <w:rFonts w:hint="eastAsia" w:ascii="Times New Roman" w:hAnsi="Times New Roman" w:eastAsia="宋体" w:cs="Times New Roman"/>
          <w:szCs w:val="22"/>
        </w:rPr>
        <w:t>市和广元市，成眉两地产值占比共计73.1%。我省各地涉及泡菜工业企业数量及产值等信息如图2</w:t>
      </w:r>
      <w:r>
        <w:rPr>
          <w:rFonts w:ascii="Times New Roman" w:hAnsi="Times New Roman" w:eastAsia="宋体" w:cs="Times New Roman"/>
          <w:szCs w:val="22"/>
        </w:rPr>
        <w:t>-3</w:t>
      </w:r>
      <w:r>
        <w:rPr>
          <w:rFonts w:hint="eastAsia" w:ascii="Times New Roman" w:hAnsi="Times New Roman" w:eastAsia="宋体" w:cs="Times New Roman"/>
          <w:szCs w:val="22"/>
        </w:rPr>
        <w:t>所示</w:t>
      </w:r>
      <w:r>
        <w:rPr>
          <w:rFonts w:ascii="Times New Roman" w:hAnsi="Times New Roman" w:eastAsia="宋体" w:cs="Times New Roman"/>
          <w:szCs w:val="22"/>
        </w:rPr>
        <w:t>。</w:t>
      </w:r>
    </w:p>
    <w:p>
      <w:pPr>
        <w:jc w:val="center"/>
        <w:rPr>
          <w:rFonts w:ascii="Times New Roman" w:hAnsi="Times New Roman" w:eastAsia="宋体" w:cs="Times New Roman"/>
          <w:b/>
        </w:rPr>
      </w:pPr>
      <w:r>
        <w:rPr>
          <w:rFonts w:ascii="Times New Roman" w:hAnsi="Times New Roman" w:eastAsia="宋体" w:cs="Times New Roman"/>
          <w:sz w:val="18"/>
          <w:szCs w:val="22"/>
        </w:rPr>
        <w:drawing>
          <wp:inline distT="0" distB="0" distL="0" distR="0">
            <wp:extent cx="5218430" cy="2929890"/>
            <wp:effectExtent l="19050" t="0" r="19767" b="3478"/>
            <wp:docPr id="29" name="图表 32"/>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pPr>
        <w:jc w:val="center"/>
        <w:rPr>
          <w:rFonts w:ascii="Times New Roman" w:hAnsi="Times New Roman" w:eastAsia="宋体" w:cs="Times New Roman"/>
          <w:b/>
        </w:rPr>
      </w:pPr>
      <w:r>
        <w:rPr>
          <w:rFonts w:hint="eastAsia" w:ascii="Times New Roman" w:hAnsi="Times New Roman" w:eastAsia="宋体" w:cs="Times New Roman"/>
          <w:b/>
        </w:rPr>
        <w:t>图2-</w:t>
      </w:r>
      <w:r>
        <w:rPr>
          <w:rFonts w:ascii="Times New Roman" w:hAnsi="Times New Roman" w:eastAsia="宋体" w:cs="Times New Roman"/>
          <w:b/>
        </w:rPr>
        <w:t>3</w:t>
      </w:r>
      <w:r>
        <w:rPr>
          <w:rFonts w:hint="eastAsia" w:ascii="Times New Roman" w:hAnsi="Times New Roman" w:eastAsia="宋体" w:cs="Times New Roman"/>
          <w:b/>
        </w:rPr>
        <w:t>全省泡菜工业企业调查统计数据图</w:t>
      </w:r>
    </w:p>
    <w:p>
      <w:pPr>
        <w:keepNext/>
        <w:keepLines/>
        <w:spacing w:before="120" w:after="120" w:line="415" w:lineRule="auto"/>
        <w:jc w:val="left"/>
        <w:outlineLvl w:val="1"/>
        <w:rPr>
          <w:rFonts w:ascii="Times New Roman" w:hAnsi="Times New Roman" w:eastAsia="宋体" w:cs="Times New Roman"/>
          <w:b/>
          <w:bCs/>
          <w:sz w:val="30"/>
          <w:szCs w:val="32"/>
        </w:rPr>
      </w:pPr>
      <w:bookmarkStart w:id="6" w:name="_Toc76386084"/>
      <w:r>
        <w:rPr>
          <w:rFonts w:hint="eastAsia" w:ascii="Times New Roman" w:hAnsi="Times New Roman" w:eastAsia="宋体" w:cs="Times New Roman"/>
          <w:b/>
          <w:bCs/>
          <w:sz w:val="30"/>
          <w:szCs w:val="32"/>
        </w:rPr>
        <w:t>2.3发展趋势</w:t>
      </w:r>
      <w:bookmarkEnd w:id="6"/>
    </w:p>
    <w:p>
      <w:pPr>
        <w:spacing w:line="440" w:lineRule="exact"/>
        <w:ind w:firstLine="420" w:firstLineChars="200"/>
        <w:jc w:val="left"/>
        <w:rPr>
          <w:rFonts w:ascii="Times New Roman" w:hAnsi="Times New Roman" w:eastAsia="宋体" w:cs="Times New Roman"/>
          <w:szCs w:val="22"/>
        </w:rPr>
      </w:pPr>
      <w:r>
        <w:rPr>
          <w:rFonts w:ascii="Times New Roman" w:hAnsi="Times New Roman" w:eastAsia="宋体" w:cs="Times New Roman"/>
          <w:szCs w:val="22"/>
        </w:rPr>
        <w:t>通过对四川泡菜产业现状的分析，四川泡菜产业发展趋势如下：</w:t>
      </w:r>
    </w:p>
    <w:p>
      <w:pPr>
        <w:spacing w:line="440" w:lineRule="exact"/>
        <w:ind w:firstLine="420" w:firstLineChars="200"/>
        <w:jc w:val="left"/>
        <w:rPr>
          <w:rFonts w:ascii="Times New Roman" w:hAnsi="Times New Roman" w:eastAsia="宋体" w:cs="Times New Roman"/>
          <w:szCs w:val="22"/>
        </w:rPr>
      </w:pPr>
      <w:r>
        <w:rPr>
          <w:rFonts w:ascii="Times New Roman" w:hAnsi="Times New Roman" w:eastAsia="宋体" w:cs="Times New Roman"/>
          <w:szCs w:val="22"/>
        </w:rPr>
        <w:t>（1）原料基地向着大型化、专用化（如四川泡菜专用品种基地）、优质生态化（如有机蔬菜）方向发展。</w:t>
      </w:r>
    </w:p>
    <w:p>
      <w:pPr>
        <w:spacing w:line="440" w:lineRule="exact"/>
        <w:ind w:firstLine="420" w:firstLineChars="200"/>
        <w:jc w:val="left"/>
        <w:rPr>
          <w:rFonts w:ascii="Times New Roman" w:hAnsi="Times New Roman" w:eastAsia="宋体" w:cs="Times New Roman"/>
          <w:szCs w:val="22"/>
        </w:rPr>
      </w:pPr>
      <w:r>
        <w:rPr>
          <w:rFonts w:ascii="Times New Roman" w:hAnsi="Times New Roman" w:eastAsia="宋体" w:cs="Times New Roman"/>
          <w:szCs w:val="22"/>
        </w:rPr>
        <w:t>（2）工艺技术设备向着缩短发酵期、保持原有色香味、冷杀菌、机械化、智能化、标准化、冷链贮存、高效综合利用化等方向发展。</w:t>
      </w:r>
    </w:p>
    <w:p>
      <w:pPr>
        <w:spacing w:line="440" w:lineRule="exact"/>
        <w:ind w:firstLine="420" w:firstLineChars="200"/>
        <w:jc w:val="left"/>
        <w:rPr>
          <w:rFonts w:ascii="Times New Roman" w:hAnsi="Times New Roman" w:eastAsia="宋体" w:cs="Times New Roman"/>
          <w:szCs w:val="22"/>
        </w:rPr>
      </w:pPr>
      <w:r>
        <w:rPr>
          <w:rFonts w:ascii="Times New Roman" w:hAnsi="Times New Roman" w:eastAsia="宋体" w:cs="Times New Roman"/>
          <w:szCs w:val="22"/>
        </w:rPr>
        <w:t>（3）生产向着规模化、现代化、标准化、清洁化、稳定和提高产品质量等方向发展，同时开发我国泡菜的保健功能。</w:t>
      </w:r>
    </w:p>
    <w:p>
      <w:pPr>
        <w:spacing w:line="440" w:lineRule="exact"/>
        <w:ind w:firstLine="420" w:firstLineChars="200"/>
        <w:jc w:val="left"/>
        <w:rPr>
          <w:rFonts w:ascii="Times New Roman" w:hAnsi="Times New Roman" w:eastAsia="宋体" w:cs="Times New Roman"/>
          <w:szCs w:val="22"/>
        </w:rPr>
      </w:pPr>
      <w:r>
        <w:rPr>
          <w:rFonts w:ascii="Times New Roman" w:hAnsi="Times New Roman" w:eastAsia="宋体" w:cs="Times New Roman"/>
          <w:szCs w:val="22"/>
        </w:rPr>
        <w:t>（4）企业逐步实现规模化、集团化，进一步走出国门，打破“韩日”泡菜国际垄断局面。</w:t>
      </w:r>
    </w:p>
    <w:p>
      <w:pPr>
        <w:spacing w:line="440" w:lineRule="exact"/>
        <w:ind w:firstLine="420" w:firstLineChars="200"/>
        <w:jc w:val="left"/>
        <w:rPr>
          <w:rFonts w:ascii="Times New Roman" w:hAnsi="Times New Roman" w:eastAsia="宋体" w:cs="Times New Roman"/>
          <w:szCs w:val="22"/>
        </w:rPr>
      </w:pPr>
      <w:r>
        <w:rPr>
          <w:rFonts w:ascii="Times New Roman" w:hAnsi="Times New Roman" w:eastAsia="宋体" w:cs="Times New Roman"/>
          <w:szCs w:val="22"/>
        </w:rPr>
        <w:t>（5）产品向着无防腐剂、低盐、低糖化、特色化、差异化和保健化产品方向发展。</w:t>
      </w:r>
    </w:p>
    <w:p>
      <w:pPr>
        <w:keepNext/>
        <w:keepLines/>
        <w:spacing w:before="240" w:after="240" w:line="578" w:lineRule="auto"/>
        <w:jc w:val="left"/>
        <w:outlineLvl w:val="0"/>
        <w:rPr>
          <w:rFonts w:ascii="Times New Roman" w:hAnsi="Times New Roman" w:eastAsia="宋体" w:cs="Times New Roman"/>
          <w:b/>
          <w:bCs/>
          <w:kern w:val="44"/>
          <w:sz w:val="32"/>
          <w:szCs w:val="44"/>
        </w:rPr>
      </w:pPr>
      <w:bookmarkStart w:id="7" w:name="_Toc76386085"/>
      <w:r>
        <w:rPr>
          <w:rFonts w:hint="eastAsia" w:ascii="Times New Roman" w:hAnsi="Times New Roman" w:eastAsia="宋体" w:cs="Times New Roman"/>
          <w:b/>
          <w:bCs/>
          <w:kern w:val="44"/>
          <w:sz w:val="32"/>
          <w:szCs w:val="44"/>
        </w:rPr>
        <w:t>3标准制定的必要性分析</w:t>
      </w:r>
      <w:bookmarkEnd w:id="7"/>
    </w:p>
    <w:p>
      <w:pPr>
        <w:keepNext/>
        <w:keepLines/>
        <w:spacing w:before="120" w:after="120" w:line="415" w:lineRule="auto"/>
        <w:jc w:val="left"/>
        <w:outlineLvl w:val="1"/>
        <w:rPr>
          <w:rFonts w:ascii="Times New Roman" w:hAnsi="Times New Roman" w:eastAsia="宋体" w:cs="Times New Roman"/>
          <w:b/>
          <w:bCs/>
          <w:sz w:val="28"/>
          <w:szCs w:val="32"/>
        </w:rPr>
      </w:pPr>
      <w:bookmarkStart w:id="8" w:name="_Toc76386086"/>
      <w:r>
        <w:rPr>
          <w:rFonts w:hint="eastAsia" w:ascii="Times New Roman" w:hAnsi="Times New Roman" w:eastAsia="宋体" w:cs="Times New Roman"/>
          <w:b/>
          <w:bCs/>
          <w:sz w:val="28"/>
          <w:szCs w:val="32"/>
        </w:rPr>
        <w:t>3.</w:t>
      </w:r>
      <w:r>
        <w:rPr>
          <w:rFonts w:ascii="Times New Roman" w:hAnsi="Times New Roman" w:eastAsia="宋体" w:cs="Times New Roman"/>
          <w:b/>
          <w:bCs/>
          <w:sz w:val="28"/>
          <w:szCs w:val="32"/>
        </w:rPr>
        <w:t>1</w:t>
      </w:r>
      <w:r>
        <w:rPr>
          <w:rFonts w:hint="eastAsia" w:ascii="Times New Roman" w:hAnsi="Times New Roman" w:eastAsia="宋体" w:cs="Times New Roman"/>
          <w:b/>
          <w:bCs/>
          <w:sz w:val="28"/>
          <w:szCs w:val="32"/>
        </w:rPr>
        <w:t>长江上游</w:t>
      </w:r>
      <w:r>
        <w:rPr>
          <w:rFonts w:ascii="Times New Roman" w:hAnsi="Times New Roman" w:eastAsia="宋体" w:cs="Times New Roman"/>
          <w:b/>
          <w:bCs/>
          <w:sz w:val="28"/>
          <w:szCs w:val="32"/>
        </w:rPr>
        <w:t>生态屏障建设的</w:t>
      </w:r>
      <w:r>
        <w:rPr>
          <w:rFonts w:hint="eastAsia" w:ascii="Times New Roman" w:hAnsi="Times New Roman" w:eastAsia="宋体" w:cs="Times New Roman"/>
          <w:b/>
          <w:bCs/>
          <w:sz w:val="28"/>
          <w:szCs w:val="32"/>
        </w:rPr>
        <w:t>环保要求</w:t>
      </w:r>
      <w:bookmarkEnd w:id="8"/>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2016年</w:t>
      </w:r>
      <w:r>
        <w:rPr>
          <w:rFonts w:ascii="Times New Roman" w:hAnsi="Times New Roman" w:eastAsia="宋体" w:cs="Times New Roman"/>
          <w:szCs w:val="22"/>
        </w:rPr>
        <w:t>，</w:t>
      </w:r>
      <w:r>
        <w:rPr>
          <w:rFonts w:hint="eastAsia" w:ascii="Times New Roman" w:hAnsi="Times New Roman" w:eastAsia="宋体" w:cs="Times New Roman"/>
          <w:szCs w:val="22"/>
        </w:rPr>
        <w:t>中共中央政治局审议通过了《长江经济带发展规划纲要》，指出长江是中华民族的生命河，也是中华民族发展的重要支撑。长江经济带发展的战略定位必须坚持生态优先、绿色发展，共抓大保护，不搞大开发。要按照全国主体功能区规划要求，建立生态环境硬约束机制，列出负面清单，设定禁止开发的岸线、河段、区域、产业，强化日常监测和问责。要抓紧研究制定和修订相关法律，把全面依法治国的要求覆盖到长江流域。要有明确的激励机制，激发沿江各省市保护生态环境的内在动力。要贯彻落实供给侧结构性改革决策部署，在改革创新和发展新动能上做“加法”，在淘汰落后过剩产能上做“减法”，走出一条绿色低碳循环发展的道路。</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2</w:t>
      </w:r>
      <w:r>
        <w:rPr>
          <w:rFonts w:ascii="Times New Roman" w:hAnsi="Times New Roman" w:eastAsia="宋体" w:cs="Times New Roman"/>
          <w:szCs w:val="22"/>
        </w:rPr>
        <w:t>018</w:t>
      </w:r>
      <w:r>
        <w:rPr>
          <w:rFonts w:hint="eastAsia" w:ascii="Times New Roman" w:hAnsi="Times New Roman" w:eastAsia="宋体" w:cs="Times New Roman"/>
          <w:szCs w:val="22"/>
        </w:rPr>
        <w:t>年</w:t>
      </w:r>
      <w:r>
        <w:rPr>
          <w:rFonts w:ascii="Times New Roman" w:hAnsi="Times New Roman" w:eastAsia="宋体" w:cs="Times New Roman"/>
          <w:szCs w:val="22"/>
        </w:rPr>
        <w:t>，经国务</w:t>
      </w:r>
      <w:r>
        <w:rPr>
          <w:rFonts w:hint="eastAsia" w:ascii="Times New Roman" w:hAnsi="Times New Roman" w:eastAsia="宋体" w:cs="Times New Roman"/>
          <w:szCs w:val="22"/>
        </w:rPr>
        <w:t>院</w:t>
      </w:r>
      <w:r>
        <w:rPr>
          <w:rFonts w:ascii="Times New Roman" w:hAnsi="Times New Roman" w:eastAsia="宋体" w:cs="Times New Roman"/>
          <w:szCs w:val="22"/>
        </w:rPr>
        <w:t>同意，</w:t>
      </w:r>
      <w:r>
        <w:rPr>
          <w:rFonts w:hint="eastAsia" w:ascii="Times New Roman" w:hAnsi="Times New Roman" w:eastAsia="宋体" w:cs="Times New Roman"/>
          <w:szCs w:val="22"/>
        </w:rPr>
        <w:t>生态</w:t>
      </w:r>
      <w:r>
        <w:rPr>
          <w:rFonts w:ascii="Times New Roman" w:hAnsi="Times New Roman" w:eastAsia="宋体" w:cs="Times New Roman"/>
          <w:szCs w:val="22"/>
        </w:rPr>
        <w:t>环境部</w:t>
      </w:r>
      <w:r>
        <w:rPr>
          <w:rFonts w:hint="eastAsia" w:ascii="Times New Roman" w:hAnsi="Times New Roman" w:eastAsia="宋体" w:cs="Times New Roman"/>
          <w:szCs w:val="22"/>
          <w:lang w:eastAsia="zh-CN"/>
        </w:rPr>
        <w:t>会</w:t>
      </w:r>
      <w:r>
        <w:rPr>
          <w:rFonts w:hint="eastAsia" w:ascii="Times New Roman" w:hAnsi="Times New Roman" w:eastAsia="宋体" w:cs="Times New Roman"/>
          <w:szCs w:val="22"/>
        </w:rPr>
        <w:t>同</w:t>
      </w:r>
      <w:r>
        <w:rPr>
          <w:rFonts w:ascii="Times New Roman" w:hAnsi="Times New Roman" w:eastAsia="宋体" w:cs="Times New Roman"/>
          <w:szCs w:val="22"/>
        </w:rPr>
        <w:t>国家发展和改革</w:t>
      </w:r>
      <w:r>
        <w:rPr>
          <w:rFonts w:hint="eastAsia" w:ascii="Times New Roman" w:hAnsi="Times New Roman" w:eastAsia="宋体" w:cs="Times New Roman"/>
          <w:szCs w:val="22"/>
        </w:rPr>
        <w:t>委员会</w:t>
      </w:r>
      <w:r>
        <w:rPr>
          <w:rFonts w:ascii="Times New Roman" w:hAnsi="Times New Roman" w:eastAsia="宋体" w:cs="Times New Roman"/>
          <w:szCs w:val="22"/>
        </w:rPr>
        <w:t>印发了</w:t>
      </w:r>
      <w:r>
        <w:rPr>
          <w:rFonts w:hint="eastAsia" w:ascii="Times New Roman" w:hAnsi="Times New Roman" w:eastAsia="宋体" w:cs="Times New Roman"/>
          <w:szCs w:val="22"/>
        </w:rPr>
        <w:t>《长江保护修复攻坚战行动计划》，在主要任务“（三）加强工业污染治理，有效防范生态环境风险”中提出：强化工业企业达标排放。制定造纸、焦化、氮肥、有色金属、印染、农副食品加工、原料药制造、制革、农药、电镀等十大重点行业专项治理方案，推动工业企业全面达标排放。深入推进排污许可证制度，2020年年底前，完成覆盖所有固定污染源的排污许可证核发工作。在保障措施“（三）健全投资与补偿机制”中提出：完善高耗水行业用水价格机制，提高火电、钢铁、纺织、造纸、化工、食品发酵等高耗水行业用水价格，鼓励发展节水高效现代农业。</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四川省</w:t>
      </w:r>
      <w:r>
        <w:rPr>
          <w:rFonts w:ascii="Times New Roman" w:hAnsi="Times New Roman" w:eastAsia="宋体" w:cs="Times New Roman"/>
          <w:szCs w:val="22"/>
        </w:rPr>
        <w:t>是长江上游重要的水源涵养</w:t>
      </w:r>
      <w:r>
        <w:rPr>
          <w:rFonts w:hint="eastAsia" w:ascii="Times New Roman" w:hAnsi="Times New Roman" w:eastAsia="宋体" w:cs="Times New Roman"/>
          <w:szCs w:val="22"/>
        </w:rPr>
        <w:t>区</w:t>
      </w:r>
      <w:r>
        <w:rPr>
          <w:rFonts w:ascii="Times New Roman" w:hAnsi="Times New Roman" w:eastAsia="宋体" w:cs="Times New Roman"/>
          <w:szCs w:val="22"/>
        </w:rPr>
        <w:t>和生态建设核心区，全省</w:t>
      </w:r>
      <w:r>
        <w:rPr>
          <w:rFonts w:hint="eastAsia" w:ascii="Times New Roman" w:hAnsi="Times New Roman" w:eastAsia="宋体" w:cs="Times New Roman"/>
          <w:szCs w:val="22"/>
        </w:rPr>
        <w:t>96.6</w:t>
      </w:r>
      <w:r>
        <w:rPr>
          <w:rFonts w:ascii="Times New Roman" w:hAnsi="Times New Roman" w:eastAsia="宋体" w:cs="Times New Roman"/>
          <w:szCs w:val="22"/>
        </w:rPr>
        <w:t>%的水系属于长江水系，地表水资源占长江水系径流的</w:t>
      </w:r>
      <w:r>
        <w:rPr>
          <w:rFonts w:hint="eastAsia" w:ascii="Times New Roman" w:hAnsi="Times New Roman" w:eastAsia="宋体" w:cs="Times New Roman"/>
          <w:szCs w:val="22"/>
        </w:rPr>
        <w:t>1/3，</w:t>
      </w:r>
      <w:r>
        <w:rPr>
          <w:rFonts w:ascii="Times New Roman" w:hAnsi="Times New Roman" w:eastAsia="宋体" w:cs="Times New Roman"/>
          <w:szCs w:val="22"/>
        </w:rPr>
        <w:t>流域面积接近长江经济带总面积的</w:t>
      </w:r>
      <w:r>
        <w:rPr>
          <w:rFonts w:hint="eastAsia" w:ascii="Times New Roman" w:hAnsi="Times New Roman" w:eastAsia="宋体" w:cs="Times New Roman"/>
          <w:szCs w:val="22"/>
        </w:rPr>
        <w:t>1/4，</w:t>
      </w:r>
      <w:r>
        <w:rPr>
          <w:rFonts w:ascii="Times New Roman" w:hAnsi="Times New Roman" w:eastAsia="宋体" w:cs="Times New Roman"/>
          <w:szCs w:val="22"/>
        </w:rPr>
        <w:t>在长江流域生态安全中具有重要战略地位。</w:t>
      </w:r>
      <w:r>
        <w:rPr>
          <w:rFonts w:hint="eastAsia" w:ascii="Times New Roman" w:hAnsi="Times New Roman" w:eastAsia="宋体" w:cs="Times New Roman"/>
          <w:szCs w:val="22"/>
        </w:rPr>
        <w:t>近年来</w:t>
      </w:r>
      <w:r>
        <w:rPr>
          <w:rFonts w:ascii="Times New Roman" w:hAnsi="Times New Roman" w:eastAsia="宋体" w:cs="Times New Roman"/>
          <w:szCs w:val="22"/>
        </w:rPr>
        <w:t>四川坚持走</w:t>
      </w:r>
      <w:r>
        <w:rPr>
          <w:rFonts w:hint="eastAsia" w:ascii="Times New Roman" w:hAnsi="Times New Roman" w:eastAsia="宋体" w:cs="Times New Roman"/>
          <w:szCs w:val="22"/>
        </w:rPr>
        <w:t>生态</w:t>
      </w:r>
      <w:r>
        <w:rPr>
          <w:rFonts w:ascii="Times New Roman" w:hAnsi="Times New Roman" w:eastAsia="宋体" w:cs="Times New Roman"/>
          <w:szCs w:val="22"/>
        </w:rPr>
        <w:t>优先、绿色发展</w:t>
      </w:r>
      <w:r>
        <w:rPr>
          <w:rFonts w:hint="eastAsia" w:ascii="Times New Roman" w:hAnsi="Times New Roman" w:eastAsia="宋体" w:cs="Times New Roman"/>
          <w:szCs w:val="22"/>
        </w:rPr>
        <w:t>的</w:t>
      </w:r>
      <w:r>
        <w:rPr>
          <w:rFonts w:ascii="Times New Roman" w:hAnsi="Times New Roman" w:eastAsia="宋体" w:cs="Times New Roman"/>
          <w:szCs w:val="22"/>
        </w:rPr>
        <w:t>道路，坚持在发展中保护、在保护中发展</w:t>
      </w:r>
      <w:r>
        <w:rPr>
          <w:rFonts w:hint="eastAsia" w:ascii="Times New Roman" w:hAnsi="Times New Roman" w:eastAsia="宋体" w:cs="Times New Roman"/>
          <w:szCs w:val="22"/>
        </w:rPr>
        <w:t>，</w:t>
      </w:r>
      <w:r>
        <w:rPr>
          <w:rFonts w:ascii="Times New Roman" w:hAnsi="Times New Roman" w:eastAsia="宋体" w:cs="Times New Roman"/>
          <w:szCs w:val="22"/>
        </w:rPr>
        <w:t>坚决淘汰落后过剩产能，通过严格的生态环境保护措施倒逼传统产业转型升级，大力发展绿色低碳循环经济，积极推进清洁能源示范省建设</w:t>
      </w:r>
      <w:r>
        <w:rPr>
          <w:rFonts w:hint="eastAsia" w:ascii="Times New Roman" w:hAnsi="Times New Roman" w:eastAsia="宋体" w:cs="Times New Roman"/>
          <w:szCs w:val="22"/>
        </w:rPr>
        <w:t>。</w:t>
      </w:r>
      <w:r>
        <w:rPr>
          <w:rFonts w:ascii="Times New Roman" w:hAnsi="Times New Roman" w:eastAsia="宋体" w:cs="Times New Roman"/>
          <w:szCs w:val="22"/>
        </w:rPr>
        <w:t>根据</w:t>
      </w:r>
      <w:r>
        <w:rPr>
          <w:rFonts w:hint="eastAsia" w:ascii="Times New Roman" w:hAnsi="Times New Roman" w:eastAsia="宋体" w:cs="Times New Roman"/>
          <w:szCs w:val="22"/>
        </w:rPr>
        <w:t>《2019年四川省生态环境状况公报》，四川省87个国考断面水质优良率96.6%，出川国考</w:t>
      </w:r>
      <w:r>
        <w:rPr>
          <w:rFonts w:ascii="Times New Roman" w:hAnsi="Times New Roman" w:eastAsia="宋体" w:cs="Times New Roman"/>
          <w:szCs w:val="22"/>
        </w:rPr>
        <w:t>断面全面达标</w:t>
      </w:r>
      <w:r>
        <w:rPr>
          <w:rFonts w:hint="eastAsia" w:ascii="Times New Roman" w:hAnsi="Times New Roman" w:eastAsia="宋体" w:cs="Times New Roman"/>
          <w:szCs w:val="22"/>
        </w:rPr>
        <w:t>，首次全面消除国、省考核劣V类断面，水环境质量创“十三五”以来最好水平。</w:t>
      </w:r>
    </w:p>
    <w:p>
      <w:pPr>
        <w:keepNext/>
        <w:keepLines/>
        <w:spacing w:before="120" w:after="120" w:line="415" w:lineRule="auto"/>
        <w:jc w:val="left"/>
        <w:outlineLvl w:val="1"/>
        <w:rPr>
          <w:rFonts w:ascii="Times New Roman" w:hAnsi="Times New Roman" w:eastAsia="宋体" w:cs="Times New Roman"/>
          <w:b/>
          <w:bCs/>
          <w:sz w:val="28"/>
          <w:szCs w:val="32"/>
        </w:rPr>
      </w:pPr>
      <w:bookmarkStart w:id="9" w:name="_Toc76386087"/>
      <w:r>
        <w:rPr>
          <w:rFonts w:hint="eastAsia" w:ascii="Times New Roman" w:hAnsi="Times New Roman" w:eastAsia="宋体" w:cs="Times New Roman"/>
          <w:b/>
          <w:bCs/>
          <w:sz w:val="28"/>
          <w:szCs w:val="32"/>
        </w:rPr>
        <w:t>3.2 行业发展带来的环境问题</w:t>
      </w:r>
      <w:bookmarkEnd w:id="9"/>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为了加强</w:t>
      </w:r>
      <w:r>
        <w:rPr>
          <w:rFonts w:ascii="Times New Roman" w:hAnsi="Times New Roman" w:eastAsia="宋体" w:cs="Times New Roman"/>
          <w:szCs w:val="22"/>
        </w:rPr>
        <w:t>食品行业的污染控制，</w:t>
      </w:r>
      <w:r>
        <w:rPr>
          <w:rFonts w:hint="eastAsia" w:ascii="Times New Roman" w:hAnsi="Times New Roman" w:eastAsia="宋体" w:cs="Times New Roman"/>
          <w:szCs w:val="22"/>
        </w:rPr>
        <w:t>2017年，国家发展</w:t>
      </w:r>
      <w:r>
        <w:rPr>
          <w:rFonts w:hint="eastAsia" w:ascii="Times New Roman" w:hAnsi="Times New Roman" w:eastAsia="宋体" w:cs="Times New Roman"/>
          <w:szCs w:val="22"/>
          <w:lang w:eastAsia="zh-CN"/>
        </w:rPr>
        <w:t>和</w:t>
      </w:r>
      <w:r>
        <w:rPr>
          <w:rFonts w:hint="eastAsia" w:ascii="Times New Roman" w:hAnsi="Times New Roman" w:eastAsia="宋体" w:cs="Times New Roman"/>
          <w:szCs w:val="22"/>
        </w:rPr>
        <w:t>改革委、工业和信息化部印发了《关于促进食品工业健康发展的指导意见》（发改产业〔2017〕19 号），意见指出食品工业是“为耕者谋利、为食者造福”的传统民生产业，在实施制造强国战略和推进健康中国建设中具有重要地位。要求到2020年，规模以上食品工业企业资源利用和节能减排取得突出成效，能耗、水耗和主要污染物排放进一步下降。</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近年来，四川泡菜行业蓬勃发展，泡菜产量位居全国之首。行业</w:t>
      </w:r>
      <w:r>
        <w:rPr>
          <w:rFonts w:ascii="Times New Roman" w:hAnsi="Times New Roman" w:eastAsia="宋体" w:cs="Times New Roman"/>
          <w:szCs w:val="22"/>
        </w:rPr>
        <w:t>在</w:t>
      </w:r>
      <w:r>
        <w:rPr>
          <w:rFonts w:hint="eastAsia" w:ascii="Times New Roman" w:hAnsi="Times New Roman" w:eastAsia="宋体" w:cs="Times New Roman"/>
          <w:szCs w:val="22"/>
        </w:rPr>
        <w:t>快速</w:t>
      </w:r>
      <w:r>
        <w:rPr>
          <w:rFonts w:ascii="Times New Roman" w:hAnsi="Times New Roman" w:eastAsia="宋体" w:cs="Times New Roman"/>
          <w:szCs w:val="22"/>
        </w:rPr>
        <w:t>规模化发展</w:t>
      </w:r>
      <w:r>
        <w:rPr>
          <w:rFonts w:hint="eastAsia" w:ascii="Times New Roman" w:hAnsi="Times New Roman" w:eastAsia="宋体" w:cs="Times New Roman"/>
          <w:szCs w:val="22"/>
        </w:rPr>
        <w:t>过程</w:t>
      </w:r>
      <w:r>
        <w:rPr>
          <w:rFonts w:ascii="Times New Roman" w:hAnsi="Times New Roman" w:eastAsia="宋体" w:cs="Times New Roman"/>
          <w:szCs w:val="22"/>
        </w:rPr>
        <w:t>中，</w:t>
      </w:r>
      <w:r>
        <w:rPr>
          <w:rFonts w:hint="eastAsia" w:ascii="Times New Roman" w:hAnsi="Times New Roman" w:eastAsia="宋体" w:cs="Times New Roman"/>
          <w:szCs w:val="22"/>
        </w:rPr>
        <w:t>伴随而来的环境污染问题也不断加剧。泡菜在生产加工过程中会消耗大量的食盐，因而在泡菜盐渍和清洗脱盐工段会产生大量含盐废水，尤其是盐渍废水具有高盐度（10%~17%）、高有机物（COD</w:t>
      </w:r>
      <w:r>
        <w:rPr>
          <w:rFonts w:hint="eastAsia" w:ascii="Times New Roman" w:hAnsi="Times New Roman" w:eastAsia="宋体" w:cs="Times New Roman"/>
          <w:szCs w:val="22"/>
          <w:vertAlign w:val="subscript"/>
        </w:rPr>
        <w:t>Cr</w:t>
      </w:r>
      <w:r>
        <w:rPr>
          <w:rFonts w:hint="eastAsia" w:ascii="Times New Roman" w:hAnsi="Times New Roman" w:eastAsia="宋体" w:cs="Times New Roman"/>
          <w:szCs w:val="22"/>
        </w:rPr>
        <w:t>为45000 mg/L~62000 mg/L）、高氨氮（TN为1800 mg/L~4200 mg/L）等特点。高氮磷废水的排放容易导致水体富营养化，给生态系统带来严重的影响。高盐的特性易导致微生物失活甚至脱水死亡。若</w:t>
      </w:r>
      <w:r>
        <w:rPr>
          <w:rFonts w:ascii="Times New Roman" w:hAnsi="Times New Roman" w:eastAsia="宋体" w:cs="Times New Roman"/>
          <w:szCs w:val="22"/>
        </w:rPr>
        <w:t>氯离子不加控制，</w:t>
      </w:r>
      <w:r>
        <w:rPr>
          <w:rFonts w:hint="eastAsia" w:ascii="Times New Roman" w:hAnsi="Times New Roman" w:eastAsia="宋体" w:cs="Times New Roman"/>
          <w:szCs w:val="22"/>
        </w:rPr>
        <w:t>排放</w:t>
      </w:r>
      <w:r>
        <w:rPr>
          <w:rFonts w:ascii="Times New Roman" w:hAnsi="Times New Roman" w:eastAsia="宋体" w:cs="Times New Roman"/>
          <w:szCs w:val="22"/>
        </w:rPr>
        <w:t>到自然水体中，将造成不同程度的影响。</w:t>
      </w:r>
      <w:r>
        <w:rPr>
          <w:rFonts w:hint="eastAsia" w:ascii="Times New Roman" w:hAnsi="Times New Roman" w:eastAsia="宋体" w:cs="Times New Roman"/>
          <w:szCs w:val="22"/>
        </w:rPr>
        <w:t>根据</w:t>
      </w:r>
      <w:r>
        <w:rPr>
          <w:rFonts w:ascii="Times New Roman" w:hAnsi="Times New Roman" w:eastAsia="宋体" w:cs="Times New Roman"/>
          <w:szCs w:val="22"/>
        </w:rPr>
        <w:t>文献报道，</w:t>
      </w:r>
      <w:r>
        <w:rPr>
          <w:rFonts w:hint="eastAsia" w:ascii="Times New Roman" w:hAnsi="Times New Roman" w:eastAsia="宋体" w:cs="Times New Roman"/>
          <w:szCs w:val="22"/>
        </w:rPr>
        <w:t>当水中氯化物浓度为250mg/L，阳离子为钠时，人就会察觉出咸味；而当水中氯化物浓度为170mg/L，阳离子为镁时，水则会出现苦味。氯化物对淡水鲑和狗鱼的致毒浓度为4000mg/L，氯化物对鲤鱼卵的致毒浓度为4500 mg/L～6000 mg/L。若将含有氯化物的水用于农业灌溉，在一定范围内可以促进作物的生长发育，但当氯化物浓度过高时，它又可以影响作物的生长发育，</w:t>
      </w:r>
      <w:r>
        <w:rPr>
          <w:rFonts w:ascii="Times New Roman" w:hAnsi="Times New Roman" w:eastAsia="宋体" w:cs="Times New Roman"/>
          <w:szCs w:val="22"/>
        </w:rPr>
        <w:t>并引起土壤的盐碱化</w:t>
      </w:r>
      <w:r>
        <w:rPr>
          <w:rFonts w:hint="eastAsia" w:ascii="Times New Roman" w:hAnsi="Times New Roman" w:eastAsia="宋体" w:cs="Times New Roman"/>
          <w:szCs w:val="22"/>
        </w:rPr>
        <w:t>。水环境中的氯化物还可以通过混凝土宏观、微观缺陷，渗入到混凝土中并到达钢筋表面，直接或间接破坏混凝土的包裹作用及钢筋在碱性环境下形成的钝化膜，使之发生锈蚀继而锈蚀产物体积膨胀使混凝土保护层开裂与脱落，从而进一步破坏内部钢筋的保护层，钢筋锈蚀作用加剧，如此往复则会对水体中的桥梁基座造成致命损害。</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为了解决该问题，2</w:t>
      </w:r>
      <w:r>
        <w:rPr>
          <w:rFonts w:ascii="Times New Roman" w:hAnsi="Times New Roman" w:eastAsia="宋体" w:cs="Times New Roman"/>
          <w:szCs w:val="22"/>
        </w:rPr>
        <w:t>017-2019</w:t>
      </w:r>
      <w:r>
        <w:rPr>
          <w:rFonts w:hint="eastAsia" w:ascii="Times New Roman" w:hAnsi="Times New Roman" w:eastAsia="宋体" w:cs="Times New Roman"/>
          <w:szCs w:val="22"/>
        </w:rPr>
        <w:t>年间四川省第十三届人民代表大会第二次会会议代表、四川省射洪榨菜厂，以及四川菜旺食品有限公司等社会各界人士分别对四川省</w:t>
      </w:r>
      <w:r>
        <w:rPr>
          <w:rFonts w:ascii="Times New Roman" w:hAnsi="Times New Roman" w:eastAsia="宋体" w:cs="Times New Roman"/>
          <w:szCs w:val="22"/>
        </w:rPr>
        <w:t>氯化物的排放</w:t>
      </w:r>
      <w:r>
        <w:rPr>
          <w:rFonts w:hint="eastAsia" w:ascii="Times New Roman" w:hAnsi="Times New Roman" w:eastAsia="宋体" w:cs="Times New Roman"/>
          <w:szCs w:val="22"/>
        </w:rPr>
        <w:t>提出了建议和意见，</w:t>
      </w:r>
      <w:r>
        <w:rPr>
          <w:rFonts w:ascii="Times New Roman" w:hAnsi="Times New Roman" w:eastAsia="宋体" w:cs="Times New Roman"/>
          <w:szCs w:val="22"/>
        </w:rPr>
        <w:t>并建议</w:t>
      </w:r>
      <w:r>
        <w:rPr>
          <w:rFonts w:hint="eastAsia" w:ascii="Times New Roman" w:hAnsi="Times New Roman" w:eastAsia="宋体" w:cs="Times New Roman"/>
          <w:szCs w:val="22"/>
        </w:rPr>
        <w:t>针对</w:t>
      </w:r>
      <w:r>
        <w:rPr>
          <w:rFonts w:ascii="Times New Roman" w:hAnsi="Times New Roman" w:eastAsia="宋体" w:cs="Times New Roman"/>
          <w:szCs w:val="22"/>
        </w:rPr>
        <w:t>四川省泡菜</w:t>
      </w:r>
      <w:r>
        <w:rPr>
          <w:rFonts w:hint="eastAsia" w:ascii="Times New Roman" w:hAnsi="Times New Roman" w:eastAsia="宋体" w:cs="Times New Roman"/>
          <w:szCs w:val="22"/>
        </w:rPr>
        <w:t>工业</w:t>
      </w:r>
      <w:r>
        <w:rPr>
          <w:rFonts w:ascii="Times New Roman" w:hAnsi="Times New Roman" w:eastAsia="宋体" w:cs="Times New Roman"/>
          <w:szCs w:val="22"/>
        </w:rPr>
        <w:t>废水排放制订</w:t>
      </w:r>
      <w:r>
        <w:rPr>
          <w:rFonts w:hint="eastAsia" w:ascii="Times New Roman" w:hAnsi="Times New Roman" w:eastAsia="宋体" w:cs="Times New Roman"/>
          <w:szCs w:val="22"/>
        </w:rPr>
        <w:t>地方</w:t>
      </w:r>
      <w:r>
        <w:rPr>
          <w:rFonts w:ascii="Times New Roman" w:hAnsi="Times New Roman" w:eastAsia="宋体" w:cs="Times New Roman"/>
          <w:szCs w:val="22"/>
        </w:rPr>
        <w:t>标准</w:t>
      </w:r>
      <w:r>
        <w:rPr>
          <w:rFonts w:hint="eastAsia" w:ascii="Times New Roman" w:hAnsi="Times New Roman" w:eastAsia="宋体" w:cs="Times New Roman"/>
          <w:szCs w:val="22"/>
        </w:rPr>
        <w:t>。</w:t>
      </w:r>
    </w:p>
    <w:p>
      <w:pPr>
        <w:keepNext/>
        <w:keepLines/>
        <w:spacing w:before="120" w:after="120" w:line="415" w:lineRule="auto"/>
        <w:jc w:val="left"/>
        <w:outlineLvl w:val="1"/>
        <w:rPr>
          <w:rFonts w:ascii="Times New Roman" w:hAnsi="Times New Roman" w:eastAsia="宋体" w:cs="Times New Roman"/>
          <w:b/>
          <w:bCs/>
          <w:sz w:val="28"/>
          <w:szCs w:val="32"/>
        </w:rPr>
      </w:pPr>
      <w:bookmarkStart w:id="10" w:name="_Toc76386088"/>
      <w:r>
        <w:rPr>
          <w:rFonts w:hint="eastAsia" w:ascii="Times New Roman" w:hAnsi="Times New Roman" w:eastAsia="宋体" w:cs="Times New Roman"/>
          <w:b/>
          <w:bCs/>
          <w:sz w:val="28"/>
          <w:szCs w:val="32"/>
        </w:rPr>
        <w:t>3.3 现行标准的主要问题</w:t>
      </w:r>
      <w:bookmarkEnd w:id="10"/>
    </w:p>
    <w:p>
      <w:pPr>
        <w:spacing w:line="440" w:lineRule="exact"/>
        <w:ind w:firstLine="481" w:firstLineChars="200"/>
        <w:jc w:val="left"/>
        <w:rPr>
          <w:rFonts w:ascii="Times New Roman" w:hAnsi="Times New Roman" w:eastAsia="宋体" w:cs="Times New Roman"/>
          <w:b/>
          <w:sz w:val="24"/>
          <w:szCs w:val="22"/>
        </w:rPr>
      </w:pPr>
      <w:r>
        <w:rPr>
          <w:rFonts w:hint="eastAsia" w:ascii="Times New Roman" w:hAnsi="Times New Roman" w:eastAsia="宋体" w:cs="Times New Roman"/>
          <w:b/>
          <w:sz w:val="24"/>
          <w:szCs w:val="22"/>
        </w:rPr>
        <w:t>（1）现行标准存在的主要问题</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四川省泡菜工业水污染物排放除氯化物外，其余指标均执行《污水综合排放标准》（GB 8978-1996）。《污水综合排放标准》（GB 8978-1996）是在我国特定阶段制定的覆盖行业类别较大的综合型标准，不能反映特定行业生产工艺、处理技术和污染物的特点。因而用其进行泡菜废水的污染控制，存在一系列问题，主要为：</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1）污染控制项目缺乏针对性</w:t>
      </w:r>
      <w:r>
        <w:rPr>
          <w:rFonts w:hint="eastAsia" w:ascii="Times New Roman" w:hAnsi="Times New Roman" w:eastAsia="宋体" w:cs="Times New Roman"/>
          <w:szCs w:val="22"/>
          <w:lang w:eastAsia="zh-CN"/>
        </w:rPr>
        <w:t>。</w:t>
      </w:r>
      <w:r>
        <w:rPr>
          <w:rFonts w:hint="eastAsia" w:ascii="Times New Roman" w:hAnsi="Times New Roman" w:eastAsia="宋体" w:cs="Times New Roman"/>
          <w:szCs w:val="22"/>
        </w:rPr>
        <w:t>污染物</w:t>
      </w:r>
      <w:r>
        <w:rPr>
          <w:rFonts w:hint="eastAsia" w:ascii="Times New Roman" w:hAnsi="Times New Roman" w:eastAsia="宋体" w:cs="Times New Roman"/>
          <w:szCs w:val="22"/>
          <w:lang w:eastAsia="zh-CN"/>
        </w:rPr>
        <w:t>控制</w:t>
      </w:r>
      <w:r>
        <w:rPr>
          <w:rFonts w:hint="eastAsia" w:ascii="Times New Roman" w:hAnsi="Times New Roman" w:eastAsia="宋体" w:cs="Times New Roman"/>
          <w:szCs w:val="22"/>
        </w:rPr>
        <w:t>指标无法有效地体现泡菜工业的污染特征</w:t>
      </w:r>
      <w:r>
        <w:rPr>
          <w:rFonts w:hint="eastAsia" w:ascii="Times New Roman" w:hAnsi="Times New Roman" w:eastAsia="宋体" w:cs="Times New Roman"/>
          <w:szCs w:val="22"/>
          <w:lang w:eastAsia="zh-CN"/>
        </w:rPr>
        <w:t>，</w:t>
      </w:r>
      <w:r>
        <w:rPr>
          <w:rFonts w:hint="eastAsia" w:ascii="Times New Roman" w:hAnsi="Times New Roman" w:eastAsia="宋体" w:cs="Times New Roman"/>
          <w:szCs w:val="22"/>
        </w:rPr>
        <w:t>尚未设总氮这一与食品加工制造业密切相关的</w:t>
      </w:r>
      <w:r>
        <w:rPr>
          <w:rFonts w:hint="eastAsia" w:ascii="Times New Roman" w:hAnsi="Times New Roman" w:eastAsia="宋体" w:cs="Times New Roman"/>
          <w:szCs w:val="22"/>
          <w:lang w:eastAsia="zh-CN"/>
        </w:rPr>
        <w:t>指标</w:t>
      </w:r>
      <w:r>
        <w:rPr>
          <w:rFonts w:hint="eastAsia" w:ascii="Times New Roman" w:hAnsi="Times New Roman" w:eastAsia="宋体" w:cs="Times New Roman"/>
          <w:szCs w:val="22"/>
        </w:rPr>
        <w:t>。</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2）污染物排放控制水平偏松</w:t>
      </w:r>
      <w:r>
        <w:rPr>
          <w:rFonts w:hint="eastAsia" w:ascii="Times New Roman" w:hAnsi="Times New Roman" w:eastAsia="宋体" w:cs="Times New Roman"/>
          <w:szCs w:val="22"/>
          <w:lang w:eastAsia="zh-CN"/>
        </w:rPr>
        <w:t>。</w:t>
      </w:r>
      <w:r>
        <w:rPr>
          <w:rFonts w:hint="eastAsia" w:ascii="Times New Roman" w:hAnsi="Times New Roman" w:eastAsia="宋体" w:cs="Times New Roman"/>
          <w:szCs w:val="22"/>
        </w:rPr>
        <w:t>《污水综合排放标准》（GB 8978-1996）是多年前制定的排放标准，其中的某些污染物浓度排放限值要求相对较宽，不能体现食品加工制造业的生产工艺、清洁生产技术和末端治理技术现状与发展趋势。</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3）</w:t>
      </w:r>
      <w:r>
        <w:rPr>
          <w:rFonts w:hint="eastAsia" w:ascii="Times New Roman" w:hAnsi="Times New Roman" w:eastAsia="宋体" w:cs="Times New Roman"/>
          <w:szCs w:val="22"/>
          <w:lang w:eastAsia="zh-CN"/>
        </w:rPr>
        <w:t>污染物排放总量控制要求薄弱。</w:t>
      </w:r>
      <w:r>
        <w:rPr>
          <w:rFonts w:hint="eastAsia" w:ascii="Times New Roman" w:hAnsi="Times New Roman" w:eastAsia="宋体" w:cs="Times New Roman"/>
          <w:szCs w:val="22"/>
        </w:rPr>
        <w:t>只有浓度限值，对该行业的单位产品排水量要求没有规定或规定不全，无法实现对污染物排放总量的有效控制。</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4）</w:t>
      </w:r>
      <w:r>
        <w:rPr>
          <w:rFonts w:hint="eastAsia" w:ascii="Times New Roman" w:hAnsi="Times New Roman" w:eastAsia="宋体" w:cs="Times New Roman"/>
          <w:szCs w:val="22"/>
          <w:lang w:eastAsia="zh-CN"/>
        </w:rPr>
        <w:t>间接排放管理不完善：</w:t>
      </w:r>
      <w:r>
        <w:rPr>
          <w:rFonts w:hint="eastAsia" w:ascii="Times New Roman" w:hAnsi="Times New Roman" w:eastAsia="宋体" w:cs="Times New Roman"/>
          <w:szCs w:val="22"/>
        </w:rPr>
        <w:t>针对企业废水排入园区污水处理厂或城镇污水处理厂等间接排放情形日益普遍的情况，应结合行业废水特点，完善间排控制要求。</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5）监测方法标准</w:t>
      </w:r>
      <w:r>
        <w:rPr>
          <w:rFonts w:hint="eastAsia" w:ascii="Times New Roman" w:hAnsi="Times New Roman" w:eastAsia="宋体" w:cs="Times New Roman"/>
          <w:szCs w:val="22"/>
          <w:lang w:eastAsia="zh-CN"/>
        </w:rPr>
        <w:t>未及时更新。</w:t>
      </w:r>
      <w:r>
        <w:rPr>
          <w:rFonts w:hint="eastAsia" w:ascii="Times New Roman" w:hAnsi="Times New Roman" w:eastAsia="宋体" w:cs="Times New Roman"/>
          <w:szCs w:val="22"/>
        </w:rPr>
        <w:t>未引用最新发布的监测方法标准。</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综上，在当前严峻的环保形势下，现行标准已不能有效控制泡菜工业的污染排放行为。为了促进泡菜工业的技术升级，优化产业结构，有效控制企业污染物排放行为，推动行业绿色发展，有必要制订《四川省泡菜工业水污染物排放标准》。</w:t>
      </w:r>
    </w:p>
    <w:p>
      <w:pPr>
        <w:spacing w:line="440" w:lineRule="exact"/>
        <w:ind w:firstLine="421" w:firstLineChars="200"/>
        <w:jc w:val="left"/>
        <w:rPr>
          <w:rFonts w:ascii="Times New Roman" w:hAnsi="Times New Roman" w:eastAsia="宋体" w:cs="Times New Roman"/>
          <w:b/>
          <w:szCs w:val="22"/>
        </w:rPr>
      </w:pPr>
      <w:r>
        <w:rPr>
          <w:rFonts w:hint="eastAsia" w:ascii="Times New Roman" w:hAnsi="Times New Roman" w:eastAsia="宋体" w:cs="Times New Roman"/>
          <w:b/>
          <w:szCs w:val="22"/>
        </w:rPr>
        <w:t>（2）特征污染物的管控问题</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目前，省内针对泡菜工业氯化物的排放管控，无可参考的国家控制标准</w:t>
      </w:r>
      <w:r>
        <w:rPr>
          <w:rFonts w:hint="eastAsia" w:ascii="Times New Roman" w:hAnsi="Times New Roman" w:eastAsia="宋体" w:cs="Times New Roman"/>
          <w:szCs w:val="22"/>
          <w:lang w:eastAsia="zh-CN"/>
        </w:rPr>
        <w:t>。</w:t>
      </w:r>
      <w:r>
        <w:rPr>
          <w:rFonts w:hint="eastAsia" w:ascii="Times New Roman" w:hAnsi="Times New Roman" w:eastAsia="宋体" w:cs="Times New Roman"/>
          <w:szCs w:val="22"/>
          <w:lang w:val="en-US" w:eastAsia="zh-CN"/>
        </w:rPr>
        <w:t>93年制定的</w:t>
      </w:r>
      <w:r>
        <w:rPr>
          <w:rFonts w:hint="eastAsia" w:ascii="Times New Roman" w:hAnsi="Times New Roman" w:eastAsia="宋体" w:cs="Times New Roman"/>
          <w:szCs w:val="22"/>
        </w:rPr>
        <w:t>《四川省水污染物排放标准》（DB51/190-93）</w:t>
      </w:r>
      <w:r>
        <w:rPr>
          <w:rFonts w:hint="eastAsia" w:ascii="Times New Roman" w:hAnsi="Times New Roman" w:eastAsia="宋体" w:cs="Times New Roman"/>
          <w:szCs w:val="22"/>
          <w:lang w:eastAsia="zh-CN"/>
        </w:rPr>
        <w:t>，</w:t>
      </w:r>
      <w:r>
        <w:rPr>
          <w:rFonts w:hint="eastAsia" w:ascii="Times New Roman" w:hAnsi="Times New Roman" w:eastAsia="宋体" w:cs="Times New Roman"/>
          <w:szCs w:val="22"/>
        </w:rPr>
        <w:t>虽对氯化物排放进行了控制，但该标准制定时间较长，已不能满足当前污染控制需要，且不符合污染治理技术能力。为</w:t>
      </w:r>
      <w:r>
        <w:rPr>
          <w:rFonts w:hint="eastAsia" w:ascii="Times New Roman" w:hAnsi="Times New Roman" w:eastAsia="宋体" w:cs="Times New Roman"/>
          <w:szCs w:val="22"/>
          <w:lang w:eastAsia="zh-CN"/>
        </w:rPr>
        <w:t>加强泡菜企业的环境管理，</w:t>
      </w:r>
      <w:r>
        <w:rPr>
          <w:rFonts w:hint="eastAsia" w:ascii="Times New Roman" w:hAnsi="Times New Roman" w:eastAsia="宋体" w:cs="Times New Roman"/>
          <w:szCs w:val="22"/>
        </w:rPr>
        <w:t>解决标准执行过程中存在的问题，提升</w:t>
      </w:r>
      <w:r>
        <w:rPr>
          <w:rFonts w:hint="eastAsia" w:ascii="Times New Roman" w:hAnsi="Times New Roman" w:eastAsia="宋体" w:cs="Times New Roman"/>
          <w:szCs w:val="22"/>
          <w:lang w:eastAsia="zh-CN"/>
        </w:rPr>
        <w:t>环境</w:t>
      </w:r>
      <w:r>
        <w:rPr>
          <w:rFonts w:hint="eastAsia" w:ascii="Times New Roman" w:hAnsi="Times New Roman" w:eastAsia="宋体" w:cs="Times New Roman"/>
          <w:szCs w:val="22"/>
        </w:rPr>
        <w:t>执法和管理水平，规范行业污染物排放，迫切需要制定四川省泡菜工业水污染物排放标准。</w:t>
      </w:r>
    </w:p>
    <w:p>
      <w:pPr>
        <w:keepNext/>
        <w:keepLines/>
        <w:spacing w:before="120" w:after="120" w:line="415" w:lineRule="auto"/>
        <w:jc w:val="left"/>
        <w:outlineLvl w:val="1"/>
        <w:rPr>
          <w:rFonts w:ascii="Times New Roman" w:hAnsi="Times New Roman" w:eastAsia="宋体" w:cs="Times New Roman"/>
          <w:b/>
          <w:bCs/>
          <w:sz w:val="28"/>
          <w:szCs w:val="32"/>
        </w:rPr>
      </w:pPr>
      <w:bookmarkStart w:id="11" w:name="_Toc76386089"/>
      <w:r>
        <w:rPr>
          <w:rFonts w:hint="eastAsia" w:ascii="Times New Roman" w:hAnsi="Times New Roman" w:eastAsia="宋体" w:cs="Times New Roman"/>
          <w:b/>
          <w:bCs/>
          <w:sz w:val="28"/>
          <w:szCs w:val="32"/>
        </w:rPr>
        <w:t>3.</w:t>
      </w:r>
      <w:r>
        <w:rPr>
          <w:rFonts w:ascii="Times New Roman" w:hAnsi="Times New Roman" w:eastAsia="宋体" w:cs="Times New Roman"/>
          <w:b/>
          <w:bCs/>
          <w:sz w:val="28"/>
          <w:szCs w:val="32"/>
        </w:rPr>
        <w:t xml:space="preserve">4 </w:t>
      </w:r>
      <w:r>
        <w:rPr>
          <w:rFonts w:hint="eastAsia" w:ascii="Times New Roman" w:hAnsi="Times New Roman" w:eastAsia="宋体" w:cs="Times New Roman"/>
          <w:b/>
          <w:bCs/>
          <w:sz w:val="28"/>
          <w:szCs w:val="32"/>
        </w:rPr>
        <w:t>促进企业开展清洁</w:t>
      </w:r>
      <w:r>
        <w:rPr>
          <w:rFonts w:ascii="Times New Roman" w:hAnsi="Times New Roman" w:eastAsia="宋体" w:cs="Times New Roman"/>
          <w:b/>
          <w:bCs/>
          <w:sz w:val="28"/>
          <w:szCs w:val="32"/>
        </w:rPr>
        <w:t>生产</w:t>
      </w:r>
      <w:r>
        <w:rPr>
          <w:rFonts w:hint="eastAsia" w:ascii="Times New Roman" w:hAnsi="Times New Roman" w:eastAsia="宋体" w:cs="Times New Roman"/>
          <w:b/>
          <w:bCs/>
          <w:sz w:val="28"/>
          <w:szCs w:val="32"/>
        </w:rPr>
        <w:t>的必要</w:t>
      </w:r>
      <w:bookmarkEnd w:id="11"/>
    </w:p>
    <w:p>
      <w:pPr>
        <w:spacing w:line="440" w:lineRule="exact"/>
        <w:ind w:firstLine="421"/>
        <w:jc w:val="left"/>
        <w:rPr>
          <w:rFonts w:ascii="Times New Roman" w:hAnsi="Times New Roman" w:eastAsia="宋体" w:cs="Times New Roman"/>
          <w:szCs w:val="22"/>
        </w:rPr>
      </w:pPr>
      <w:r>
        <w:rPr>
          <w:rFonts w:hint="eastAsia" w:ascii="Times New Roman" w:hAnsi="Times New Roman" w:eastAsia="宋体" w:cs="Times New Roman"/>
          <w:szCs w:val="22"/>
        </w:rPr>
        <w:t>早期国内传统的泡菜发酵方法主要是依靠泡菜自身所带微生物在密封情况下进行自然发酵，发酵周期相对较长，生产力低下，难以实现大规模的工业化生产。近年来</w:t>
      </w:r>
      <w:r>
        <w:rPr>
          <w:rFonts w:ascii="Times New Roman" w:hAnsi="Times New Roman" w:eastAsia="宋体" w:cs="Times New Roman"/>
          <w:szCs w:val="22"/>
        </w:rPr>
        <w:t>，四川对</w:t>
      </w:r>
      <w:r>
        <w:rPr>
          <w:rFonts w:hint="eastAsia" w:ascii="Times New Roman" w:hAnsi="Times New Roman" w:eastAsia="宋体" w:cs="Times New Roman"/>
          <w:szCs w:val="22"/>
        </w:rPr>
        <w:t>泡菜生产工艺</w:t>
      </w:r>
      <w:r>
        <w:rPr>
          <w:rFonts w:hint="eastAsia" w:ascii="Times New Roman" w:hAnsi="Times New Roman" w:eastAsia="宋体" w:cs="Times New Roman"/>
          <w:szCs w:val="22"/>
          <w:lang w:eastAsia="zh-CN"/>
        </w:rPr>
        <w:t>进行了深入研究</w:t>
      </w:r>
      <w:r>
        <w:rPr>
          <w:rFonts w:hint="eastAsia" w:ascii="Times New Roman" w:hAnsi="Times New Roman" w:eastAsia="宋体" w:cs="Times New Roman"/>
          <w:szCs w:val="22"/>
        </w:rPr>
        <w:t>，先后研发了“直投式乳酸菌发酵加工泡菜技术”、“四川泡菜保色保脆技术”、“泡菜增香调味技术”以及中国现代泡菜加工技术等，</w:t>
      </w:r>
      <w:r>
        <w:rPr>
          <w:rFonts w:ascii="Times New Roman" w:hAnsi="Times New Roman" w:eastAsia="宋体" w:cs="Times New Roman"/>
          <w:szCs w:val="22"/>
        </w:rPr>
        <w:t>使</w:t>
      </w:r>
      <w:r>
        <w:rPr>
          <w:rFonts w:hint="eastAsia" w:ascii="Times New Roman" w:hAnsi="Times New Roman" w:eastAsia="宋体" w:cs="Times New Roman"/>
          <w:szCs w:val="22"/>
        </w:rPr>
        <w:t>四川泡菜逐步</w:t>
      </w:r>
      <w:r>
        <w:rPr>
          <w:rFonts w:ascii="Times New Roman" w:hAnsi="Times New Roman" w:eastAsia="宋体" w:cs="Times New Roman"/>
          <w:szCs w:val="22"/>
        </w:rPr>
        <w:t>走上了</w:t>
      </w:r>
      <w:r>
        <w:rPr>
          <w:rFonts w:hint="eastAsia" w:ascii="Times New Roman" w:hAnsi="Times New Roman" w:eastAsia="宋体" w:cs="Times New Roman"/>
          <w:szCs w:val="22"/>
        </w:rPr>
        <w:t>工业化生产的道路</w:t>
      </w:r>
      <w:r>
        <w:rPr>
          <w:rFonts w:ascii="Times New Roman" w:hAnsi="Times New Roman" w:eastAsia="宋体" w:cs="Times New Roman"/>
          <w:szCs w:val="22"/>
        </w:rPr>
        <w:t>。</w:t>
      </w:r>
      <w:r>
        <w:rPr>
          <w:rFonts w:hint="eastAsia" w:ascii="Times New Roman" w:hAnsi="Times New Roman" w:eastAsia="宋体" w:cs="Times New Roman"/>
          <w:szCs w:val="22"/>
        </w:rPr>
        <w:t>但</w:t>
      </w:r>
      <w:r>
        <w:rPr>
          <w:rFonts w:ascii="Times New Roman" w:hAnsi="Times New Roman" w:eastAsia="宋体" w:cs="Times New Roman"/>
          <w:szCs w:val="22"/>
        </w:rPr>
        <w:t>企业在</w:t>
      </w:r>
      <w:r>
        <w:rPr>
          <w:rFonts w:hint="eastAsia" w:ascii="Times New Roman" w:hAnsi="Times New Roman" w:eastAsia="宋体" w:cs="Times New Roman"/>
          <w:szCs w:val="22"/>
        </w:rPr>
        <w:t>集约</w:t>
      </w:r>
      <w:r>
        <w:rPr>
          <w:rFonts w:ascii="Times New Roman" w:hAnsi="Times New Roman" w:eastAsia="宋体" w:cs="Times New Roman"/>
          <w:szCs w:val="22"/>
        </w:rPr>
        <w:t>化生产的过程中，由于无相关的行业</w:t>
      </w:r>
      <w:r>
        <w:rPr>
          <w:rFonts w:hint="eastAsia" w:ascii="Times New Roman" w:hAnsi="Times New Roman" w:eastAsia="宋体" w:cs="Times New Roman"/>
          <w:szCs w:val="22"/>
        </w:rPr>
        <w:t>排放</w:t>
      </w:r>
      <w:r>
        <w:rPr>
          <w:rFonts w:ascii="Times New Roman" w:hAnsi="Times New Roman" w:eastAsia="宋体" w:cs="Times New Roman"/>
          <w:szCs w:val="22"/>
        </w:rPr>
        <w:t>标准，</w:t>
      </w:r>
      <w:r>
        <w:rPr>
          <w:rFonts w:hint="eastAsia" w:ascii="Times New Roman" w:hAnsi="Times New Roman" w:eastAsia="宋体" w:cs="Times New Roman"/>
          <w:szCs w:val="22"/>
        </w:rPr>
        <w:t>企业的生产设备、技术及管理力量</w:t>
      </w:r>
      <w:r>
        <w:rPr>
          <w:rFonts w:ascii="Times New Roman" w:hAnsi="Times New Roman" w:eastAsia="宋体" w:cs="Times New Roman"/>
          <w:szCs w:val="22"/>
        </w:rPr>
        <w:t>及污染治理水平参差不齐，</w:t>
      </w:r>
      <w:r>
        <w:rPr>
          <w:rFonts w:hint="eastAsia" w:ascii="Times New Roman" w:hAnsi="Times New Roman" w:eastAsia="宋体" w:cs="Times New Roman"/>
          <w:szCs w:val="22"/>
        </w:rPr>
        <w:t>造成副产物不能综合利用、原材料浪费及环境污染严重</w:t>
      </w:r>
      <w:r>
        <w:rPr>
          <w:rFonts w:ascii="Times New Roman" w:hAnsi="Times New Roman" w:eastAsia="宋体" w:cs="Times New Roman"/>
          <w:szCs w:val="22"/>
        </w:rPr>
        <w:t>，</w:t>
      </w:r>
      <w:r>
        <w:rPr>
          <w:rFonts w:hint="eastAsia" w:ascii="Times New Roman" w:hAnsi="Times New Roman" w:eastAsia="宋体" w:cs="Times New Roman"/>
          <w:szCs w:val="22"/>
        </w:rPr>
        <w:t>影响行业</w:t>
      </w:r>
      <w:r>
        <w:rPr>
          <w:rFonts w:ascii="Times New Roman" w:hAnsi="Times New Roman" w:eastAsia="宋体" w:cs="Times New Roman"/>
          <w:szCs w:val="22"/>
        </w:rPr>
        <w:t>绿色</w:t>
      </w:r>
      <w:r>
        <w:rPr>
          <w:rFonts w:hint="eastAsia" w:ascii="Times New Roman" w:hAnsi="Times New Roman" w:eastAsia="宋体" w:cs="Times New Roman"/>
          <w:szCs w:val="22"/>
        </w:rPr>
        <w:t>可持续</w:t>
      </w:r>
      <w:r>
        <w:rPr>
          <w:rFonts w:ascii="Times New Roman" w:hAnsi="Times New Roman" w:eastAsia="宋体" w:cs="Times New Roman"/>
          <w:szCs w:val="22"/>
        </w:rPr>
        <w:t>发展</w:t>
      </w:r>
      <w:r>
        <w:rPr>
          <w:rFonts w:hint="eastAsia" w:ascii="Times New Roman" w:hAnsi="Times New Roman" w:eastAsia="宋体" w:cs="Times New Roman"/>
          <w:szCs w:val="22"/>
        </w:rPr>
        <w:t>。</w:t>
      </w:r>
    </w:p>
    <w:p>
      <w:pPr>
        <w:spacing w:line="440" w:lineRule="exact"/>
        <w:ind w:firstLine="421"/>
        <w:jc w:val="left"/>
        <w:rPr>
          <w:rFonts w:ascii="Times New Roman" w:hAnsi="Times New Roman" w:eastAsia="宋体" w:cs="Times New Roman"/>
          <w:szCs w:val="22"/>
        </w:rPr>
      </w:pPr>
      <w:r>
        <w:rPr>
          <w:rFonts w:hint="eastAsia" w:ascii="Times New Roman" w:hAnsi="Times New Roman" w:eastAsia="宋体" w:cs="Times New Roman"/>
          <w:szCs w:val="22"/>
        </w:rPr>
        <w:t>行业污染物</w:t>
      </w:r>
      <w:r>
        <w:rPr>
          <w:rFonts w:ascii="Times New Roman" w:hAnsi="Times New Roman" w:eastAsia="宋体" w:cs="Times New Roman"/>
          <w:szCs w:val="22"/>
        </w:rPr>
        <w:t>排放标准</w:t>
      </w:r>
      <w:r>
        <w:rPr>
          <w:rFonts w:hint="eastAsia" w:ascii="Times New Roman" w:hAnsi="Times New Roman" w:eastAsia="宋体" w:cs="Times New Roman"/>
          <w:szCs w:val="22"/>
        </w:rPr>
        <w:t>是</w:t>
      </w:r>
      <w:r>
        <w:rPr>
          <w:rFonts w:ascii="Times New Roman" w:hAnsi="Times New Roman" w:eastAsia="宋体" w:cs="Times New Roman"/>
          <w:szCs w:val="22"/>
        </w:rPr>
        <w:t>正确处理经济发展</w:t>
      </w:r>
      <w:r>
        <w:rPr>
          <w:rFonts w:hint="eastAsia" w:ascii="Times New Roman" w:hAnsi="Times New Roman" w:eastAsia="宋体" w:cs="Times New Roman"/>
          <w:szCs w:val="22"/>
        </w:rPr>
        <w:t>与</w:t>
      </w:r>
      <w:r>
        <w:rPr>
          <w:rFonts w:ascii="Times New Roman" w:hAnsi="Times New Roman" w:eastAsia="宋体" w:cs="Times New Roman"/>
          <w:szCs w:val="22"/>
        </w:rPr>
        <w:t>生态环境保护</w:t>
      </w:r>
      <w:r>
        <w:rPr>
          <w:rFonts w:hint="eastAsia" w:ascii="Times New Roman" w:hAnsi="Times New Roman" w:eastAsia="宋体" w:cs="Times New Roman"/>
          <w:szCs w:val="22"/>
        </w:rPr>
        <w:t>关系</w:t>
      </w:r>
      <w:r>
        <w:rPr>
          <w:rFonts w:ascii="Times New Roman" w:hAnsi="Times New Roman" w:eastAsia="宋体" w:cs="Times New Roman"/>
          <w:szCs w:val="22"/>
        </w:rPr>
        <w:t>的</w:t>
      </w:r>
      <w:r>
        <w:rPr>
          <w:rFonts w:hint="eastAsia" w:ascii="Times New Roman" w:hAnsi="Times New Roman" w:eastAsia="宋体" w:cs="Times New Roman"/>
          <w:szCs w:val="22"/>
        </w:rPr>
        <w:t>桥梁</w:t>
      </w:r>
      <w:r>
        <w:rPr>
          <w:rFonts w:ascii="Times New Roman" w:hAnsi="Times New Roman" w:eastAsia="宋体" w:cs="Times New Roman"/>
          <w:szCs w:val="22"/>
        </w:rPr>
        <w:t>，也是促进企业</w:t>
      </w:r>
      <w:r>
        <w:rPr>
          <w:rFonts w:hint="eastAsia" w:ascii="Times New Roman" w:hAnsi="Times New Roman" w:eastAsia="宋体" w:cs="Times New Roman"/>
          <w:szCs w:val="22"/>
        </w:rPr>
        <w:t>开展</w:t>
      </w:r>
      <w:r>
        <w:rPr>
          <w:rFonts w:ascii="Times New Roman" w:hAnsi="Times New Roman" w:eastAsia="宋体" w:cs="Times New Roman"/>
          <w:szCs w:val="22"/>
        </w:rPr>
        <w:t>清洁生产</w:t>
      </w:r>
      <w:r>
        <w:rPr>
          <w:rFonts w:hint="eastAsia" w:ascii="Times New Roman" w:hAnsi="Times New Roman" w:eastAsia="宋体" w:cs="Times New Roman"/>
          <w:szCs w:val="22"/>
        </w:rPr>
        <w:t>、调整</w:t>
      </w:r>
      <w:r>
        <w:rPr>
          <w:rFonts w:ascii="Times New Roman" w:hAnsi="Times New Roman" w:eastAsia="宋体" w:cs="Times New Roman"/>
          <w:szCs w:val="22"/>
        </w:rPr>
        <w:t>产品结构</w:t>
      </w:r>
      <w:r>
        <w:rPr>
          <w:rFonts w:hint="eastAsia" w:ascii="Times New Roman" w:hAnsi="Times New Roman" w:eastAsia="宋体" w:cs="Times New Roman"/>
          <w:szCs w:val="22"/>
        </w:rPr>
        <w:t>、</w:t>
      </w:r>
      <w:r>
        <w:rPr>
          <w:rFonts w:ascii="Times New Roman" w:hAnsi="Times New Roman" w:eastAsia="宋体" w:cs="Times New Roman"/>
          <w:szCs w:val="22"/>
        </w:rPr>
        <w:t>优化生产工艺</w:t>
      </w:r>
      <w:r>
        <w:rPr>
          <w:rFonts w:hint="eastAsia" w:ascii="Times New Roman" w:hAnsi="Times New Roman" w:eastAsia="宋体" w:cs="Times New Roman"/>
          <w:szCs w:val="22"/>
        </w:rPr>
        <w:t>及提高</w:t>
      </w:r>
      <w:r>
        <w:rPr>
          <w:rFonts w:ascii="Times New Roman" w:hAnsi="Times New Roman" w:eastAsia="宋体" w:cs="Times New Roman"/>
          <w:szCs w:val="22"/>
        </w:rPr>
        <w:t>资源利用的</w:t>
      </w:r>
      <w:r>
        <w:rPr>
          <w:rFonts w:hint="eastAsia" w:ascii="Times New Roman" w:hAnsi="Times New Roman" w:eastAsia="宋体" w:cs="Times New Roman"/>
          <w:szCs w:val="22"/>
        </w:rPr>
        <w:t>有力</w:t>
      </w:r>
      <w:r>
        <w:rPr>
          <w:rFonts w:ascii="Times New Roman" w:hAnsi="Times New Roman" w:eastAsia="宋体" w:cs="Times New Roman"/>
          <w:szCs w:val="22"/>
        </w:rPr>
        <w:t>措施</w:t>
      </w:r>
      <w:r>
        <w:rPr>
          <w:rFonts w:hint="eastAsia" w:ascii="Times New Roman" w:hAnsi="Times New Roman" w:eastAsia="宋体" w:cs="Times New Roman"/>
          <w:szCs w:val="22"/>
        </w:rPr>
        <w:t>。通过</w:t>
      </w:r>
      <w:r>
        <w:rPr>
          <w:rFonts w:ascii="Times New Roman" w:hAnsi="Times New Roman" w:eastAsia="宋体" w:cs="Times New Roman"/>
          <w:szCs w:val="22"/>
        </w:rPr>
        <w:t>行业</w:t>
      </w:r>
      <w:r>
        <w:rPr>
          <w:rFonts w:hint="eastAsia" w:ascii="Times New Roman" w:hAnsi="Times New Roman" w:eastAsia="宋体" w:cs="Times New Roman"/>
          <w:szCs w:val="22"/>
        </w:rPr>
        <w:t>标准</w:t>
      </w:r>
      <w:r>
        <w:rPr>
          <w:rFonts w:ascii="Times New Roman" w:hAnsi="Times New Roman" w:eastAsia="宋体" w:cs="Times New Roman"/>
          <w:szCs w:val="22"/>
        </w:rPr>
        <w:t>的制定，可以</w:t>
      </w:r>
      <w:r>
        <w:rPr>
          <w:rFonts w:hint="eastAsia" w:ascii="Times New Roman" w:hAnsi="Times New Roman" w:eastAsia="宋体" w:cs="Times New Roman"/>
          <w:szCs w:val="22"/>
        </w:rPr>
        <w:t>促进四川省泡菜工业企业加强</w:t>
      </w:r>
      <w:r>
        <w:rPr>
          <w:rFonts w:ascii="Times New Roman" w:hAnsi="Times New Roman" w:eastAsia="宋体" w:cs="Times New Roman"/>
          <w:szCs w:val="22"/>
        </w:rPr>
        <w:t>清洁生产</w:t>
      </w:r>
      <w:r>
        <w:rPr>
          <w:rFonts w:hint="eastAsia" w:ascii="Times New Roman" w:hAnsi="Times New Roman" w:eastAsia="宋体" w:cs="Times New Roman"/>
          <w:szCs w:val="22"/>
        </w:rPr>
        <w:t>，从泡菜</w:t>
      </w:r>
      <w:r>
        <w:rPr>
          <w:rFonts w:ascii="Times New Roman" w:hAnsi="Times New Roman" w:eastAsia="宋体" w:cs="Times New Roman"/>
          <w:szCs w:val="22"/>
        </w:rPr>
        <w:t>生产源头、过程、末端三个方面</w:t>
      </w:r>
      <w:r>
        <w:rPr>
          <w:rFonts w:hint="eastAsia" w:ascii="Times New Roman" w:hAnsi="Times New Roman" w:eastAsia="宋体" w:cs="Times New Roman"/>
          <w:szCs w:val="22"/>
        </w:rPr>
        <w:t>着手</w:t>
      </w:r>
      <w:r>
        <w:rPr>
          <w:rFonts w:ascii="Times New Roman" w:hAnsi="Times New Roman" w:eastAsia="宋体" w:cs="Times New Roman"/>
          <w:szCs w:val="22"/>
        </w:rPr>
        <w:t>，</w:t>
      </w:r>
      <w:r>
        <w:rPr>
          <w:rFonts w:hint="eastAsia" w:ascii="Times New Roman" w:hAnsi="Times New Roman" w:eastAsia="宋体" w:cs="Times New Roman"/>
          <w:szCs w:val="22"/>
        </w:rPr>
        <w:t>优化</w:t>
      </w:r>
      <w:r>
        <w:rPr>
          <w:rFonts w:ascii="Times New Roman" w:hAnsi="Times New Roman" w:eastAsia="宋体" w:cs="Times New Roman"/>
          <w:szCs w:val="22"/>
        </w:rPr>
        <w:t>厂区布局，分类生产，</w:t>
      </w:r>
      <w:r>
        <w:rPr>
          <w:rFonts w:hint="eastAsia" w:ascii="Times New Roman" w:hAnsi="Times New Roman" w:eastAsia="宋体" w:cs="Times New Roman"/>
          <w:szCs w:val="22"/>
        </w:rPr>
        <w:t>形成低盐</w:t>
      </w:r>
      <w:r>
        <w:rPr>
          <w:rFonts w:ascii="Times New Roman" w:hAnsi="Times New Roman" w:eastAsia="宋体" w:cs="Times New Roman"/>
          <w:szCs w:val="22"/>
        </w:rPr>
        <w:t>生产技术和方式，</w:t>
      </w:r>
      <w:r>
        <w:rPr>
          <w:rFonts w:hint="eastAsia" w:ascii="Times New Roman" w:hAnsi="Times New Roman" w:eastAsia="宋体" w:cs="Times New Roman"/>
          <w:szCs w:val="22"/>
        </w:rPr>
        <w:t>加强生产</w:t>
      </w:r>
      <w:r>
        <w:rPr>
          <w:rFonts w:ascii="Times New Roman" w:hAnsi="Times New Roman" w:eastAsia="宋体" w:cs="Times New Roman"/>
          <w:szCs w:val="22"/>
        </w:rPr>
        <w:t>过程控制，降低</w:t>
      </w:r>
      <w:r>
        <w:rPr>
          <w:rFonts w:hint="eastAsia" w:ascii="Times New Roman" w:hAnsi="Times New Roman" w:eastAsia="宋体" w:cs="Times New Roman"/>
          <w:szCs w:val="22"/>
        </w:rPr>
        <w:t>泡菜</w:t>
      </w:r>
      <w:r>
        <w:rPr>
          <w:rFonts w:ascii="Times New Roman" w:hAnsi="Times New Roman" w:eastAsia="宋体" w:cs="Times New Roman"/>
          <w:szCs w:val="22"/>
        </w:rPr>
        <w:t>废水含盐量，</w:t>
      </w:r>
      <w:r>
        <w:rPr>
          <w:rFonts w:hint="eastAsia" w:ascii="Times New Roman" w:hAnsi="Times New Roman" w:eastAsia="宋体" w:cs="Times New Roman"/>
          <w:szCs w:val="22"/>
        </w:rPr>
        <w:t>加强腌渍废水</w:t>
      </w:r>
      <w:r>
        <w:rPr>
          <w:rFonts w:ascii="Times New Roman" w:hAnsi="Times New Roman" w:eastAsia="宋体" w:cs="Times New Roman"/>
          <w:szCs w:val="22"/>
        </w:rPr>
        <w:t>的回收利用，并探索适合</w:t>
      </w:r>
      <w:r>
        <w:rPr>
          <w:rFonts w:hint="eastAsia" w:ascii="Times New Roman" w:hAnsi="Times New Roman" w:eastAsia="宋体" w:cs="Times New Roman"/>
          <w:szCs w:val="22"/>
        </w:rPr>
        <w:t>泡菜</w:t>
      </w:r>
      <w:r>
        <w:rPr>
          <w:rFonts w:ascii="Times New Roman" w:hAnsi="Times New Roman" w:eastAsia="宋体" w:cs="Times New Roman"/>
          <w:szCs w:val="22"/>
        </w:rPr>
        <w:t>废水水质的末端处理技术。</w:t>
      </w:r>
    </w:p>
    <w:p>
      <w:pPr>
        <w:keepNext/>
        <w:keepLines/>
        <w:spacing w:before="240" w:after="240" w:line="578" w:lineRule="auto"/>
        <w:jc w:val="left"/>
        <w:outlineLvl w:val="0"/>
        <w:rPr>
          <w:rFonts w:ascii="Times New Roman" w:hAnsi="Times New Roman" w:eastAsia="宋体" w:cs="Times New Roman"/>
          <w:b/>
          <w:bCs/>
          <w:kern w:val="44"/>
          <w:sz w:val="32"/>
          <w:szCs w:val="44"/>
        </w:rPr>
      </w:pPr>
      <w:bookmarkStart w:id="12" w:name="_Toc76386090"/>
      <w:r>
        <w:rPr>
          <w:rFonts w:hint="eastAsia" w:ascii="Times New Roman" w:hAnsi="Times New Roman" w:eastAsia="宋体" w:cs="Times New Roman"/>
          <w:b/>
          <w:bCs/>
          <w:kern w:val="44"/>
          <w:sz w:val="32"/>
          <w:szCs w:val="44"/>
        </w:rPr>
        <w:t>4行业产排污情况及污染控制技术分析</w:t>
      </w:r>
      <w:bookmarkEnd w:id="12"/>
    </w:p>
    <w:p>
      <w:pPr>
        <w:keepNext/>
        <w:keepLines/>
        <w:spacing w:before="120" w:after="120" w:line="415" w:lineRule="auto"/>
        <w:jc w:val="left"/>
        <w:outlineLvl w:val="1"/>
        <w:rPr>
          <w:rFonts w:ascii="Times New Roman" w:hAnsi="Times New Roman" w:eastAsia="宋体" w:cs="Times New Roman"/>
          <w:b/>
          <w:bCs/>
          <w:sz w:val="28"/>
          <w:szCs w:val="32"/>
        </w:rPr>
      </w:pPr>
      <w:bookmarkStart w:id="13" w:name="_Toc76386091"/>
      <w:r>
        <w:rPr>
          <w:rFonts w:hint="eastAsia" w:ascii="Times New Roman" w:hAnsi="Times New Roman" w:eastAsia="宋体" w:cs="Times New Roman"/>
          <w:b/>
          <w:bCs/>
          <w:sz w:val="28"/>
          <w:szCs w:val="32"/>
        </w:rPr>
        <w:t>4.1生产工艺流程</w:t>
      </w:r>
      <w:bookmarkEnd w:id="13"/>
    </w:p>
    <w:p>
      <w:pPr>
        <w:keepNext/>
        <w:keepLines/>
        <w:spacing w:before="156" w:beforeLines="50" w:after="156" w:afterLines="50" w:line="360" w:lineRule="auto"/>
        <w:jc w:val="left"/>
        <w:outlineLvl w:val="2"/>
        <w:rPr>
          <w:rFonts w:ascii="Times New Roman" w:hAnsi="Times New Roman" w:eastAsia="宋体" w:cs="Times New Roman"/>
          <w:b/>
          <w:bCs/>
          <w:sz w:val="24"/>
          <w:szCs w:val="32"/>
        </w:rPr>
      </w:pPr>
      <w:bookmarkStart w:id="14" w:name="_Toc76386092"/>
      <w:r>
        <w:rPr>
          <w:rFonts w:hint="eastAsia" w:ascii="Times New Roman" w:hAnsi="Times New Roman" w:eastAsia="宋体" w:cs="Times New Roman"/>
          <w:b/>
          <w:bCs/>
          <w:sz w:val="24"/>
          <w:szCs w:val="32"/>
        </w:rPr>
        <w:t>4.1.1生产工艺原理</w:t>
      </w:r>
      <w:bookmarkEnd w:id="14"/>
    </w:p>
    <w:p>
      <w:pPr>
        <w:spacing w:line="440" w:lineRule="exact"/>
        <w:ind w:firstLine="420" w:firstLineChars="200"/>
        <w:jc w:val="left"/>
        <w:rPr>
          <w:rFonts w:ascii="Times New Roman" w:hAnsi="Times New Roman" w:eastAsia="宋体" w:cs="Times New Roman"/>
          <w:szCs w:val="22"/>
        </w:rPr>
      </w:pPr>
      <w:r>
        <w:rPr>
          <w:rFonts w:ascii="Times New Roman" w:hAnsi="Times New Roman" w:eastAsia="宋体" w:cs="Times New Roman"/>
          <w:szCs w:val="22"/>
        </w:rPr>
        <w:t>泡菜的生产是一个很复杂的微生物发酵动力学过程，包含了一系列复杂的物理、化学和生物变化，归纳起来主要有以下四方面原理和作用：第一方面是泡渍过程中，自始至终都存在着食盐的渗透作用，有明显的渗透现象发生；第二方面是泡渍过程中有大量有益微生物生长、繁殖、衰灭，即微生物发酵作用贯穿泡渍过程始终；第三方面是泡渍过程中自始至终伴随泡菜原料发生的生化反应，即蛋白质的分解和醇酸酯化及苷类水解等作用产生的色、香、味物质等；第四方面是香辛料的作用使有害微生物活动受到抑制，同时也给泡渍品增加色、香、味等。</w:t>
      </w:r>
    </w:p>
    <w:p>
      <w:pPr>
        <w:keepNext/>
        <w:keepLines/>
        <w:spacing w:before="156" w:beforeLines="50" w:after="156" w:afterLines="50" w:line="360" w:lineRule="auto"/>
        <w:jc w:val="left"/>
        <w:outlineLvl w:val="2"/>
        <w:rPr>
          <w:rFonts w:ascii="Times New Roman" w:hAnsi="Times New Roman" w:eastAsia="宋体" w:cs="Times New Roman"/>
          <w:b/>
          <w:bCs/>
          <w:sz w:val="24"/>
          <w:szCs w:val="32"/>
        </w:rPr>
      </w:pPr>
      <w:bookmarkStart w:id="15" w:name="_Toc76386093"/>
      <w:r>
        <w:rPr>
          <w:rFonts w:hint="eastAsia" w:ascii="Times New Roman" w:hAnsi="Times New Roman" w:eastAsia="宋体" w:cs="Times New Roman"/>
          <w:b/>
          <w:bCs/>
          <w:sz w:val="24"/>
          <w:szCs w:val="32"/>
        </w:rPr>
        <w:t>4.1.2主要设备及工艺流程</w:t>
      </w:r>
      <w:bookmarkEnd w:id="15"/>
    </w:p>
    <w:p>
      <w:pPr>
        <w:keepNext/>
        <w:keepLines/>
        <w:spacing w:line="440" w:lineRule="exact"/>
        <w:ind w:firstLine="421" w:firstLineChars="200"/>
        <w:jc w:val="left"/>
        <w:outlineLvl w:val="3"/>
        <w:rPr>
          <w:rFonts w:ascii="Cambria" w:hAnsi="Cambria" w:eastAsia="宋体" w:cs="Times New Roman"/>
          <w:b/>
          <w:bCs/>
          <w:szCs w:val="28"/>
        </w:rPr>
      </w:pPr>
      <w:r>
        <w:rPr>
          <w:rFonts w:hint="eastAsia" w:ascii="Cambria" w:hAnsi="Cambria" w:eastAsia="宋体" w:cs="Times New Roman"/>
          <w:b/>
          <w:bCs/>
          <w:szCs w:val="28"/>
        </w:rPr>
        <w:t>4.1.2.1</w:t>
      </w:r>
      <w:r>
        <w:rPr>
          <w:rFonts w:ascii="Cambria" w:hAnsi="Cambria" w:eastAsia="宋体" w:cs="Times New Roman"/>
          <w:b/>
          <w:bCs/>
          <w:szCs w:val="28"/>
        </w:rPr>
        <w:t>主要加工设施设备</w:t>
      </w:r>
    </w:p>
    <w:p>
      <w:pPr>
        <w:spacing w:line="440" w:lineRule="exact"/>
        <w:ind w:firstLine="420" w:firstLineChars="200"/>
        <w:jc w:val="left"/>
        <w:rPr>
          <w:rFonts w:ascii="Times New Roman" w:hAnsi="Times New Roman" w:eastAsia="宋体" w:cs="Times New Roman"/>
          <w:szCs w:val="22"/>
        </w:rPr>
      </w:pPr>
      <w:r>
        <w:rPr>
          <w:rFonts w:ascii="Times New Roman" w:hAnsi="Times New Roman" w:eastAsia="宋体" w:cs="Times New Roman"/>
          <w:szCs w:val="22"/>
        </w:rPr>
        <w:t>泡菜工业化生产过程中会使用到各种各样的设施设备，主要的发酵设施有发酵池和泡菜坛，其它的现代化设备主要有输送设备、清洗设备、脱盐、脱水设备、切分设备、混合拌料设备、杀菌设备以及罐装包装设备等。</w:t>
      </w:r>
    </w:p>
    <w:p>
      <w:pPr>
        <w:keepNext/>
        <w:keepLines/>
        <w:spacing w:line="440" w:lineRule="exact"/>
        <w:ind w:firstLine="421" w:firstLineChars="200"/>
        <w:jc w:val="left"/>
        <w:outlineLvl w:val="3"/>
        <w:rPr>
          <w:rFonts w:ascii="Cambria" w:hAnsi="Cambria" w:eastAsia="宋体" w:cs="Times New Roman"/>
          <w:b/>
          <w:bCs/>
          <w:szCs w:val="28"/>
        </w:rPr>
      </w:pPr>
      <w:r>
        <w:rPr>
          <w:rFonts w:hint="eastAsia" w:ascii="Cambria" w:hAnsi="Cambria" w:eastAsia="宋体" w:cs="Times New Roman"/>
          <w:b/>
          <w:bCs/>
          <w:szCs w:val="28"/>
        </w:rPr>
        <w:t>4.1.2.2</w:t>
      </w:r>
      <w:r>
        <w:rPr>
          <w:rFonts w:ascii="Cambria" w:hAnsi="Cambria" w:eastAsia="宋体" w:cs="Times New Roman"/>
          <w:b/>
          <w:bCs/>
          <w:szCs w:val="28"/>
        </w:rPr>
        <w:t>工艺流程</w:t>
      </w:r>
    </w:p>
    <w:p>
      <w:pPr>
        <w:spacing w:line="440" w:lineRule="exact"/>
        <w:ind w:firstLine="420" w:firstLineChars="200"/>
        <w:jc w:val="left"/>
        <w:rPr>
          <w:rFonts w:ascii="Times New Roman" w:hAnsi="Times New Roman" w:eastAsia="宋体" w:cs="Times New Roman"/>
          <w:szCs w:val="22"/>
        </w:rPr>
      </w:pPr>
      <w:r>
        <w:rPr>
          <w:rFonts w:ascii="Times New Roman" w:hAnsi="Times New Roman" w:eastAsia="宋体" w:cs="Times New Roman"/>
          <w:szCs w:val="22"/>
        </w:rPr>
        <w:t>四川泡菜</w:t>
      </w:r>
      <w:r>
        <w:rPr>
          <w:rFonts w:hint="eastAsia" w:ascii="Times New Roman" w:hAnsi="Times New Roman" w:eastAsia="宋体" w:cs="Times New Roman"/>
          <w:szCs w:val="22"/>
        </w:rPr>
        <w:t>工业</w:t>
      </w:r>
      <w:r>
        <w:rPr>
          <w:rFonts w:ascii="Times New Roman" w:hAnsi="Times New Roman" w:eastAsia="宋体" w:cs="Times New Roman"/>
          <w:szCs w:val="22"/>
        </w:rPr>
        <w:t>企业的生产工艺主要有</w:t>
      </w:r>
      <w:r>
        <w:rPr>
          <w:rFonts w:hint="eastAsia" w:ascii="Times New Roman" w:hAnsi="Times New Roman" w:eastAsia="宋体" w:cs="Times New Roman"/>
          <w:szCs w:val="22"/>
        </w:rPr>
        <w:t>三</w:t>
      </w:r>
      <w:r>
        <w:rPr>
          <w:rFonts w:ascii="Times New Roman" w:hAnsi="Times New Roman" w:eastAsia="宋体" w:cs="Times New Roman"/>
          <w:szCs w:val="22"/>
        </w:rPr>
        <w:t>种</w:t>
      </w:r>
      <w:r>
        <w:rPr>
          <w:rFonts w:hint="eastAsia" w:ascii="Times New Roman" w:hAnsi="Times New Roman" w:eastAsia="宋体" w:cs="Times New Roman"/>
          <w:szCs w:val="22"/>
        </w:rPr>
        <w:t>：</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（1）盐渍泡菜生产工艺：</w:t>
      </w:r>
      <w:r>
        <w:rPr>
          <w:rFonts w:ascii="Times New Roman" w:hAnsi="Times New Roman" w:eastAsia="宋体" w:cs="Times New Roman"/>
          <w:szCs w:val="22"/>
        </w:rPr>
        <w:t>是将质检合格的蔬菜进行盐渍脱水、泡渍发酵然后再清洗脱盐，最后经计量、杀菌、检验，制得泡渍泡菜产品。其工艺流程如图</w:t>
      </w:r>
      <w:r>
        <w:rPr>
          <w:rFonts w:hint="eastAsia" w:ascii="Times New Roman" w:hAnsi="Times New Roman" w:eastAsia="宋体" w:cs="Times New Roman"/>
          <w:szCs w:val="22"/>
        </w:rPr>
        <w:t>4-1</w:t>
      </w:r>
      <w:r>
        <w:rPr>
          <w:rFonts w:ascii="Times New Roman" w:hAnsi="Times New Roman" w:eastAsia="宋体" w:cs="Times New Roman"/>
          <w:szCs w:val="22"/>
        </w:rPr>
        <w:t>所示。</w:t>
      </w:r>
    </w:p>
    <w:p>
      <w:pPr>
        <w:jc w:val="center"/>
        <w:rPr>
          <w:rFonts w:ascii="Times New Roman" w:hAnsi="Times New Roman" w:eastAsia="宋体" w:cs="Times New Roman"/>
          <w:sz w:val="18"/>
          <w:szCs w:val="18"/>
        </w:rPr>
      </w:pPr>
      <w:r>
        <w:rPr>
          <w:rFonts w:ascii="Times New Roman" w:hAnsi="Times New Roman" w:eastAsia="宋体" w:cs="Times New Roman"/>
          <w:sz w:val="18"/>
          <w:szCs w:val="18"/>
        </w:rPr>
        <mc:AlternateContent>
          <mc:Choice Requires="wpc">
            <w:drawing>
              <wp:inline distT="0" distB="0" distL="0" distR="0">
                <wp:extent cx="5295265" cy="2310765"/>
                <wp:effectExtent l="22860" t="22860" r="6350" b="9525"/>
                <wp:docPr id="103" name="画布 50"/>
                <wp:cNvGraphicFramePr>
                  <a:graphicFrameLocks xmlns:a="http://schemas.openxmlformats.org/drawingml/2006/main" noChangeAspect="true"/>
                </wp:cNvGraphicFramePr>
                <a:graphic xmlns:a="http://schemas.openxmlformats.org/drawingml/2006/main">
                  <a:graphicData uri="http://schemas.microsoft.com/office/word/2010/wordprocessingCanvas">
                    <wpc:wpc>
                      <wpc:bg>
                        <a:noFill/>
                      </wpc:bg>
                      <wpc:whole>
                        <a:ln w="9525" cap="flat" cmpd="sng" algn="ctr">
                          <a:solidFill>
                            <a:schemeClr val="tx1">
                              <a:lumMod val="100000"/>
                              <a:lumOff val="0"/>
                            </a:schemeClr>
                          </a:solidFill>
                          <a:prstDash val="solid"/>
                          <a:miter lim="800000"/>
                          <a:headEnd type="none" w="med" len="med"/>
                          <a:tailEnd type="none" w="med" len="med"/>
                        </a:ln>
                      </wpc:whole>
                      <wps:wsp>
                        <wps:cNvPr id="61" name="Rectangle 52"/>
                        <wps:cNvSpPr>
                          <a:spLocks noChangeArrowheads="true"/>
                        </wps:cNvSpPr>
                        <wps:spPr bwMode="auto">
                          <a:xfrm>
                            <a:off x="7620" y="465455"/>
                            <a:ext cx="739140" cy="278130"/>
                          </a:xfrm>
                          <a:prstGeom prst="rect">
                            <a:avLst/>
                          </a:prstGeom>
                          <a:solidFill>
                            <a:schemeClr val="bg1">
                              <a:lumMod val="100000"/>
                              <a:lumOff val="0"/>
                            </a:schemeClr>
                          </a:solidFill>
                          <a:ln>
                            <a:noFill/>
                          </a:ln>
                        </wps:spPr>
                        <wps:txbx>
                          <w:txbxContent>
                            <w:p>
                              <w:pPr>
                                <w:jc w:val="center"/>
                                <w:rPr>
                                  <w:sz w:val="18"/>
                                </w:rPr>
                              </w:pPr>
                              <w:r>
                                <w:rPr>
                                  <w:rFonts w:hint="eastAsia"/>
                                  <w:sz w:val="18"/>
                                </w:rPr>
                                <w:t>生鲜蔬菜</w:t>
                              </w:r>
                            </w:p>
                          </w:txbxContent>
                        </wps:txbx>
                        <wps:bodyPr rot="0" vert="horz" wrap="square" lIns="91440" tIns="45720" rIns="91440" bIns="45720" anchor="t" anchorCtr="false" upright="true">
                          <a:noAutofit/>
                        </wps:bodyPr>
                      </wps:wsp>
                      <wps:wsp>
                        <wps:cNvPr id="62" name="Rectangle 53"/>
                        <wps:cNvSpPr>
                          <a:spLocks noChangeArrowheads="true"/>
                        </wps:cNvSpPr>
                        <wps:spPr bwMode="auto">
                          <a:xfrm>
                            <a:off x="1001395" y="448945"/>
                            <a:ext cx="915035" cy="302260"/>
                          </a:xfrm>
                          <a:prstGeom prst="rect">
                            <a:avLst/>
                          </a:prstGeom>
                          <a:solidFill>
                            <a:srgbClr val="FFFFFF"/>
                          </a:solidFill>
                          <a:ln w="9525">
                            <a:solidFill>
                              <a:srgbClr val="000000"/>
                            </a:solidFill>
                            <a:miter lim="800000"/>
                          </a:ln>
                        </wps:spPr>
                        <wps:txbx>
                          <w:txbxContent>
                            <w:p>
                              <w:pPr>
                                <w:jc w:val="center"/>
                                <w:rPr>
                                  <w:sz w:val="18"/>
                                </w:rPr>
                              </w:pPr>
                              <w:r>
                                <w:rPr>
                                  <w:rFonts w:hint="eastAsia"/>
                                  <w:sz w:val="18"/>
                                </w:rPr>
                                <w:t>挑选、整理</w:t>
                              </w:r>
                            </w:p>
                          </w:txbxContent>
                        </wps:txbx>
                        <wps:bodyPr rot="0" vert="horz" wrap="square" lIns="91440" tIns="45720" rIns="91440" bIns="45720" anchor="t" anchorCtr="false" upright="true">
                          <a:noAutofit/>
                        </wps:bodyPr>
                      </wps:wsp>
                      <wps:wsp>
                        <wps:cNvPr id="63" name="Rectangle 54"/>
                        <wps:cNvSpPr>
                          <a:spLocks noChangeArrowheads="true"/>
                        </wps:cNvSpPr>
                        <wps:spPr bwMode="auto">
                          <a:xfrm>
                            <a:off x="2171065" y="448945"/>
                            <a:ext cx="536575" cy="303530"/>
                          </a:xfrm>
                          <a:prstGeom prst="rect">
                            <a:avLst/>
                          </a:prstGeom>
                          <a:solidFill>
                            <a:srgbClr val="FFFFFF"/>
                          </a:solidFill>
                          <a:ln w="9525">
                            <a:solidFill>
                              <a:srgbClr val="000000"/>
                            </a:solidFill>
                            <a:miter lim="800000"/>
                          </a:ln>
                        </wps:spPr>
                        <wps:txbx>
                          <w:txbxContent>
                            <w:p>
                              <w:pPr>
                                <w:jc w:val="center"/>
                                <w:rPr>
                                  <w:sz w:val="18"/>
                                </w:rPr>
                              </w:pPr>
                              <w:r>
                                <w:rPr>
                                  <w:rFonts w:hint="eastAsia"/>
                                  <w:sz w:val="18"/>
                                </w:rPr>
                                <w:t>入池</w:t>
                              </w:r>
                            </w:p>
                          </w:txbxContent>
                        </wps:txbx>
                        <wps:bodyPr rot="0" vert="horz" wrap="square" lIns="91440" tIns="45720" rIns="91440" bIns="45720" anchor="t" anchorCtr="false" upright="true">
                          <a:noAutofit/>
                        </wps:bodyPr>
                      </wps:wsp>
                      <wps:wsp>
                        <wps:cNvPr id="64" name="Rectangle 55"/>
                        <wps:cNvSpPr>
                          <a:spLocks noChangeArrowheads="true"/>
                        </wps:cNvSpPr>
                        <wps:spPr bwMode="auto">
                          <a:xfrm>
                            <a:off x="2945765" y="448945"/>
                            <a:ext cx="1029335" cy="303530"/>
                          </a:xfrm>
                          <a:prstGeom prst="rect">
                            <a:avLst/>
                          </a:prstGeom>
                          <a:solidFill>
                            <a:srgbClr val="FFFFFF"/>
                          </a:solidFill>
                          <a:ln w="9525">
                            <a:solidFill>
                              <a:srgbClr val="000000"/>
                            </a:solidFill>
                            <a:miter lim="800000"/>
                          </a:ln>
                        </wps:spPr>
                        <wps:txbx>
                          <w:txbxContent>
                            <w:p>
                              <w:pPr>
                                <w:jc w:val="center"/>
                                <w:rPr>
                                  <w:sz w:val="18"/>
                                </w:rPr>
                              </w:pPr>
                              <w:r>
                                <w:rPr>
                                  <w:rFonts w:hint="eastAsia"/>
                                  <w:sz w:val="18"/>
                                </w:rPr>
                                <w:t>预处理（发酵）</w:t>
                              </w:r>
                            </w:p>
                          </w:txbxContent>
                        </wps:txbx>
                        <wps:bodyPr rot="0" vert="horz" wrap="square" lIns="91440" tIns="45720" rIns="91440" bIns="45720" anchor="t" anchorCtr="false" upright="true">
                          <a:noAutofit/>
                        </wps:bodyPr>
                      </wps:wsp>
                      <wps:wsp>
                        <wps:cNvPr id="65" name="Rectangle 56"/>
                        <wps:cNvSpPr>
                          <a:spLocks noChangeArrowheads="true"/>
                        </wps:cNvSpPr>
                        <wps:spPr bwMode="auto">
                          <a:xfrm>
                            <a:off x="4208145" y="447675"/>
                            <a:ext cx="577850" cy="303530"/>
                          </a:xfrm>
                          <a:prstGeom prst="rect">
                            <a:avLst/>
                          </a:prstGeom>
                          <a:solidFill>
                            <a:srgbClr val="FFFFFF"/>
                          </a:solidFill>
                          <a:ln w="9525">
                            <a:solidFill>
                              <a:srgbClr val="000000"/>
                            </a:solidFill>
                            <a:miter lim="800000"/>
                          </a:ln>
                        </wps:spPr>
                        <wps:txbx>
                          <w:txbxContent>
                            <w:p>
                              <w:pPr>
                                <w:jc w:val="center"/>
                                <w:rPr>
                                  <w:sz w:val="18"/>
                                </w:rPr>
                              </w:pPr>
                              <w:r>
                                <w:rPr>
                                  <w:rFonts w:hint="eastAsia"/>
                                  <w:sz w:val="18"/>
                                </w:rPr>
                                <w:t>清洗</w:t>
                              </w:r>
                            </w:p>
                          </w:txbxContent>
                        </wps:txbx>
                        <wps:bodyPr rot="0" vert="horz" wrap="square" lIns="91440" tIns="45720" rIns="91440" bIns="45720" anchor="t" anchorCtr="false" upright="true">
                          <a:noAutofit/>
                        </wps:bodyPr>
                      </wps:wsp>
                      <wps:wsp>
                        <wps:cNvPr id="66" name="Rectangle 57"/>
                        <wps:cNvSpPr>
                          <a:spLocks noChangeArrowheads="true"/>
                        </wps:cNvSpPr>
                        <wps:spPr bwMode="auto">
                          <a:xfrm>
                            <a:off x="278130" y="1146175"/>
                            <a:ext cx="915035" cy="302260"/>
                          </a:xfrm>
                          <a:prstGeom prst="rect">
                            <a:avLst/>
                          </a:prstGeom>
                          <a:solidFill>
                            <a:srgbClr val="FFFFFF"/>
                          </a:solidFill>
                          <a:ln w="9525">
                            <a:solidFill>
                              <a:srgbClr val="000000"/>
                            </a:solidFill>
                            <a:miter lim="800000"/>
                          </a:ln>
                        </wps:spPr>
                        <wps:txbx>
                          <w:txbxContent>
                            <w:p>
                              <w:pPr>
                                <w:jc w:val="center"/>
                                <w:rPr>
                                  <w:sz w:val="18"/>
                                </w:rPr>
                              </w:pPr>
                              <w:r>
                                <w:rPr>
                                  <w:rFonts w:hint="eastAsia"/>
                                  <w:sz w:val="18"/>
                                </w:rPr>
                                <w:t>整理、切分</w:t>
                              </w:r>
                            </w:p>
                          </w:txbxContent>
                        </wps:txbx>
                        <wps:bodyPr rot="0" vert="horz" wrap="square" lIns="91440" tIns="45720" rIns="91440" bIns="45720" anchor="t" anchorCtr="false" upright="true">
                          <a:noAutofit/>
                        </wps:bodyPr>
                      </wps:wsp>
                      <wps:wsp>
                        <wps:cNvPr id="67" name="Rectangle 58"/>
                        <wps:cNvSpPr>
                          <a:spLocks noChangeArrowheads="true"/>
                        </wps:cNvSpPr>
                        <wps:spPr bwMode="auto">
                          <a:xfrm>
                            <a:off x="1612900" y="1146175"/>
                            <a:ext cx="543560" cy="303530"/>
                          </a:xfrm>
                          <a:prstGeom prst="rect">
                            <a:avLst/>
                          </a:prstGeom>
                          <a:solidFill>
                            <a:srgbClr val="FFFFFF"/>
                          </a:solidFill>
                          <a:ln w="9525">
                            <a:solidFill>
                              <a:srgbClr val="000000"/>
                            </a:solidFill>
                            <a:miter lim="800000"/>
                          </a:ln>
                        </wps:spPr>
                        <wps:txbx>
                          <w:txbxContent>
                            <w:p>
                              <w:pPr>
                                <w:jc w:val="center"/>
                                <w:rPr>
                                  <w:sz w:val="18"/>
                                </w:rPr>
                              </w:pPr>
                              <w:r>
                                <w:rPr>
                                  <w:rFonts w:hint="eastAsia"/>
                                  <w:sz w:val="18"/>
                                </w:rPr>
                                <w:t>脱盐</w:t>
                              </w:r>
                            </w:p>
                          </w:txbxContent>
                        </wps:txbx>
                        <wps:bodyPr rot="0" vert="horz" wrap="square" lIns="91440" tIns="45720" rIns="91440" bIns="45720" anchor="t" anchorCtr="false" upright="true">
                          <a:noAutofit/>
                        </wps:bodyPr>
                      </wps:wsp>
                      <wps:wsp>
                        <wps:cNvPr id="68" name="Rectangle 59"/>
                        <wps:cNvSpPr>
                          <a:spLocks noChangeArrowheads="true"/>
                        </wps:cNvSpPr>
                        <wps:spPr bwMode="auto">
                          <a:xfrm>
                            <a:off x="2528570" y="1155065"/>
                            <a:ext cx="638175" cy="303530"/>
                          </a:xfrm>
                          <a:prstGeom prst="rect">
                            <a:avLst/>
                          </a:prstGeom>
                          <a:solidFill>
                            <a:srgbClr val="FFFFFF"/>
                          </a:solidFill>
                          <a:ln w="9525">
                            <a:solidFill>
                              <a:srgbClr val="000000"/>
                            </a:solidFill>
                            <a:miter lim="800000"/>
                          </a:ln>
                        </wps:spPr>
                        <wps:txbx>
                          <w:txbxContent>
                            <w:p>
                              <w:pPr>
                                <w:jc w:val="center"/>
                                <w:rPr>
                                  <w:sz w:val="18"/>
                                </w:rPr>
                              </w:pPr>
                              <w:r>
                                <w:rPr>
                                  <w:rFonts w:hint="eastAsia"/>
                                  <w:sz w:val="18"/>
                                </w:rPr>
                                <w:t>压榨</w:t>
                              </w:r>
                            </w:p>
                          </w:txbxContent>
                        </wps:txbx>
                        <wps:bodyPr rot="0" vert="horz" wrap="square" lIns="91440" tIns="45720" rIns="91440" bIns="45720" anchor="t" anchorCtr="false" upright="true">
                          <a:noAutofit/>
                        </wps:bodyPr>
                      </wps:wsp>
                      <wps:wsp>
                        <wps:cNvPr id="69" name="AutoShape 60"/>
                        <wps:cNvCnPr>
                          <a:cxnSpLocks noChangeShapeType="true"/>
                          <a:stCxn id="61" idx="3"/>
                          <a:endCxn id="62" idx="1"/>
                        </wps:cNvCnPr>
                        <wps:spPr bwMode="auto">
                          <a:xfrm flipV="true">
                            <a:off x="746760" y="600075"/>
                            <a:ext cx="254635" cy="4445"/>
                          </a:xfrm>
                          <a:prstGeom prst="straightConnector1">
                            <a:avLst/>
                          </a:prstGeom>
                          <a:noFill/>
                          <a:ln w="9525">
                            <a:solidFill>
                              <a:srgbClr val="000000"/>
                            </a:solidFill>
                            <a:round/>
                            <a:tailEnd type="triangle" w="med" len="med"/>
                          </a:ln>
                        </wps:spPr>
                        <wps:bodyPr/>
                      </wps:wsp>
                      <wps:wsp>
                        <wps:cNvPr id="70" name="AutoShape 61"/>
                        <wps:cNvCnPr>
                          <a:cxnSpLocks noChangeShapeType="true"/>
                          <a:stCxn id="62" idx="3"/>
                          <a:endCxn id="63" idx="1"/>
                        </wps:cNvCnPr>
                        <wps:spPr bwMode="auto">
                          <a:xfrm>
                            <a:off x="1916430" y="600075"/>
                            <a:ext cx="254635" cy="635"/>
                          </a:xfrm>
                          <a:prstGeom prst="straightConnector1">
                            <a:avLst/>
                          </a:prstGeom>
                          <a:noFill/>
                          <a:ln w="9525">
                            <a:solidFill>
                              <a:srgbClr val="000000"/>
                            </a:solidFill>
                            <a:round/>
                            <a:tailEnd type="triangle" w="med" len="med"/>
                          </a:ln>
                        </wps:spPr>
                        <wps:bodyPr/>
                      </wps:wsp>
                      <wps:wsp>
                        <wps:cNvPr id="71" name="AutoShape 62"/>
                        <wps:cNvCnPr>
                          <a:cxnSpLocks noChangeShapeType="true"/>
                          <a:stCxn id="63" idx="3"/>
                          <a:endCxn id="64" idx="1"/>
                        </wps:cNvCnPr>
                        <wps:spPr bwMode="auto">
                          <a:xfrm>
                            <a:off x="2707640" y="600710"/>
                            <a:ext cx="238125" cy="635"/>
                          </a:xfrm>
                          <a:prstGeom prst="straightConnector1">
                            <a:avLst/>
                          </a:prstGeom>
                          <a:noFill/>
                          <a:ln w="9525">
                            <a:solidFill>
                              <a:srgbClr val="000000"/>
                            </a:solidFill>
                            <a:round/>
                            <a:tailEnd type="triangle" w="med" len="med"/>
                          </a:ln>
                        </wps:spPr>
                        <wps:bodyPr/>
                      </wps:wsp>
                      <wps:wsp>
                        <wps:cNvPr id="72" name="AutoShape 63"/>
                        <wps:cNvCnPr>
                          <a:cxnSpLocks noChangeShapeType="true"/>
                          <a:stCxn id="64" idx="3"/>
                          <a:endCxn id="65" idx="1"/>
                        </wps:cNvCnPr>
                        <wps:spPr bwMode="auto">
                          <a:xfrm flipV="true">
                            <a:off x="3975100" y="599440"/>
                            <a:ext cx="233045" cy="1270"/>
                          </a:xfrm>
                          <a:prstGeom prst="straightConnector1">
                            <a:avLst/>
                          </a:prstGeom>
                          <a:noFill/>
                          <a:ln w="9525">
                            <a:solidFill>
                              <a:srgbClr val="000000"/>
                            </a:solidFill>
                            <a:round/>
                            <a:tailEnd type="triangle" w="med" len="med"/>
                          </a:ln>
                        </wps:spPr>
                        <wps:bodyPr/>
                      </wps:wsp>
                      <wps:wsp>
                        <wps:cNvPr id="73" name="AutoShape 64"/>
                        <wps:cNvCnPr>
                          <a:cxnSpLocks noChangeShapeType="true"/>
                          <a:stCxn id="66" idx="3"/>
                          <a:endCxn id="67" idx="1"/>
                        </wps:cNvCnPr>
                        <wps:spPr bwMode="auto">
                          <a:xfrm>
                            <a:off x="1193165" y="1297305"/>
                            <a:ext cx="419735" cy="635"/>
                          </a:xfrm>
                          <a:prstGeom prst="straightConnector1">
                            <a:avLst/>
                          </a:prstGeom>
                          <a:noFill/>
                          <a:ln w="9525">
                            <a:solidFill>
                              <a:srgbClr val="000000"/>
                            </a:solidFill>
                            <a:round/>
                            <a:tailEnd type="triangle" w="med" len="med"/>
                          </a:ln>
                        </wps:spPr>
                        <wps:bodyPr/>
                      </wps:wsp>
                      <wps:wsp>
                        <wps:cNvPr id="74" name="AutoShape 65"/>
                        <wps:cNvCnPr>
                          <a:cxnSpLocks noChangeShapeType="true"/>
                          <a:stCxn id="67" idx="3"/>
                          <a:endCxn id="68" idx="1"/>
                        </wps:cNvCnPr>
                        <wps:spPr bwMode="auto">
                          <a:xfrm>
                            <a:off x="2156460" y="1297940"/>
                            <a:ext cx="372110" cy="8890"/>
                          </a:xfrm>
                          <a:prstGeom prst="straightConnector1">
                            <a:avLst/>
                          </a:prstGeom>
                          <a:noFill/>
                          <a:ln w="9525">
                            <a:solidFill>
                              <a:srgbClr val="000000"/>
                            </a:solidFill>
                            <a:round/>
                            <a:tailEnd type="triangle" w="med" len="med"/>
                          </a:ln>
                        </wps:spPr>
                        <wps:bodyPr/>
                      </wps:wsp>
                      <wps:wsp>
                        <wps:cNvPr id="75" name="Rectangle 66"/>
                        <wps:cNvSpPr>
                          <a:spLocks noChangeArrowheads="true"/>
                        </wps:cNvSpPr>
                        <wps:spPr bwMode="auto">
                          <a:xfrm>
                            <a:off x="3544570" y="1163320"/>
                            <a:ext cx="1083945" cy="278130"/>
                          </a:xfrm>
                          <a:prstGeom prst="rect">
                            <a:avLst/>
                          </a:prstGeom>
                          <a:solidFill>
                            <a:schemeClr val="bg1">
                              <a:lumMod val="100000"/>
                              <a:lumOff val="0"/>
                            </a:schemeClr>
                          </a:solidFill>
                          <a:ln w="9525">
                            <a:solidFill>
                              <a:schemeClr val="tx1">
                                <a:lumMod val="100000"/>
                                <a:lumOff val="0"/>
                              </a:schemeClr>
                            </a:solidFill>
                            <a:miter lim="800000"/>
                          </a:ln>
                        </wps:spPr>
                        <wps:txbx>
                          <w:txbxContent>
                            <w:p>
                              <w:pPr>
                                <w:jc w:val="center"/>
                                <w:rPr>
                                  <w:sz w:val="18"/>
                                </w:rPr>
                              </w:pPr>
                              <w:r>
                                <w:rPr>
                                  <w:rFonts w:hint="eastAsia"/>
                                  <w:sz w:val="18"/>
                                </w:rPr>
                                <w:t>配料（调味）</w:t>
                              </w:r>
                            </w:p>
                          </w:txbxContent>
                        </wps:txbx>
                        <wps:bodyPr rot="0" vert="horz" wrap="square" lIns="91440" tIns="45720" rIns="91440" bIns="45720" anchor="t" anchorCtr="false" upright="true">
                          <a:noAutofit/>
                        </wps:bodyPr>
                      </wps:wsp>
                      <wps:wsp>
                        <wps:cNvPr id="76" name="Rectangle 67"/>
                        <wps:cNvSpPr>
                          <a:spLocks noChangeArrowheads="true"/>
                        </wps:cNvSpPr>
                        <wps:spPr bwMode="auto">
                          <a:xfrm>
                            <a:off x="2194560" y="1270"/>
                            <a:ext cx="496570" cy="278130"/>
                          </a:xfrm>
                          <a:prstGeom prst="rect">
                            <a:avLst/>
                          </a:prstGeom>
                          <a:solidFill>
                            <a:schemeClr val="bg1">
                              <a:lumMod val="100000"/>
                              <a:lumOff val="0"/>
                            </a:schemeClr>
                          </a:solidFill>
                          <a:ln>
                            <a:noFill/>
                          </a:ln>
                        </wps:spPr>
                        <wps:txbx>
                          <w:txbxContent>
                            <w:p>
                              <w:pPr>
                                <w:jc w:val="center"/>
                                <w:rPr>
                                  <w:sz w:val="18"/>
                                </w:rPr>
                              </w:pPr>
                              <w:r>
                                <w:rPr>
                                  <w:rFonts w:hint="eastAsia"/>
                                  <w:sz w:val="18"/>
                                </w:rPr>
                                <w:t>食盐</w:t>
                              </w:r>
                            </w:p>
                          </w:txbxContent>
                        </wps:txbx>
                        <wps:bodyPr rot="0" vert="horz" wrap="square" lIns="91440" tIns="45720" rIns="91440" bIns="45720" anchor="t" anchorCtr="false" upright="true">
                          <a:noAutofit/>
                        </wps:bodyPr>
                      </wps:wsp>
                      <wps:wsp>
                        <wps:cNvPr id="77" name="AutoShape 68"/>
                        <wps:cNvCnPr>
                          <a:cxnSpLocks noChangeShapeType="true"/>
                        </wps:cNvCnPr>
                        <wps:spPr bwMode="auto">
                          <a:xfrm>
                            <a:off x="4785995" y="601345"/>
                            <a:ext cx="254635" cy="3810"/>
                          </a:xfrm>
                          <a:prstGeom prst="straightConnector1">
                            <a:avLst/>
                          </a:prstGeom>
                          <a:noFill/>
                          <a:ln w="9525">
                            <a:solidFill>
                              <a:srgbClr val="000000"/>
                            </a:solidFill>
                            <a:round/>
                            <a:tailEnd type="triangle" w="med" len="med"/>
                          </a:ln>
                        </wps:spPr>
                        <wps:bodyPr/>
                      </wps:wsp>
                      <wps:wsp>
                        <wps:cNvPr id="78" name="AutoShape 69"/>
                        <wps:cNvCnPr>
                          <a:cxnSpLocks noChangeShapeType="true"/>
                          <a:stCxn id="68" idx="3"/>
                          <a:endCxn id="75" idx="1"/>
                        </wps:cNvCnPr>
                        <wps:spPr bwMode="auto">
                          <a:xfrm flipV="true">
                            <a:off x="3166745" y="1302385"/>
                            <a:ext cx="377825" cy="4445"/>
                          </a:xfrm>
                          <a:prstGeom prst="straightConnector1">
                            <a:avLst/>
                          </a:prstGeom>
                          <a:noFill/>
                          <a:ln w="9525">
                            <a:solidFill>
                              <a:srgbClr val="000000"/>
                            </a:solidFill>
                            <a:round/>
                            <a:tailEnd type="triangle" w="med" len="med"/>
                          </a:ln>
                        </wps:spPr>
                        <wps:bodyPr/>
                      </wps:wsp>
                      <wps:wsp>
                        <wps:cNvPr id="79" name="AutoShape 70"/>
                        <wps:cNvCnPr>
                          <a:cxnSpLocks noChangeShapeType="true"/>
                          <a:stCxn id="75" idx="3"/>
                        </wps:cNvCnPr>
                        <wps:spPr bwMode="auto">
                          <a:xfrm>
                            <a:off x="4628515" y="1302385"/>
                            <a:ext cx="403225" cy="635"/>
                          </a:xfrm>
                          <a:prstGeom prst="straightConnector1">
                            <a:avLst/>
                          </a:prstGeom>
                          <a:noFill/>
                          <a:ln w="9525">
                            <a:solidFill>
                              <a:srgbClr val="000000"/>
                            </a:solidFill>
                            <a:round/>
                            <a:tailEnd type="triangle" w="med" len="med"/>
                          </a:ln>
                        </wps:spPr>
                        <wps:bodyPr/>
                      </wps:wsp>
                      <wps:wsp>
                        <wps:cNvPr id="80" name="Rectangle 71"/>
                        <wps:cNvSpPr>
                          <a:spLocks noChangeArrowheads="true"/>
                        </wps:cNvSpPr>
                        <wps:spPr bwMode="auto">
                          <a:xfrm>
                            <a:off x="129540" y="1969135"/>
                            <a:ext cx="558165" cy="302260"/>
                          </a:xfrm>
                          <a:prstGeom prst="rect">
                            <a:avLst/>
                          </a:prstGeom>
                          <a:solidFill>
                            <a:srgbClr val="FFFFFF"/>
                          </a:solidFill>
                          <a:ln w="9525">
                            <a:solidFill>
                              <a:srgbClr val="000000"/>
                            </a:solidFill>
                            <a:miter lim="800000"/>
                          </a:ln>
                        </wps:spPr>
                        <wps:txbx>
                          <w:txbxContent>
                            <w:p>
                              <w:pPr>
                                <w:jc w:val="center"/>
                                <w:rPr>
                                  <w:sz w:val="18"/>
                                </w:rPr>
                              </w:pPr>
                              <w:r>
                                <w:rPr>
                                  <w:rFonts w:hint="eastAsia"/>
                                  <w:sz w:val="18"/>
                                </w:rPr>
                                <w:t>包装</w:t>
                              </w:r>
                            </w:p>
                          </w:txbxContent>
                        </wps:txbx>
                        <wps:bodyPr rot="0" vert="horz" wrap="square" lIns="91440" tIns="45720" rIns="91440" bIns="45720" anchor="t" anchorCtr="false" upright="true">
                          <a:noAutofit/>
                        </wps:bodyPr>
                      </wps:wsp>
                      <wps:wsp>
                        <wps:cNvPr id="81" name="Rectangle 72"/>
                        <wps:cNvSpPr>
                          <a:spLocks noChangeArrowheads="true"/>
                        </wps:cNvSpPr>
                        <wps:spPr bwMode="auto">
                          <a:xfrm>
                            <a:off x="968375" y="1969135"/>
                            <a:ext cx="495935" cy="303530"/>
                          </a:xfrm>
                          <a:prstGeom prst="rect">
                            <a:avLst/>
                          </a:prstGeom>
                          <a:solidFill>
                            <a:srgbClr val="FFFFFF"/>
                          </a:solidFill>
                          <a:ln w="9525">
                            <a:solidFill>
                              <a:srgbClr val="000000"/>
                            </a:solidFill>
                            <a:miter lim="800000"/>
                          </a:ln>
                        </wps:spPr>
                        <wps:txbx>
                          <w:txbxContent>
                            <w:p>
                              <w:pPr>
                                <w:jc w:val="center"/>
                                <w:rPr>
                                  <w:sz w:val="18"/>
                                </w:rPr>
                              </w:pPr>
                              <w:r>
                                <w:rPr>
                                  <w:rFonts w:hint="eastAsia"/>
                                  <w:sz w:val="18"/>
                                </w:rPr>
                                <w:t>灭菌</w:t>
                              </w:r>
                            </w:p>
                          </w:txbxContent>
                        </wps:txbx>
                        <wps:bodyPr rot="0" vert="horz" wrap="square" lIns="91440" tIns="45720" rIns="91440" bIns="45720" anchor="t" anchorCtr="false" upright="true">
                          <a:noAutofit/>
                        </wps:bodyPr>
                      </wps:wsp>
                      <wps:wsp>
                        <wps:cNvPr id="82" name="Rectangle 73"/>
                        <wps:cNvSpPr>
                          <a:spLocks noChangeArrowheads="true"/>
                        </wps:cNvSpPr>
                        <wps:spPr bwMode="auto">
                          <a:xfrm>
                            <a:off x="1816100" y="1967865"/>
                            <a:ext cx="539115" cy="303530"/>
                          </a:xfrm>
                          <a:prstGeom prst="rect">
                            <a:avLst/>
                          </a:prstGeom>
                          <a:solidFill>
                            <a:srgbClr val="FFFFFF"/>
                          </a:solidFill>
                          <a:ln w="9525">
                            <a:solidFill>
                              <a:srgbClr val="000000"/>
                            </a:solidFill>
                            <a:miter lim="800000"/>
                          </a:ln>
                        </wps:spPr>
                        <wps:txbx>
                          <w:txbxContent>
                            <w:p>
                              <w:pPr>
                                <w:jc w:val="center"/>
                                <w:rPr>
                                  <w:sz w:val="18"/>
                                </w:rPr>
                              </w:pPr>
                              <w:r>
                                <w:rPr>
                                  <w:rFonts w:hint="eastAsia"/>
                                  <w:sz w:val="18"/>
                                </w:rPr>
                                <w:t>冷却</w:t>
                              </w:r>
                            </w:p>
                          </w:txbxContent>
                        </wps:txbx>
                        <wps:bodyPr rot="0" vert="horz" wrap="square" lIns="91440" tIns="45720" rIns="91440" bIns="45720" anchor="t" anchorCtr="false" upright="true">
                          <a:noAutofit/>
                        </wps:bodyPr>
                      </wps:wsp>
                      <wps:wsp>
                        <wps:cNvPr id="83" name="AutoShape 74"/>
                        <wps:cNvCnPr>
                          <a:cxnSpLocks noChangeShapeType="true"/>
                        </wps:cNvCnPr>
                        <wps:spPr bwMode="auto">
                          <a:xfrm>
                            <a:off x="687705" y="2120265"/>
                            <a:ext cx="280670" cy="635"/>
                          </a:xfrm>
                          <a:prstGeom prst="straightConnector1">
                            <a:avLst/>
                          </a:prstGeom>
                          <a:noFill/>
                          <a:ln w="9525">
                            <a:solidFill>
                              <a:srgbClr val="000000"/>
                            </a:solidFill>
                            <a:round/>
                            <a:tailEnd type="triangle" w="med" len="med"/>
                          </a:ln>
                        </wps:spPr>
                        <wps:bodyPr/>
                      </wps:wsp>
                      <wps:wsp>
                        <wps:cNvPr id="84" name="AutoShape 75"/>
                        <wps:cNvCnPr>
                          <a:cxnSpLocks noChangeShapeType="true"/>
                        </wps:cNvCnPr>
                        <wps:spPr bwMode="auto">
                          <a:xfrm flipV="true">
                            <a:off x="1464310" y="2119630"/>
                            <a:ext cx="351790" cy="1270"/>
                          </a:xfrm>
                          <a:prstGeom prst="straightConnector1">
                            <a:avLst/>
                          </a:prstGeom>
                          <a:noFill/>
                          <a:ln w="9525">
                            <a:solidFill>
                              <a:srgbClr val="000000"/>
                            </a:solidFill>
                            <a:round/>
                            <a:tailEnd type="triangle" w="med" len="med"/>
                          </a:ln>
                        </wps:spPr>
                        <wps:bodyPr/>
                      </wps:wsp>
                      <wps:wsp>
                        <wps:cNvPr id="85" name="Rectangle 76"/>
                        <wps:cNvSpPr>
                          <a:spLocks noChangeArrowheads="true"/>
                        </wps:cNvSpPr>
                        <wps:spPr bwMode="auto">
                          <a:xfrm>
                            <a:off x="2743835" y="1986280"/>
                            <a:ext cx="536575" cy="278130"/>
                          </a:xfrm>
                          <a:prstGeom prst="rect">
                            <a:avLst/>
                          </a:prstGeom>
                          <a:solidFill>
                            <a:schemeClr val="bg1">
                              <a:lumMod val="100000"/>
                              <a:lumOff val="0"/>
                            </a:schemeClr>
                          </a:solidFill>
                          <a:ln w="9525">
                            <a:solidFill>
                              <a:schemeClr val="tx1">
                                <a:lumMod val="100000"/>
                                <a:lumOff val="0"/>
                              </a:schemeClr>
                            </a:solidFill>
                            <a:miter lim="800000"/>
                          </a:ln>
                        </wps:spPr>
                        <wps:txbx>
                          <w:txbxContent>
                            <w:p>
                              <w:pPr>
                                <w:jc w:val="center"/>
                                <w:rPr>
                                  <w:sz w:val="18"/>
                                </w:rPr>
                              </w:pPr>
                              <w:r>
                                <w:rPr>
                                  <w:rFonts w:hint="eastAsia"/>
                                  <w:sz w:val="18"/>
                                </w:rPr>
                                <w:t>贴签</w:t>
                              </w:r>
                            </w:p>
                          </w:txbxContent>
                        </wps:txbx>
                        <wps:bodyPr rot="0" vert="horz" wrap="square" lIns="91440" tIns="45720" rIns="91440" bIns="45720" anchor="t" anchorCtr="false" upright="true">
                          <a:noAutofit/>
                        </wps:bodyPr>
                      </wps:wsp>
                      <wps:wsp>
                        <wps:cNvPr id="86" name="AutoShape 77"/>
                        <wps:cNvCnPr>
                          <a:cxnSpLocks noChangeShapeType="true"/>
                          <a:stCxn id="82" idx="3"/>
                          <a:endCxn id="85" idx="1"/>
                        </wps:cNvCnPr>
                        <wps:spPr bwMode="auto">
                          <a:xfrm>
                            <a:off x="2355215" y="2119630"/>
                            <a:ext cx="388620" cy="5715"/>
                          </a:xfrm>
                          <a:prstGeom prst="straightConnector1">
                            <a:avLst/>
                          </a:prstGeom>
                          <a:noFill/>
                          <a:ln w="9525">
                            <a:solidFill>
                              <a:srgbClr val="000000"/>
                            </a:solidFill>
                            <a:round/>
                            <a:tailEnd type="triangle" w="med" len="med"/>
                          </a:ln>
                        </wps:spPr>
                        <wps:bodyPr/>
                      </wps:wsp>
                      <wps:wsp>
                        <wps:cNvPr id="87" name="AutoShape 78"/>
                        <wps:cNvCnPr>
                          <a:cxnSpLocks noChangeShapeType="true"/>
                          <a:stCxn id="85" idx="3"/>
                          <a:endCxn id="88" idx="1"/>
                        </wps:cNvCnPr>
                        <wps:spPr bwMode="auto">
                          <a:xfrm>
                            <a:off x="3280410" y="2125345"/>
                            <a:ext cx="356870" cy="635"/>
                          </a:xfrm>
                          <a:prstGeom prst="straightConnector1">
                            <a:avLst/>
                          </a:prstGeom>
                          <a:noFill/>
                          <a:ln w="9525">
                            <a:solidFill>
                              <a:srgbClr val="000000"/>
                            </a:solidFill>
                            <a:round/>
                            <a:tailEnd type="triangle" w="med" len="med"/>
                          </a:ln>
                        </wps:spPr>
                        <wps:bodyPr/>
                      </wps:wsp>
                      <wps:wsp>
                        <wps:cNvPr id="88" name="Rectangle 79"/>
                        <wps:cNvSpPr>
                          <a:spLocks noChangeArrowheads="true"/>
                        </wps:cNvSpPr>
                        <wps:spPr bwMode="auto">
                          <a:xfrm>
                            <a:off x="3637280" y="1986280"/>
                            <a:ext cx="504190" cy="278130"/>
                          </a:xfrm>
                          <a:prstGeom prst="rect">
                            <a:avLst/>
                          </a:prstGeom>
                          <a:solidFill>
                            <a:schemeClr val="bg1">
                              <a:lumMod val="100000"/>
                              <a:lumOff val="0"/>
                            </a:schemeClr>
                          </a:solidFill>
                          <a:ln w="9525">
                            <a:solidFill>
                              <a:schemeClr val="tx1">
                                <a:lumMod val="100000"/>
                                <a:lumOff val="0"/>
                              </a:schemeClr>
                            </a:solidFill>
                            <a:miter lim="800000"/>
                          </a:ln>
                        </wps:spPr>
                        <wps:txbx>
                          <w:txbxContent>
                            <w:p>
                              <w:pPr>
                                <w:jc w:val="center"/>
                                <w:rPr>
                                  <w:sz w:val="18"/>
                                </w:rPr>
                              </w:pPr>
                              <w:r>
                                <w:rPr>
                                  <w:rFonts w:hint="eastAsia"/>
                                  <w:sz w:val="18"/>
                                </w:rPr>
                                <w:t>检验</w:t>
                              </w:r>
                            </w:p>
                          </w:txbxContent>
                        </wps:txbx>
                        <wps:bodyPr rot="0" vert="horz" wrap="square" lIns="91440" tIns="45720" rIns="91440" bIns="45720" anchor="t" anchorCtr="false" upright="true">
                          <a:noAutofit/>
                        </wps:bodyPr>
                      </wps:wsp>
                      <wps:wsp>
                        <wps:cNvPr id="89" name="AutoShape 80"/>
                        <wps:cNvCnPr>
                          <a:cxnSpLocks noChangeShapeType="true"/>
                          <a:stCxn id="88" idx="3"/>
                        </wps:cNvCnPr>
                        <wps:spPr bwMode="auto">
                          <a:xfrm>
                            <a:off x="4141470" y="2125345"/>
                            <a:ext cx="254635" cy="635"/>
                          </a:xfrm>
                          <a:prstGeom prst="straightConnector1">
                            <a:avLst/>
                          </a:prstGeom>
                          <a:noFill/>
                          <a:ln w="9525">
                            <a:solidFill>
                              <a:srgbClr val="000000"/>
                            </a:solidFill>
                            <a:round/>
                            <a:tailEnd type="triangle" w="med" len="med"/>
                          </a:ln>
                        </wps:spPr>
                        <wps:bodyPr/>
                      </wps:wsp>
                      <wps:wsp>
                        <wps:cNvPr id="90" name="Rectangle 81"/>
                        <wps:cNvSpPr>
                          <a:spLocks noChangeArrowheads="true"/>
                        </wps:cNvSpPr>
                        <wps:spPr bwMode="auto">
                          <a:xfrm>
                            <a:off x="4396105" y="1986280"/>
                            <a:ext cx="739140" cy="278130"/>
                          </a:xfrm>
                          <a:prstGeom prst="rect">
                            <a:avLst/>
                          </a:prstGeom>
                          <a:solidFill>
                            <a:schemeClr val="bg1">
                              <a:lumMod val="100000"/>
                              <a:lumOff val="0"/>
                            </a:schemeClr>
                          </a:solidFill>
                          <a:ln>
                            <a:noFill/>
                          </a:ln>
                        </wps:spPr>
                        <wps:txbx>
                          <w:txbxContent>
                            <w:p>
                              <w:pPr>
                                <w:jc w:val="center"/>
                                <w:rPr>
                                  <w:sz w:val="18"/>
                                </w:rPr>
                              </w:pPr>
                              <w:r>
                                <w:rPr>
                                  <w:rFonts w:hint="eastAsia"/>
                                  <w:sz w:val="18"/>
                                </w:rPr>
                                <w:t>盐渍泡菜</w:t>
                              </w:r>
                            </w:p>
                          </w:txbxContent>
                        </wps:txbx>
                        <wps:bodyPr rot="0" vert="horz" wrap="square" lIns="91440" tIns="45720" rIns="91440" bIns="45720" anchor="t" anchorCtr="false" upright="true">
                          <a:noAutofit/>
                        </wps:bodyPr>
                      </wps:wsp>
                      <wps:wsp>
                        <wps:cNvPr id="91" name="AutoShape 82"/>
                        <wps:cNvCnPr>
                          <a:cxnSpLocks noChangeShapeType="true"/>
                          <a:stCxn id="76" idx="2"/>
                          <a:endCxn id="63" idx="0"/>
                        </wps:cNvCnPr>
                        <wps:spPr bwMode="auto">
                          <a:xfrm flipH="true">
                            <a:off x="2439670" y="279400"/>
                            <a:ext cx="3175" cy="169545"/>
                          </a:xfrm>
                          <a:prstGeom prst="straightConnector1">
                            <a:avLst/>
                          </a:prstGeom>
                          <a:noFill/>
                          <a:ln w="9525">
                            <a:solidFill>
                              <a:srgbClr val="000000"/>
                            </a:solidFill>
                            <a:round/>
                            <a:tailEnd type="triangle" w="med" len="med"/>
                          </a:ln>
                        </wps:spPr>
                        <wps:bodyPr/>
                      </wps:wsp>
                      <wps:wsp>
                        <wps:cNvPr id="92" name="Rectangle 83"/>
                        <wps:cNvSpPr>
                          <a:spLocks noChangeArrowheads="true"/>
                        </wps:cNvSpPr>
                        <wps:spPr bwMode="auto">
                          <a:xfrm>
                            <a:off x="3217545" y="0"/>
                            <a:ext cx="496570" cy="278130"/>
                          </a:xfrm>
                          <a:prstGeom prst="rect">
                            <a:avLst/>
                          </a:prstGeom>
                          <a:solidFill>
                            <a:schemeClr val="bg1">
                              <a:lumMod val="100000"/>
                              <a:lumOff val="0"/>
                            </a:schemeClr>
                          </a:solidFill>
                          <a:ln>
                            <a:noFill/>
                          </a:ln>
                        </wps:spPr>
                        <wps:txbx>
                          <w:txbxContent>
                            <w:p>
                              <w:pPr>
                                <w:jc w:val="center"/>
                                <w:rPr>
                                  <w:sz w:val="18"/>
                                </w:rPr>
                              </w:pPr>
                              <w:r>
                                <w:rPr>
                                  <w:rFonts w:hint="eastAsia"/>
                                  <w:sz w:val="18"/>
                                </w:rPr>
                                <w:t>盐渍</w:t>
                              </w:r>
                            </w:p>
                          </w:txbxContent>
                        </wps:txbx>
                        <wps:bodyPr rot="0" vert="horz" wrap="square" lIns="91440" tIns="45720" rIns="91440" bIns="45720" anchor="t" anchorCtr="false" upright="true">
                          <a:noAutofit/>
                        </wps:bodyPr>
                      </wps:wsp>
                      <wps:wsp>
                        <wps:cNvPr id="93" name="AutoShape 84"/>
                        <wps:cNvCnPr>
                          <a:cxnSpLocks noChangeShapeType="true"/>
                          <a:stCxn id="92" idx="2"/>
                          <a:endCxn id="64" idx="0"/>
                        </wps:cNvCnPr>
                        <wps:spPr bwMode="auto">
                          <a:xfrm flipH="true">
                            <a:off x="3460750" y="278130"/>
                            <a:ext cx="5080" cy="170815"/>
                          </a:xfrm>
                          <a:prstGeom prst="straightConnector1">
                            <a:avLst/>
                          </a:prstGeom>
                          <a:noFill/>
                          <a:ln w="9525">
                            <a:solidFill>
                              <a:srgbClr val="000000"/>
                            </a:solidFill>
                            <a:round/>
                            <a:tailEnd type="triangle" w="med" len="med"/>
                          </a:ln>
                        </wps:spPr>
                        <wps:bodyPr/>
                      </wps:wsp>
                      <wps:wsp>
                        <wps:cNvPr id="94" name="Rectangle 85"/>
                        <wps:cNvSpPr>
                          <a:spLocks noChangeArrowheads="true"/>
                        </wps:cNvSpPr>
                        <wps:spPr bwMode="auto">
                          <a:xfrm>
                            <a:off x="2599690" y="717550"/>
                            <a:ext cx="496570" cy="278130"/>
                          </a:xfrm>
                          <a:prstGeom prst="rect">
                            <a:avLst/>
                          </a:prstGeom>
                          <a:solidFill>
                            <a:schemeClr val="bg1">
                              <a:lumMod val="100000"/>
                              <a:lumOff val="0"/>
                            </a:schemeClr>
                          </a:solidFill>
                          <a:ln>
                            <a:noFill/>
                          </a:ln>
                        </wps:spPr>
                        <wps:txbx>
                          <w:txbxContent>
                            <w:p>
                              <w:pPr>
                                <w:jc w:val="center"/>
                                <w:rPr>
                                  <w:sz w:val="18"/>
                                </w:rPr>
                              </w:pPr>
                              <w:r>
                                <w:rPr>
                                  <w:rFonts w:hint="eastAsia"/>
                                  <w:sz w:val="18"/>
                                </w:rPr>
                                <w:t>脱水</w:t>
                              </w:r>
                            </w:p>
                          </w:txbxContent>
                        </wps:txbx>
                        <wps:bodyPr rot="0" vert="horz" wrap="square" lIns="91440" tIns="45720" rIns="91440" bIns="45720" anchor="t" anchorCtr="false" upright="true">
                          <a:noAutofit/>
                        </wps:bodyPr>
                      </wps:wsp>
                      <wps:wsp>
                        <wps:cNvPr id="95" name="AutoShape 86"/>
                        <wps:cNvCnPr>
                          <a:cxnSpLocks noChangeShapeType="true"/>
                          <a:stCxn id="68" idx="0"/>
                          <a:endCxn id="94" idx="2"/>
                        </wps:cNvCnPr>
                        <wps:spPr bwMode="auto">
                          <a:xfrm flipV="true">
                            <a:off x="2847975" y="995680"/>
                            <a:ext cx="635" cy="159385"/>
                          </a:xfrm>
                          <a:prstGeom prst="straightConnector1">
                            <a:avLst/>
                          </a:prstGeom>
                          <a:noFill/>
                          <a:ln w="9525">
                            <a:solidFill>
                              <a:schemeClr val="tx1">
                                <a:lumMod val="100000"/>
                                <a:lumOff val="0"/>
                              </a:schemeClr>
                            </a:solidFill>
                            <a:round/>
                            <a:tailEnd type="triangle" w="med" len="med"/>
                          </a:ln>
                        </wps:spPr>
                        <wps:bodyPr/>
                      </wps:wsp>
                      <wps:wsp>
                        <wps:cNvPr id="96" name="Rectangle 87"/>
                        <wps:cNvSpPr>
                          <a:spLocks noChangeArrowheads="true"/>
                        </wps:cNvSpPr>
                        <wps:spPr bwMode="auto">
                          <a:xfrm>
                            <a:off x="1637665" y="1536065"/>
                            <a:ext cx="496570" cy="278130"/>
                          </a:xfrm>
                          <a:prstGeom prst="rect">
                            <a:avLst/>
                          </a:prstGeom>
                          <a:solidFill>
                            <a:schemeClr val="bg1">
                              <a:lumMod val="100000"/>
                              <a:lumOff val="0"/>
                            </a:schemeClr>
                          </a:solidFill>
                          <a:ln>
                            <a:noFill/>
                          </a:ln>
                        </wps:spPr>
                        <wps:txbx>
                          <w:txbxContent>
                            <w:p>
                              <w:pPr>
                                <w:jc w:val="center"/>
                                <w:rPr>
                                  <w:sz w:val="18"/>
                                </w:rPr>
                              </w:pPr>
                              <w:r>
                                <w:rPr>
                                  <w:rFonts w:hint="eastAsia"/>
                                  <w:sz w:val="18"/>
                                </w:rPr>
                                <w:t>处理</w:t>
                              </w:r>
                            </w:p>
                          </w:txbxContent>
                        </wps:txbx>
                        <wps:bodyPr rot="0" vert="horz" wrap="square" lIns="91440" tIns="45720" rIns="91440" bIns="45720" anchor="t" anchorCtr="false" upright="true">
                          <a:noAutofit/>
                        </wps:bodyPr>
                      </wps:wsp>
                      <wps:wsp>
                        <wps:cNvPr id="97" name="AutoShape 88"/>
                        <wps:cNvCnPr>
                          <a:cxnSpLocks noChangeShapeType="true"/>
                          <a:stCxn id="66" idx="2"/>
                          <a:endCxn id="96" idx="1"/>
                        </wps:cNvCnPr>
                        <wps:spPr bwMode="auto">
                          <a:xfrm rot="16200000" flipH="true">
                            <a:off x="1073150" y="1111250"/>
                            <a:ext cx="226695" cy="901700"/>
                          </a:xfrm>
                          <a:prstGeom prst="bentConnector2">
                            <a:avLst/>
                          </a:prstGeom>
                          <a:noFill/>
                          <a:ln w="9525">
                            <a:solidFill>
                              <a:srgbClr val="000000"/>
                            </a:solidFill>
                            <a:miter lim="800000"/>
                          </a:ln>
                        </wps:spPr>
                        <wps:bodyPr/>
                      </wps:wsp>
                      <wps:wsp>
                        <wps:cNvPr id="98" name="AutoShape 89"/>
                        <wps:cNvCnPr>
                          <a:cxnSpLocks noChangeShapeType="true"/>
                          <a:stCxn id="96" idx="3"/>
                          <a:endCxn id="68" idx="2"/>
                        </wps:cNvCnPr>
                        <wps:spPr bwMode="auto">
                          <a:xfrm flipV="true">
                            <a:off x="2134235" y="1458595"/>
                            <a:ext cx="713740" cy="216535"/>
                          </a:xfrm>
                          <a:prstGeom prst="bentConnector2">
                            <a:avLst/>
                          </a:prstGeom>
                          <a:noFill/>
                          <a:ln w="9525">
                            <a:solidFill>
                              <a:srgbClr val="000000"/>
                            </a:solidFill>
                            <a:miter lim="800000"/>
                          </a:ln>
                        </wps:spPr>
                        <wps:bodyPr/>
                      </wps:wsp>
                      <wps:wsp>
                        <wps:cNvPr id="99" name="Rectangle 90"/>
                        <wps:cNvSpPr>
                          <a:spLocks noChangeArrowheads="true"/>
                        </wps:cNvSpPr>
                        <wps:spPr bwMode="auto">
                          <a:xfrm>
                            <a:off x="3645535" y="1569085"/>
                            <a:ext cx="883920" cy="278130"/>
                          </a:xfrm>
                          <a:prstGeom prst="rect">
                            <a:avLst/>
                          </a:prstGeom>
                          <a:solidFill>
                            <a:schemeClr val="bg1">
                              <a:lumMod val="100000"/>
                              <a:lumOff val="0"/>
                            </a:schemeClr>
                          </a:solidFill>
                          <a:ln>
                            <a:noFill/>
                          </a:ln>
                        </wps:spPr>
                        <wps:txbx>
                          <w:txbxContent>
                            <w:p>
                              <w:pPr>
                                <w:jc w:val="center"/>
                                <w:rPr>
                                  <w:sz w:val="18"/>
                                </w:rPr>
                              </w:pPr>
                              <w:r>
                                <w:rPr>
                                  <w:rFonts w:hint="eastAsia"/>
                                  <w:sz w:val="18"/>
                                </w:rPr>
                                <w:t>调色香味</w:t>
                              </w:r>
                            </w:p>
                          </w:txbxContent>
                        </wps:txbx>
                        <wps:bodyPr rot="0" vert="horz" wrap="square" lIns="91440" tIns="45720" rIns="91440" bIns="45720" anchor="t" anchorCtr="false" upright="true">
                          <a:noAutofit/>
                        </wps:bodyPr>
                      </wps:wsp>
                      <wps:wsp>
                        <wps:cNvPr id="100" name="AutoShape 91"/>
                        <wps:cNvCnPr>
                          <a:cxnSpLocks noChangeShapeType="true"/>
                          <a:stCxn id="99" idx="0"/>
                          <a:endCxn id="75" idx="2"/>
                        </wps:cNvCnPr>
                        <wps:spPr bwMode="auto">
                          <a:xfrm flipH="true" flipV="true">
                            <a:off x="4086860" y="1441450"/>
                            <a:ext cx="635" cy="127635"/>
                          </a:xfrm>
                          <a:prstGeom prst="straightConnector1">
                            <a:avLst/>
                          </a:prstGeom>
                          <a:noFill/>
                          <a:ln w="9525">
                            <a:solidFill>
                              <a:srgbClr val="000000"/>
                            </a:solidFill>
                            <a:round/>
                            <a:tailEnd type="triangle" w="med" len="med"/>
                          </a:ln>
                        </wps:spPr>
                        <wps:bodyPr/>
                      </wps:wsp>
                      <wps:wsp>
                        <wps:cNvPr id="101" name="Rectangle 92"/>
                        <wps:cNvSpPr>
                          <a:spLocks noChangeArrowheads="true"/>
                        </wps:cNvSpPr>
                        <wps:spPr bwMode="auto">
                          <a:xfrm>
                            <a:off x="149860" y="1527810"/>
                            <a:ext cx="513080" cy="278130"/>
                          </a:xfrm>
                          <a:prstGeom prst="rect">
                            <a:avLst/>
                          </a:prstGeom>
                          <a:solidFill>
                            <a:schemeClr val="bg1">
                              <a:lumMod val="100000"/>
                              <a:lumOff val="0"/>
                            </a:schemeClr>
                          </a:solidFill>
                          <a:ln>
                            <a:noFill/>
                          </a:ln>
                        </wps:spPr>
                        <wps:txbx>
                          <w:txbxContent>
                            <w:p>
                              <w:pPr>
                                <w:jc w:val="center"/>
                                <w:rPr>
                                  <w:sz w:val="18"/>
                                </w:rPr>
                              </w:pPr>
                              <w:r>
                                <w:rPr>
                                  <w:rFonts w:hint="eastAsia"/>
                                  <w:sz w:val="18"/>
                                </w:rPr>
                                <w:t>计量</w:t>
                              </w:r>
                            </w:p>
                          </w:txbxContent>
                        </wps:txbx>
                        <wps:bodyPr rot="0" vert="horz" wrap="square" lIns="91440" tIns="45720" rIns="91440" bIns="45720" anchor="t" anchorCtr="false" upright="true">
                          <a:noAutofit/>
                        </wps:bodyPr>
                      </wps:wsp>
                      <wps:wsp>
                        <wps:cNvPr id="102" name="AutoShape 93"/>
                        <wps:cNvCnPr>
                          <a:cxnSpLocks noChangeShapeType="true"/>
                          <a:stCxn id="80" idx="0"/>
                          <a:endCxn id="101" idx="2"/>
                        </wps:cNvCnPr>
                        <wps:spPr bwMode="auto">
                          <a:xfrm flipH="true" flipV="true">
                            <a:off x="406400" y="1805940"/>
                            <a:ext cx="2540" cy="163195"/>
                          </a:xfrm>
                          <a:prstGeom prst="straightConnector1">
                            <a:avLst/>
                          </a:prstGeom>
                          <a:noFill/>
                          <a:ln w="9525">
                            <a:solidFill>
                              <a:srgbClr val="000000"/>
                            </a:solidFill>
                            <a:round/>
                            <a:tailEnd type="triangle" w="med" len="med"/>
                          </a:ln>
                        </wps:spPr>
                        <wps:bodyPr/>
                      </wps:wsp>
                    </wpc:wpc>
                  </a:graphicData>
                </a:graphic>
              </wp:inline>
            </w:drawing>
          </mc:Choice>
          <mc:Fallback>
            <w:pict>
              <v:group id="画布 50" o:spid="_x0000_s1026" o:spt="203" style="height:181.95pt;width:416.95pt;" coordsize="5295265,2310765" editas="canvas" o:gfxdata="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">
                <o:lock v:ext="edit" aspectratio="f"/>
                <v:shape id="画布 50" o:spid="_x0000_s1026" style="position:absolute;left:0;top:0;height:2310765;width:5295265;" filled="f" stroked="t" coordsize="21600,21600" o:gfxdata="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">
                  <v:fill on="f" focussize="0,0"/>
                  <v:stroke color="#000000 [3229]" miterlimit="8" joinstyle="miter"/>
                  <v:imagedata o:title=""/>
                  <o:lock v:ext="edit" aspectratio="t"/>
                </v:shape>
                <v:rect id="Rectangle 52" o:spid="_x0000_s1026" o:spt="1" style="position:absolute;left:7620;top:465455;height:278130;width:739140;" fillcolor="#FFFFFF [3228]" filled="t" stroked="f" coordsize="21600,21600" o:gfxdata="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FgAAAGRycy9QSwEC&#10;FAAUAAAACACHTuJAyiYlttMAAAAFAQAADwAAAAAAAAABACAAAAA4AAAAZHJzL2Rvd25yZXYueG1s&#10;UEsBAhQAFAAAAAgAh07iQDBjTrQgAgAALwQAAA4AAAAAAAAAAQAgAAAAOAEAAGRycy9lMm9Eb2Mu&#10;eG1sUEsFBgAAAAAGAAYAWQEAAMoFAAAAAA==&#10;">
                  <v:fill on="t" focussize="0,0"/>
                  <v:stroke on="f"/>
                  <v:imagedata o:title=""/>
                  <o:lock v:ext="edit" aspectratio="f"/>
                  <v:textbox>
                    <w:txbxContent>
                      <w:p>
                        <w:pPr>
                          <w:jc w:val="center"/>
                          <w:rPr>
                            <w:sz w:val="18"/>
                          </w:rPr>
                        </w:pPr>
                        <w:r>
                          <w:rPr>
                            <w:rFonts w:hint="eastAsia"/>
                            <w:sz w:val="18"/>
                          </w:rPr>
                          <w:t>生鲜蔬菜</w:t>
                        </w:r>
                      </w:p>
                    </w:txbxContent>
                  </v:textbox>
                </v:rect>
                <v:rect id="Rectangle 53" o:spid="_x0000_s1026" o:spt="1" style="position:absolute;left:1001395;top:448945;height:302260;width:915035;" fillcolor="#FFFFFF" filled="t" stroked="t" coordsize="21600,21600" o:gfxdata="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FgAAAGRy&#10;cy9QSwECFAAUAAAACACHTuJAwN/q6NQAAAAFAQAADwAAAAAAAAABACAAAAA4AAAAZHJzL2Rvd25y&#10;ZXYueG1sUEsBAhQAFAAAAAgAh07iQMgfMcslAgAARQQAAA4AAAAAAAAAAQAgAAAAOQEAAGRycy9l&#10;Mm9Eb2MueG1sUEsFBgAAAAAGAAYAWQEAANAFAAAAAA==&#10;">
                  <v:fill on="t" focussize="0,0"/>
                  <v:stroke color="#000000" miterlimit="8" joinstyle="miter"/>
                  <v:imagedata o:title=""/>
                  <o:lock v:ext="edit" aspectratio="f"/>
                  <v:textbox>
                    <w:txbxContent>
                      <w:p>
                        <w:pPr>
                          <w:jc w:val="center"/>
                          <w:rPr>
                            <w:sz w:val="18"/>
                          </w:rPr>
                        </w:pPr>
                        <w:r>
                          <w:rPr>
                            <w:rFonts w:hint="eastAsia"/>
                            <w:sz w:val="18"/>
                          </w:rPr>
                          <w:t>挑选、整理</w:t>
                        </w:r>
                      </w:p>
                    </w:txbxContent>
                  </v:textbox>
                </v:rect>
                <v:rect id="Rectangle 54" o:spid="_x0000_s1026" o:spt="1" style="position:absolute;left:2171065;top:448945;height:303530;width:536575;" fillcolor="#FFFFFF" filled="t" stroked="t" coordsize="21600,21600" o:gfxdata="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WAAAA&#10;ZHJzL1BLAQIUABQAAAAIAIdO4kDA3+ro1AAAAAUBAAAPAAAAAAAAAAEAIAAAADgAAABkcnMvZG93&#10;bnJldi54bWxQSwECFAAUAAAACACHTuJAE8GDkicCAABFBAAADgAAAAAAAAABACAAAAA5AQAAZHJz&#10;L2Uyb0RvYy54bWxQSwUGAAAAAAYABgBZAQAA0gUAAAAA&#10;">
                  <v:fill on="t" focussize="0,0"/>
                  <v:stroke color="#000000" miterlimit="8" joinstyle="miter"/>
                  <v:imagedata o:title=""/>
                  <o:lock v:ext="edit" aspectratio="f"/>
                  <v:textbox>
                    <w:txbxContent>
                      <w:p>
                        <w:pPr>
                          <w:jc w:val="center"/>
                          <w:rPr>
                            <w:sz w:val="18"/>
                          </w:rPr>
                        </w:pPr>
                        <w:r>
                          <w:rPr>
                            <w:rFonts w:hint="eastAsia"/>
                            <w:sz w:val="18"/>
                          </w:rPr>
                          <w:t>入池</w:t>
                        </w:r>
                      </w:p>
                    </w:txbxContent>
                  </v:textbox>
                </v:rect>
                <v:rect id="Rectangle 55" o:spid="_x0000_s1026" o:spt="1" style="position:absolute;left:2945765;top:448945;height:303530;width:1029335;" fillcolor="#FFFFFF" filled="t" stroked="t" coordsize="21600,21600" o:gfxdata="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FgAAAGRy&#10;cy9QSwECFAAUAAAACACHTuJAwN/q6NQAAAAFAQAADwAAAAAAAAABACAAAAA4AAAAZHJzL2Rvd25y&#10;ZXYueG1sUEsBAhQAFAAAAAgAh07iQIvg/7clAgAARgQAAA4AAAAAAAAAAQAgAAAAOQEAAGRycy9l&#10;Mm9Eb2MueG1sUEsFBgAAAAAGAAYAWQEAANAFAAAAAA==&#10;">
                  <v:fill on="t" focussize="0,0"/>
                  <v:stroke color="#000000" miterlimit="8" joinstyle="miter"/>
                  <v:imagedata o:title=""/>
                  <o:lock v:ext="edit" aspectratio="f"/>
                  <v:textbox>
                    <w:txbxContent>
                      <w:p>
                        <w:pPr>
                          <w:jc w:val="center"/>
                          <w:rPr>
                            <w:sz w:val="18"/>
                          </w:rPr>
                        </w:pPr>
                        <w:r>
                          <w:rPr>
                            <w:rFonts w:hint="eastAsia"/>
                            <w:sz w:val="18"/>
                          </w:rPr>
                          <w:t>预处理（发酵）</w:t>
                        </w:r>
                      </w:p>
                    </w:txbxContent>
                  </v:textbox>
                </v:rect>
                <v:rect id="Rectangle 56" o:spid="_x0000_s1026" o:spt="1" style="position:absolute;left:4208145;top:447675;height:303530;width:577850;" fillcolor="#FFFFFF" filled="t" stroked="t" coordsize="21600,21600" o:gfxdata="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BYAAABk&#10;cnMvUEsBAhQAFAAAAAgAh07iQMDf6ujUAAAABQEAAA8AAAAAAAAAAQAgAAAAOAAAAGRycy9kb3du&#10;cmV2LnhtbFBLAQIUABQAAAAIAIdO4kBWElJvJgIAAEUEAAAOAAAAAAAAAAEAIAAAADkBAABkcnMv&#10;ZTJvRG9jLnhtbFBLBQYAAAAABgAGAFkBAADRBQAAAAA=&#10;">
                  <v:fill on="t" focussize="0,0"/>
                  <v:stroke color="#000000" miterlimit="8" joinstyle="miter"/>
                  <v:imagedata o:title=""/>
                  <o:lock v:ext="edit" aspectratio="f"/>
                  <v:textbox>
                    <w:txbxContent>
                      <w:p>
                        <w:pPr>
                          <w:jc w:val="center"/>
                          <w:rPr>
                            <w:sz w:val="18"/>
                          </w:rPr>
                        </w:pPr>
                        <w:r>
                          <w:rPr>
                            <w:rFonts w:hint="eastAsia"/>
                            <w:sz w:val="18"/>
                          </w:rPr>
                          <w:t>清洗</w:t>
                        </w:r>
                      </w:p>
                    </w:txbxContent>
                  </v:textbox>
                </v:rect>
                <v:rect id="Rectangle 57" o:spid="_x0000_s1026" o:spt="1" style="position:absolute;left:278130;top:1146175;height:302260;width:915035;" fillcolor="#FFFFFF" filled="t" stroked="t" coordsize="21600,21600" o:gfxdata="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WAAAA&#10;ZHJzL1BLAQIUABQAAAAIAIdO4kDA3+ro1AAAAAUBAAAPAAAAAAAAAAEAIAAAADgAAABkcnMvZG93&#10;bnJldi54bWxQSwECFAAUAAAACACHTuJAOzUxeScCAABFBAAADgAAAAAAAAABACAAAAA5AQAAZHJz&#10;L2Uyb0RvYy54bWxQSwUGAAAAAAYABgBZAQAA0gUAAAAA&#10;">
                  <v:fill on="t" focussize="0,0"/>
                  <v:stroke color="#000000" miterlimit="8" joinstyle="miter"/>
                  <v:imagedata o:title=""/>
                  <o:lock v:ext="edit" aspectratio="f"/>
                  <v:textbox>
                    <w:txbxContent>
                      <w:p>
                        <w:pPr>
                          <w:jc w:val="center"/>
                          <w:rPr>
                            <w:sz w:val="18"/>
                          </w:rPr>
                        </w:pPr>
                        <w:r>
                          <w:rPr>
                            <w:rFonts w:hint="eastAsia"/>
                            <w:sz w:val="18"/>
                          </w:rPr>
                          <w:t>整理、切分</w:t>
                        </w:r>
                      </w:p>
                    </w:txbxContent>
                  </v:textbox>
                </v:rect>
                <v:rect id="Rectangle 58" o:spid="_x0000_s1026" o:spt="1" style="position:absolute;left:1612900;top:1146175;height:303530;width:543560;" fillcolor="#FFFFFF" filled="t" stroked="t" coordsize="21600,21600" o:gfxdata="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BYAAABk&#10;cnMvUEsBAhQAFAAAAAgAh07iQMDf6ujUAAAABQEAAA8AAAAAAAAAAQAgAAAAOAAAAGRycy9kb3du&#10;cmV2LnhtbFBLAQIUABQAAAAIAIdO4kBcSt89JgIAAEYEAAAOAAAAAAAAAAEAIAAAADkBAABkcnMv&#10;ZTJvRG9jLnhtbFBLBQYAAAAABgAGAFkBAADRBQAAAAA=&#10;">
                  <v:fill on="t" focussize="0,0"/>
                  <v:stroke color="#000000" miterlimit="8" joinstyle="miter"/>
                  <v:imagedata o:title=""/>
                  <o:lock v:ext="edit" aspectratio="f"/>
                  <v:textbox>
                    <w:txbxContent>
                      <w:p>
                        <w:pPr>
                          <w:jc w:val="center"/>
                          <w:rPr>
                            <w:sz w:val="18"/>
                          </w:rPr>
                        </w:pPr>
                        <w:r>
                          <w:rPr>
                            <w:rFonts w:hint="eastAsia"/>
                            <w:sz w:val="18"/>
                          </w:rPr>
                          <w:t>脱盐</w:t>
                        </w:r>
                      </w:p>
                    </w:txbxContent>
                  </v:textbox>
                </v:rect>
                <v:rect id="Rectangle 59" o:spid="_x0000_s1026" o:spt="1" style="position:absolute;left:2528570;top:1155065;height:303530;width:638175;" fillcolor="#FFFFFF" filled="t" stroked="t" coordsize="21600,21600" o:gfxdata="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WAAAA&#10;ZHJzL1BLAQIUABQAAAAIAIdO4kDA3+ro1AAAAAUBAAAPAAAAAAAAAAEAIAAAADgAAABkcnMvZG93&#10;bnJldi54bWxQSwECFAAUAAAACACHTuJAK5aE2icCAABGBAAADgAAAAAAAAABACAAAAA5AQAAZHJz&#10;L2Uyb0RvYy54bWxQSwUGAAAAAAYABgBZAQAA0gUAAAAA&#10;">
                  <v:fill on="t" focussize="0,0"/>
                  <v:stroke color="#000000" miterlimit="8" joinstyle="miter"/>
                  <v:imagedata o:title=""/>
                  <o:lock v:ext="edit" aspectratio="f"/>
                  <v:textbox>
                    <w:txbxContent>
                      <w:p>
                        <w:pPr>
                          <w:jc w:val="center"/>
                          <w:rPr>
                            <w:sz w:val="18"/>
                          </w:rPr>
                        </w:pPr>
                        <w:r>
                          <w:rPr>
                            <w:rFonts w:hint="eastAsia"/>
                            <w:sz w:val="18"/>
                          </w:rPr>
                          <w:t>压榨</w:t>
                        </w:r>
                      </w:p>
                    </w:txbxContent>
                  </v:textbox>
                </v:rect>
                <v:shape id="AutoShape 60" o:spid="_x0000_s1026" o:spt="32" type="#_x0000_t32" style="position:absolute;left:746760;top:600075;flip:y;height:4445;width:254635;" filled="f" stroked="t" coordsize="21600,21600" o:gfxdata="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BYAAABkcnMvUEsBAhQAFAAAAAgAh07iQEI/PybWAAAABQEAAA8AAAAA&#10;AAAAAQAgAAAAOAAAAGRycy9kb3ducmV2LnhtbFBLAQIUABQAAAAIAIdO4kDctQTBAAIAAOUDAAAO&#10;AAAAAAAAAAEAIAAAADsBAABkcnMvZTJvRG9jLnhtbFBLBQYAAAAABgAGAFkBAACtBQAAAAA=&#10;">
                  <v:fill on="f" focussize="0,0"/>
                  <v:stroke color="#000000" joinstyle="round" endarrow="block"/>
                  <v:imagedata o:title=""/>
                  <o:lock v:ext="edit" aspectratio="f"/>
                </v:shape>
                <v:shape id="AutoShape 61" o:spid="_x0000_s1026" o:spt="32" type="#_x0000_t32" style="position:absolute;left:1916430;top:600075;height:635;width:254635;" filled="f" stroked="t" coordsize="21600,21600" o:gfxdata="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WAAAAZHJzL1BLAQIUABQAAAAIAIdO4kByoxdY1gAAAAUBAAAPAAAAAAAAAAEAIAAA&#10;ADgAAABkcnMvZG93bnJldi54bWxQSwECFAAUAAAACACHTuJAZWXjrfgBAADYAwAADgAAAAAAAAAB&#10;ACAAAAA7AQAAZHJzL2Uyb0RvYy54bWxQSwUGAAAAAAYABgBZAQAApQUAAAAA&#10;">
                  <v:fill on="f" focussize="0,0"/>
                  <v:stroke color="#000000" joinstyle="round" endarrow="block"/>
                  <v:imagedata o:title=""/>
                  <o:lock v:ext="edit" aspectratio="f"/>
                </v:shape>
                <v:shape id="AutoShape 62" o:spid="_x0000_s1026" o:spt="32" type="#_x0000_t32" style="position:absolute;left:2707640;top:600710;height:635;width:238125;" filled="f" stroked="t" coordsize="21600,21600" o:gfxdata="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FgAAAGRycy9QSwECFAAUAAAACACHTuJAcqMXWNYAAAAFAQAADwAAAAAAAAABACAA&#10;AAA4AAAAZHJzL2Rvd25yZXYueG1sUEsBAhQAFAAAAAgAh07iQJ8bxwz5AQAA2AMAAA4AAAAAAAAA&#10;AQAgAAAAOwEAAGRycy9lMm9Eb2MueG1sUEsFBgAAAAAGAAYAWQEAAKYFAAAAAA==&#10;">
                  <v:fill on="f" focussize="0,0"/>
                  <v:stroke color="#000000" joinstyle="round" endarrow="block"/>
                  <v:imagedata o:title=""/>
                  <o:lock v:ext="edit" aspectratio="f"/>
                </v:shape>
                <v:shape id="AutoShape 63" o:spid="_x0000_s1026" o:spt="32" type="#_x0000_t32" style="position:absolute;left:3975100;top:599440;flip:y;height:1270;width:233045;" filled="f" stroked="t" coordsize="21600,21600" o:gfxdata="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">
                  <v:fill on="f" focussize="0,0"/>
                  <v:stroke color="#000000" joinstyle="round" endarrow="block"/>
                  <v:imagedata o:title=""/>
                  <o:lock v:ext="edit" aspectratio="f"/>
                </v:shape>
                <v:shape id="AutoShape 64" o:spid="_x0000_s1026" o:spt="32" type="#_x0000_t32" style="position:absolute;left:1193165;top:1297305;height:635;width:419735;" filled="f" stroked="t" coordsize="21600,21600" o:gfxdata="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FgAAAGRycy9QSwECFAAUAAAACACHTuJAcqMXWNYAAAAFAQAADwAAAAAAAAABACAA&#10;AAA4AAAAZHJzL2Rvd25yZXYueG1sUEsBAhQAFAAAAAgAh07iQEVH+az5AQAA2QMAAA4AAAAAAAAA&#10;AQAgAAAAOwEAAGRycy9lMm9Eb2MueG1sUEsFBgAAAAAGAAYAWQEAAKYFAAAAAA==&#10;">
                  <v:fill on="f" focussize="0,0"/>
                  <v:stroke color="#000000" joinstyle="round" endarrow="block"/>
                  <v:imagedata o:title=""/>
                  <o:lock v:ext="edit" aspectratio="f"/>
                </v:shape>
                <v:shape id="AutoShape 65" o:spid="_x0000_s1026" o:spt="32" type="#_x0000_t32" style="position:absolute;left:2156460;top:1297940;height:8890;width:372110;" filled="f" stroked="t" coordsize="21600,21600" o:gfxdata="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BYAAABkcnMvUEsBAhQAFAAAAAgAh07iQHKjF1jWAAAABQEAAA8AAAAAAAAA&#10;AQAgAAAAOAAAAGRycy9kb3ducmV2LnhtbFBLAQIUABQAAAAIAIdO4kAFShY+/QEAANoDAAAOAAAA&#10;AAAAAAEAIAAAADsBAABkcnMvZTJvRG9jLnhtbFBLBQYAAAAABgAGAFkBAACqBQAAAAA=&#10;">
                  <v:fill on="f" focussize="0,0"/>
                  <v:stroke color="#000000" joinstyle="round" endarrow="block"/>
                  <v:imagedata o:title=""/>
                  <o:lock v:ext="edit" aspectratio="f"/>
                </v:shape>
                <v:rect id="Rectangle 66" o:spid="_x0000_s1026" o:spt="1" style="position:absolute;left:3544570;top:1163320;height:278130;width:1083945;" fillcolor="#FFFFFF [3228]" filled="t" stroked="t" coordsize="21600,21600" o:gfxdata="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">
                  <v:fill on="t" focussize="0,0"/>
                  <v:stroke color="#000000 [3229]" miterlimit="8" joinstyle="miter"/>
                  <v:imagedata o:title=""/>
                  <o:lock v:ext="edit" aspectratio="f"/>
                  <v:textbox>
                    <w:txbxContent>
                      <w:p>
                        <w:pPr>
                          <w:jc w:val="center"/>
                          <w:rPr>
                            <w:sz w:val="18"/>
                          </w:rPr>
                        </w:pPr>
                        <w:r>
                          <w:rPr>
                            <w:rFonts w:hint="eastAsia"/>
                            <w:sz w:val="18"/>
                          </w:rPr>
                          <w:t>配料（调味）</w:t>
                        </w:r>
                      </w:p>
                    </w:txbxContent>
                  </v:textbox>
                </v:rect>
                <v:rect id="Rectangle 67" o:spid="_x0000_s1026" o:spt="1" style="position:absolute;left:2194560;top:1270;height:278130;width:496570;" fillcolor="#FFFFFF [3228]" filled="t" stroked="f" coordsize="21600,21600" o:gfxdata="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WAAAAZHJzL1BL&#10;AQIUABQAAAAIAIdO4kDKJiW20wAAAAUBAAAPAAAAAAAAAAEAIAAAADgAAABkcnMvZG93bnJldi54&#10;bWxQSwECFAAUAAAACACHTuJAvC3N0SICAAAwBAAADgAAAAAAAAABACAAAAA4AQAAZHJzL2Uyb0Rv&#10;Yy54bWxQSwUGAAAAAAYABgBZAQAAzAUAAAAA&#10;">
                  <v:fill on="t" focussize="0,0"/>
                  <v:stroke on="f"/>
                  <v:imagedata o:title=""/>
                  <o:lock v:ext="edit" aspectratio="f"/>
                  <v:textbox>
                    <w:txbxContent>
                      <w:p>
                        <w:pPr>
                          <w:jc w:val="center"/>
                          <w:rPr>
                            <w:sz w:val="18"/>
                          </w:rPr>
                        </w:pPr>
                        <w:r>
                          <w:rPr>
                            <w:rFonts w:hint="eastAsia"/>
                            <w:sz w:val="18"/>
                          </w:rPr>
                          <w:t>食盐</w:t>
                        </w:r>
                      </w:p>
                    </w:txbxContent>
                  </v:textbox>
                </v:rect>
                <v:shape id="AutoShape 68" o:spid="_x0000_s1026" o:spt="32" type="#_x0000_t32" style="position:absolute;left:4785995;top:601345;height:3810;width:254635;" filled="f" stroked="t" coordsize="21600,21600" o:gfxdata="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BYAAABkcnMv&#10;UEsBAhQAFAAAAAgAh07iQHKjF1jWAAAABQEAAA8AAAAAAAAAAQAgAAAAOAAAAGRycy9kb3ducmV2&#10;LnhtbFBLAQIUABQAAAAIAIdO4kDNiXtS6AEAAKQDAAAOAAAAAAAAAAEAIAAAADsBAABkcnMvZTJv&#10;RG9jLnhtbFBLBQYAAAAABgAGAFkBAACVBQAAAAA=&#10;">
                  <v:fill on="f" focussize="0,0"/>
                  <v:stroke color="#000000" joinstyle="round" endarrow="block"/>
                  <v:imagedata o:title=""/>
                  <o:lock v:ext="edit" aspectratio="f"/>
                </v:shape>
                <v:shape id="AutoShape 69" o:spid="_x0000_s1026" o:spt="32" type="#_x0000_t32" style="position:absolute;left:3166745;top:1302385;flip:y;height:4445;width:377825;" filled="f" stroked="t" coordsize="21600,21600" o:gfxdata="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BYAAABkcnMvUEsBAhQAFAAAAAgAh07iQEI/PybWAAAABQEAAA8AAAAA&#10;AAAAAQAgAAAAOAAAAGRycy9kb3ducmV2LnhtbFBLAQIUABQAAAAIAIdO4kAo2SyuAAIAAOcDAAAO&#10;AAAAAAAAAAEAIAAAADsBAABkcnMvZTJvRG9jLnhtbFBLBQYAAAAABgAGAFkBAACtBQAAAAA=&#10;">
                  <v:fill on="f" focussize="0,0"/>
                  <v:stroke color="#000000" joinstyle="round" endarrow="block"/>
                  <v:imagedata o:title=""/>
                  <o:lock v:ext="edit" aspectratio="f"/>
                </v:shape>
                <v:shape id="AutoShape 70" o:spid="_x0000_s1026" o:spt="32" type="#_x0000_t32" style="position:absolute;left:4628515;top:1302385;height:635;width:403225;" filled="f" stroked="t" coordsize="21600,21600" o:gfxdata="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&#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FgAAAGRycy9QSwECFAAUAAAACACHTuJAcqMXWNYAAAAFAQAADwAAAAAAAAABACAAAAA4AAAAZHJz&#10;L2Rvd25yZXYueG1sUEsBAhQAFAAAAAgAh07iQMeYusPwAQAAvgMAAA4AAAAAAAAAAQAgAAAAOwEA&#10;AGRycy9lMm9Eb2MueG1sUEsFBgAAAAAGAAYAWQEAAJ0FAAAAAA==&#10;">
                  <v:fill on="f" focussize="0,0"/>
                  <v:stroke color="#000000" joinstyle="round" endarrow="block"/>
                  <v:imagedata o:title=""/>
                  <o:lock v:ext="edit" aspectratio="f"/>
                </v:shape>
                <v:rect id="Rectangle 71" o:spid="_x0000_s1026" o:spt="1" style="position:absolute;left:129540;top:1969135;height:302260;width:558165;" fillcolor="#FFFFFF" filled="t" stroked="t" coordsize="21600,21600" o:gfxdata="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BYAAABk&#10;cnMvUEsBAhQAFAAAAAgAh07iQMDf6ujUAAAABQEAAA8AAAAAAAAAAQAgAAAAOAAAAGRycy9kb3du&#10;cmV2LnhtbFBLAQIUABQAAAAIAIdO4kBzRVlaJgIAAEUEAAAOAAAAAAAAAAEAIAAAADkBAABkcnMv&#10;ZTJvRG9jLnhtbFBLBQYAAAAABgAGAFkBAADRBQAAAAA=&#10;">
                  <v:fill on="t" focussize="0,0"/>
                  <v:stroke color="#000000" miterlimit="8" joinstyle="miter"/>
                  <v:imagedata o:title=""/>
                  <o:lock v:ext="edit" aspectratio="f"/>
                  <v:textbox>
                    <w:txbxContent>
                      <w:p>
                        <w:pPr>
                          <w:jc w:val="center"/>
                          <w:rPr>
                            <w:sz w:val="18"/>
                          </w:rPr>
                        </w:pPr>
                        <w:r>
                          <w:rPr>
                            <w:rFonts w:hint="eastAsia"/>
                            <w:sz w:val="18"/>
                          </w:rPr>
                          <w:t>包装</w:t>
                        </w:r>
                      </w:p>
                    </w:txbxContent>
                  </v:textbox>
                </v:rect>
                <v:rect id="Rectangle 72" o:spid="_x0000_s1026" o:spt="1" style="position:absolute;left:968375;top:1969135;height:303530;width:495935;" fillcolor="#FFFFFF" filled="t" stroked="t" coordsize="21600,21600" o:gfxdata="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BYAAABk&#10;cnMvUEsBAhQAFAAAAAgAh07iQMDf6ujUAAAABQEAAA8AAAAAAAAAAQAgAAAAOAAAAGRycy9kb3du&#10;cmV2LnhtbFBLAQIUABQAAAAIAIdO4kD7+jhIJgIAAEUEAAAOAAAAAAAAAAEAIAAAADkBAABkcnMv&#10;ZTJvRG9jLnhtbFBLBQYAAAAABgAGAFkBAADRBQAAAAA=&#10;">
                  <v:fill on="t" focussize="0,0"/>
                  <v:stroke color="#000000" miterlimit="8" joinstyle="miter"/>
                  <v:imagedata o:title=""/>
                  <o:lock v:ext="edit" aspectratio="f"/>
                  <v:textbox>
                    <w:txbxContent>
                      <w:p>
                        <w:pPr>
                          <w:jc w:val="center"/>
                          <w:rPr>
                            <w:sz w:val="18"/>
                          </w:rPr>
                        </w:pPr>
                        <w:r>
                          <w:rPr>
                            <w:rFonts w:hint="eastAsia"/>
                            <w:sz w:val="18"/>
                          </w:rPr>
                          <w:t>灭菌</w:t>
                        </w:r>
                      </w:p>
                    </w:txbxContent>
                  </v:textbox>
                </v:rect>
                <v:rect id="Rectangle 73" o:spid="_x0000_s1026" o:spt="1" style="position:absolute;left:1816100;top:1967865;height:303530;width:539115;" fillcolor="#FFFFFF" filled="t" stroked="t" coordsize="21600,21600" o:gfxdata="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WAAAA&#10;ZHJzL1BLAQIUABQAAAAIAIdO4kDA3+ro1AAAAAUBAAAPAAAAAAAAAAEAIAAAADgAAABkcnMvZG93&#10;bnJldi54bWxQSwECFAAUAAAACACHTuJAa6R0tycCAABGBAAADgAAAAAAAAABACAAAAA5AQAAZHJz&#10;L2Uyb0RvYy54bWxQSwUGAAAAAAYABgBZAQAA0gUAAAAA&#10;">
                  <v:fill on="t" focussize="0,0"/>
                  <v:stroke color="#000000" miterlimit="8" joinstyle="miter"/>
                  <v:imagedata o:title=""/>
                  <o:lock v:ext="edit" aspectratio="f"/>
                  <v:textbox>
                    <w:txbxContent>
                      <w:p>
                        <w:pPr>
                          <w:jc w:val="center"/>
                          <w:rPr>
                            <w:sz w:val="18"/>
                          </w:rPr>
                        </w:pPr>
                        <w:r>
                          <w:rPr>
                            <w:rFonts w:hint="eastAsia"/>
                            <w:sz w:val="18"/>
                          </w:rPr>
                          <w:t>冷却</w:t>
                        </w:r>
                      </w:p>
                    </w:txbxContent>
                  </v:textbox>
                </v:rect>
                <v:shape id="AutoShape 74" o:spid="_x0000_s1026" o:spt="32" type="#_x0000_t32" style="position:absolute;left:687705;top:2120265;height:635;width:280670;" filled="f" stroked="t" coordsize="21600,21600" o:gfxdata="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FgAAAGRycy9Q&#10;SwECFAAUAAAACACHTuJAcqMXWNYAAAAFAQAADwAAAAAAAAABACAAAAA4AAAAZHJzL2Rvd25yZXYu&#10;eG1sUEsBAhQAFAAAAAgAh07iQEhL5ybnAQAAowMAAA4AAAAAAAAAAQAgAAAAOwEAAGRycy9lMm9E&#10;b2MueG1sUEsFBgAAAAAGAAYAWQEAAJQFAAAAAA==&#10;">
                  <v:fill on="f" focussize="0,0"/>
                  <v:stroke color="#000000" joinstyle="round" endarrow="block"/>
                  <v:imagedata o:title=""/>
                  <o:lock v:ext="edit" aspectratio="f"/>
                </v:shape>
                <v:shape id="AutoShape 75" o:spid="_x0000_s1026" o:spt="32" type="#_x0000_t32" style="position:absolute;left:1464310;top:2119630;flip:y;height:1270;width:351790;" filled="f" stroked="t" coordsize="21600,21600" o:gfxdata="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FgAA&#10;AGRycy9QSwECFAAUAAAACACHTuJAQj8/JtYAAAAFAQAADwAAAAAAAAABACAAAAA4AAAAZHJzL2Rv&#10;d25yZXYueG1sUEsBAhQAFAAAAAgAh07iQOyGQYvtAQAAsgMAAA4AAAAAAAAAAQAgAAAAOwEAAGRy&#10;cy9lMm9Eb2MueG1sUEsFBgAAAAAGAAYAWQEAAJoFAAAAAA==&#10;">
                  <v:fill on="f" focussize="0,0"/>
                  <v:stroke color="#000000" joinstyle="round" endarrow="block"/>
                  <v:imagedata o:title=""/>
                  <o:lock v:ext="edit" aspectratio="f"/>
                </v:shape>
                <v:rect id="Rectangle 76" o:spid="_x0000_s1026" o:spt="1" style="position:absolute;left:2743835;top:1986280;height:278130;width:536575;" fillcolor="#FFFFFF [3228]" filled="t" stroked="t" coordsize="21600,21600" o:gfxdata="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">
                  <v:fill on="t" focussize="0,0"/>
                  <v:stroke color="#000000 [3229]" miterlimit="8" joinstyle="miter"/>
                  <v:imagedata o:title=""/>
                  <o:lock v:ext="edit" aspectratio="f"/>
                  <v:textbox>
                    <w:txbxContent>
                      <w:p>
                        <w:pPr>
                          <w:jc w:val="center"/>
                          <w:rPr>
                            <w:sz w:val="18"/>
                          </w:rPr>
                        </w:pPr>
                        <w:r>
                          <w:rPr>
                            <w:rFonts w:hint="eastAsia"/>
                            <w:sz w:val="18"/>
                          </w:rPr>
                          <w:t>贴签</w:t>
                        </w:r>
                      </w:p>
                    </w:txbxContent>
                  </v:textbox>
                </v:rect>
                <v:shape id="AutoShape 77" o:spid="_x0000_s1026" o:spt="32" type="#_x0000_t32" style="position:absolute;left:2355215;top:2119630;height:5715;width:388620;" filled="f" stroked="t" coordsize="21600,21600" o:gfxdata="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FgAAAGRycy9QSwECFAAUAAAACACHTuJAcqMXWNYAAAAFAQAADwAAAAAAAAABACAA&#10;AAA4AAAAZHJzL2Rvd25yZXYueG1sUEsBAhQAFAAAAAgAh07iQFvHpFz5AQAA2gMAAA4AAAAAAAAA&#10;AQAgAAAAOwEAAGRycy9lMm9Eb2MueG1sUEsFBgAAAAAGAAYAWQEAAKYFAAAAAA==&#10;">
                  <v:fill on="f" focussize="0,0"/>
                  <v:stroke color="#000000" joinstyle="round" endarrow="block"/>
                  <v:imagedata o:title=""/>
                  <o:lock v:ext="edit" aspectratio="f"/>
                </v:shape>
                <v:shape id="AutoShape 78" o:spid="_x0000_s1026" o:spt="32" type="#_x0000_t32" style="position:absolute;left:3280410;top:2125345;height:635;width:356870;" filled="f" stroked="t" coordsize="21600,21600" o:gfxdata="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FgAAAGRycy9QSwECFAAUAAAACACHTuJAcqMXWNYAAAAFAQAADwAAAAAAAAAB&#10;ACAAAAA4AAAAZHJzL2Rvd25yZXYueG1sUEsBAhQAFAAAAAgAh07iQEz3OvL8AQAA2QMAAA4AAAAA&#10;AAAAAQAgAAAAOwEAAGRycy9lMm9Eb2MueG1sUEsFBgAAAAAGAAYAWQEAAKkFAAAAAA==&#10;">
                  <v:fill on="f" focussize="0,0"/>
                  <v:stroke color="#000000" joinstyle="round" endarrow="block"/>
                  <v:imagedata o:title=""/>
                  <o:lock v:ext="edit" aspectratio="f"/>
                </v:shape>
                <v:rect id="Rectangle 79" o:spid="_x0000_s1026" o:spt="1" style="position:absolute;left:3637280;top:1986280;height:278130;width:504190;" fillcolor="#FFFFFF [3228]" filled="t" stroked="t" coordsize="21600,21600" o:gfxdata="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">
                  <v:fill on="t" focussize="0,0"/>
                  <v:stroke color="#000000 [3229]" miterlimit="8" joinstyle="miter"/>
                  <v:imagedata o:title=""/>
                  <o:lock v:ext="edit" aspectratio="f"/>
                  <v:textbox>
                    <w:txbxContent>
                      <w:p>
                        <w:pPr>
                          <w:jc w:val="center"/>
                          <w:rPr>
                            <w:sz w:val="18"/>
                          </w:rPr>
                        </w:pPr>
                        <w:r>
                          <w:rPr>
                            <w:rFonts w:hint="eastAsia"/>
                            <w:sz w:val="18"/>
                          </w:rPr>
                          <w:t>检验</w:t>
                        </w:r>
                      </w:p>
                    </w:txbxContent>
                  </v:textbox>
                </v:rect>
                <v:shape id="AutoShape 80" o:spid="_x0000_s1026" o:spt="32" type="#_x0000_t32" style="position:absolute;left:4141470;top:2125345;height:635;width:254635;" filled="f" stroked="t" coordsize="21600,21600" o:gfxdata="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BYAAABkcnMvUEsBAhQAFAAAAAgAh07iQHKjF1jWAAAABQEAAA8AAAAAAAAAAQAgAAAAOAAAAGRy&#10;cy9kb3ducmV2LnhtbFBLAQIUABQAAAAIAIdO4kApHAs18QEAAL4DAAAOAAAAAAAAAAEAIAAAADsB&#10;AABkcnMvZTJvRG9jLnhtbFBLBQYAAAAABgAGAFkBAACeBQAAAAA=&#10;">
                  <v:fill on="f" focussize="0,0"/>
                  <v:stroke color="#000000" joinstyle="round" endarrow="block"/>
                  <v:imagedata o:title=""/>
                  <o:lock v:ext="edit" aspectratio="f"/>
                </v:shape>
                <v:rect id="Rectangle 81" o:spid="_x0000_s1026" o:spt="1" style="position:absolute;left:4396105;top:1986280;height:278130;width:739140;" fillcolor="#FFFFFF [3228]" filled="t" stroked="f" coordsize="21600,21600" o:gfxdata="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">
                  <v:fill on="t" focussize="0,0"/>
                  <v:stroke on="f"/>
                  <v:imagedata o:title=""/>
                  <o:lock v:ext="edit" aspectratio="f"/>
                  <v:textbox>
                    <w:txbxContent>
                      <w:p>
                        <w:pPr>
                          <w:jc w:val="center"/>
                          <w:rPr>
                            <w:sz w:val="18"/>
                          </w:rPr>
                        </w:pPr>
                        <w:r>
                          <w:rPr>
                            <w:rFonts w:hint="eastAsia"/>
                            <w:sz w:val="18"/>
                          </w:rPr>
                          <w:t>盐渍泡菜</w:t>
                        </w:r>
                      </w:p>
                    </w:txbxContent>
                  </v:textbox>
                </v:rect>
                <v:shape id="AutoShape 82" o:spid="_x0000_s1026" o:spt="32" type="#_x0000_t32" style="position:absolute;left:2439670;top:279400;flip:x;height:169545;width:3175;" filled="f" stroked="t" coordsize="21600,21600" o:gfxdata="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BYAAABkcnMvUEsBAhQAFAAAAAgAh07iQEI/PybWAAAABQEAAA8A&#10;AAAAAAAAAQAgAAAAOAAAAGRycy9kb3ducmV2LnhtbFBLAQIUABQAAAAIAIdO4kB20OorAwIAAOYD&#10;AAAOAAAAAAAAAAEAIAAAADsBAABkcnMvZTJvRG9jLnhtbFBLBQYAAAAABgAGAFkBAACwBQAAAAA=&#10;">
                  <v:fill on="f" focussize="0,0"/>
                  <v:stroke color="#000000" joinstyle="round" endarrow="block"/>
                  <v:imagedata o:title=""/>
                  <o:lock v:ext="edit" aspectratio="f"/>
                </v:shape>
                <v:rect id="Rectangle 83" o:spid="_x0000_s1026" o:spt="1" style="position:absolute;left:3217545;top:0;height:278130;width:496570;" fillcolor="#FFFFFF [3228]" filled="t" stroked="f" coordsize="21600,21600" o:gfxdata="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FgAAAGRycy9QSwEC&#10;FAAUAAAACACHTuJAyiYlttMAAAAFAQAADwAAAAAAAAABACAAAAA4AAAAZHJzL2Rvd25yZXYueG1s&#10;UEsBAhQAFAAAAAgAh07iQJdx3ckgAgAALQQAAA4AAAAAAAAAAQAgAAAAOAEAAGRycy9lMm9Eb2Mu&#10;eG1sUEsFBgAAAAAGAAYAWQEAAMoFAAAAAA==&#10;">
                  <v:fill on="t" focussize="0,0"/>
                  <v:stroke on="f"/>
                  <v:imagedata o:title=""/>
                  <o:lock v:ext="edit" aspectratio="f"/>
                  <v:textbox>
                    <w:txbxContent>
                      <w:p>
                        <w:pPr>
                          <w:jc w:val="center"/>
                          <w:rPr>
                            <w:sz w:val="18"/>
                          </w:rPr>
                        </w:pPr>
                        <w:r>
                          <w:rPr>
                            <w:rFonts w:hint="eastAsia"/>
                            <w:sz w:val="18"/>
                          </w:rPr>
                          <w:t>盐渍</w:t>
                        </w:r>
                      </w:p>
                    </w:txbxContent>
                  </v:textbox>
                </v:rect>
                <v:shape id="AutoShape 84" o:spid="_x0000_s1026" o:spt="32" type="#_x0000_t32" style="position:absolute;left:3460750;top:278130;flip:x;height:170815;width:5080;" filled="f" stroked="t" coordsize="21600,21600" o:gfxdata="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WAAAAZHJzL1BLAQIUABQAAAAIAIdO4kBCPz8m1gAAAAUBAAAPAAAA&#10;AAAAAAEAIAAAADgAAABkcnMvZG93bnJldi54bWxQSwECFAAUAAAACACHTuJAUqnvnwECAADmAwAA&#10;DgAAAAAAAAABACAAAAA7AQAAZHJzL2Uyb0RvYy54bWxQSwUGAAAAAAYABgBZAQAArgUAAAAA&#10;">
                  <v:fill on="f" focussize="0,0"/>
                  <v:stroke color="#000000" joinstyle="round" endarrow="block"/>
                  <v:imagedata o:title=""/>
                  <o:lock v:ext="edit" aspectratio="f"/>
                </v:shape>
                <v:rect id="Rectangle 85" o:spid="_x0000_s1026" o:spt="1" style="position:absolute;left:2599690;top:717550;height:278130;width:496570;" fillcolor="#FFFFFF [3228]" filled="t" stroked="f" coordsize="21600,21600" o:gfxdata="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">
                  <v:fill on="t" focussize="0,0"/>
                  <v:stroke on="f"/>
                  <v:imagedata o:title=""/>
                  <o:lock v:ext="edit" aspectratio="f"/>
                  <v:textbox>
                    <w:txbxContent>
                      <w:p>
                        <w:pPr>
                          <w:jc w:val="center"/>
                          <w:rPr>
                            <w:sz w:val="18"/>
                          </w:rPr>
                        </w:pPr>
                        <w:r>
                          <w:rPr>
                            <w:rFonts w:hint="eastAsia"/>
                            <w:sz w:val="18"/>
                          </w:rPr>
                          <w:t>脱水</w:t>
                        </w:r>
                      </w:p>
                    </w:txbxContent>
                  </v:textbox>
                </v:rect>
                <v:shape id="AutoShape 86" o:spid="_x0000_s1026" o:spt="32" type="#_x0000_t32" style="position:absolute;left:2847975;top:995680;flip:y;height:159385;width:635;" filled="f" stroked="t" coordsize="21600,21600" o:gfxdata="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FgAAAGRycy9QSwECFAAUAAAACACH&#10;TuJAQj8/JtYAAAAFAQAADwAAAAAAAAABACAAAAA4AAAAZHJzL2Rvd25yZXYueG1sUEsBAhQAFAAA&#10;AAgAh07iQJOZLMIUAgAAGwQAAA4AAAAAAAAAAQAgAAAAOwEAAGRycy9lMm9Eb2MueG1sUEsFBgAA&#10;AAAGAAYAWQEAAMEFAAAAAA==&#10;">
                  <v:fill on="f" focussize="0,0"/>
                  <v:stroke color="#000000 [3229]" joinstyle="round" endarrow="block"/>
                  <v:imagedata o:title=""/>
                  <o:lock v:ext="edit" aspectratio="f"/>
                </v:shape>
                <v:rect id="Rectangle 87" o:spid="_x0000_s1026" o:spt="1" style="position:absolute;left:1637665;top:1536065;height:278130;width:496570;" fillcolor="#FFFFFF [3228]" filled="t" stroked="f" coordsize="21600,21600" o:gfxdata="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">
                  <v:fill on="t" focussize="0,0"/>
                  <v:stroke on="f"/>
                  <v:imagedata o:title=""/>
                  <o:lock v:ext="edit" aspectratio="f"/>
                  <v:textbox>
                    <w:txbxContent>
                      <w:p>
                        <w:pPr>
                          <w:jc w:val="center"/>
                          <w:rPr>
                            <w:sz w:val="18"/>
                          </w:rPr>
                        </w:pPr>
                        <w:r>
                          <w:rPr>
                            <w:rFonts w:hint="eastAsia"/>
                            <w:sz w:val="18"/>
                          </w:rPr>
                          <w:t>处理</w:t>
                        </w:r>
                      </w:p>
                    </w:txbxContent>
                  </v:textbox>
                </v:rect>
                <v:shape id="AutoShape 88" o:spid="_x0000_s1026" o:spt="33" type="#_x0000_t33" style="position:absolute;left:1073150;top:1111250;flip:x;height:901700;width:226695;rotation:5898240f;" filled="f" stroked="t" coordsize="21600,21600" o:gfxdata="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WAAAAZHJzL1BLAQIUABQAAAAIAIdO4kAV8inJ1QAAAAUBAAAPAAAAAAAAAAEAIAAAADgA&#10;AABkcnMvZG93bnJldi54bWxQSwECFAAUAAAACACHTuJAcGmgVvYBAADTAwAADgAAAAAAAAABACAA&#10;AAA6AQAAZHJzL2Uyb0RvYy54bWxQSwUGAAAAAAYABgBZAQAAogUAAAAA&#10;">
                  <v:fill on="f" focussize="0,0"/>
                  <v:stroke color="#000000" miterlimit="8" joinstyle="miter"/>
                  <v:imagedata o:title=""/>
                  <o:lock v:ext="edit" aspectratio="f"/>
                </v:shape>
                <v:shape id="AutoShape 89" o:spid="_x0000_s1026" o:spt="33" type="#_x0000_t33" style="position:absolute;left:2134235;top:1458595;flip:y;height:216535;width:713740;" filled="f" stroked="t" coordsize="21600,21600" o:gfxdata="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FgAA&#10;AGRycy9QSwECFAAUAAAACACHTuJAkYC9KNMAAAAFAQAADwAAAAAAAAABACAAAAA4AAAAZHJzL2Rv&#10;d25yZXYueG1sUEsBAhQAFAAAAAgAh07iQF/yZ//wAQAAxAMAAA4AAAAAAAAAAQAgAAAAOAEAAGRy&#10;cy9lMm9Eb2MueG1sUEsFBgAAAAAGAAYAWQEAAJoFAAAAAA==&#10;">
                  <v:fill on="f" focussize="0,0"/>
                  <v:stroke color="#000000" miterlimit="8" joinstyle="miter"/>
                  <v:imagedata o:title=""/>
                  <o:lock v:ext="edit" aspectratio="f"/>
                </v:shape>
                <v:rect id="Rectangle 90" o:spid="_x0000_s1026" o:spt="1" style="position:absolute;left:3645535;top:1569085;height:278130;width:883920;" fillcolor="#FFFFFF [3228]" filled="t" stroked="f" coordsize="21600,21600" o:gfxdata="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BYAAABk&#10;cnMvUEsBAhQAFAAAAAgAh07iQMomJbbTAAAABQEAAA8AAAAAAAAAAQAgAAAAOAAAAGRycy9kb3du&#10;cmV2LnhtbFBLAQIUABQAAAAIAIdO4kACrqBdJwIAADMEAAAOAAAAAAAAAAEAIAAAADgBAABkcnMv&#10;ZTJvRG9jLnhtbFBLBQYAAAAABgAGAFkBAADRBQAAAAA=&#10;">
                  <v:fill on="t" focussize="0,0"/>
                  <v:stroke on="f"/>
                  <v:imagedata o:title=""/>
                  <o:lock v:ext="edit" aspectratio="f"/>
                  <v:textbox>
                    <w:txbxContent>
                      <w:p>
                        <w:pPr>
                          <w:jc w:val="center"/>
                          <w:rPr>
                            <w:sz w:val="18"/>
                          </w:rPr>
                        </w:pPr>
                        <w:r>
                          <w:rPr>
                            <w:rFonts w:hint="eastAsia"/>
                            <w:sz w:val="18"/>
                          </w:rPr>
                          <w:t>调色香味</w:t>
                        </w:r>
                      </w:p>
                    </w:txbxContent>
                  </v:textbox>
                </v:rect>
                <v:shape id="AutoShape 91" o:spid="_x0000_s1026" o:spt="32" type="#_x0000_t32" style="position:absolute;left:4086860;top:1441450;flip:x y;height:127635;width:635;" filled="f" stroked="t" coordsize="21600,21600" o:gfxdata="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WAAAAZHJzL1BLAQIUABQAAAAIAIdO4kCTZQdL1QAAAAUBAAAP&#10;AAAAAAAAAAEAIAAAADgAAABkcnMvZG93bnJldi54bWxQSwECFAAUAAAACACHTuJAC8gAvAUCAAD0&#10;AwAADgAAAAAAAAABACAAAAA6AQAAZHJzL2Uyb0RvYy54bWxQSwUGAAAAAAYABgBZAQAAsQUAAAAA&#10;">
                  <v:fill on="f" focussize="0,0"/>
                  <v:stroke color="#000000" joinstyle="round" endarrow="block"/>
                  <v:imagedata o:title=""/>
                  <o:lock v:ext="edit" aspectratio="f"/>
                </v:shape>
                <v:rect id="Rectangle 92" o:spid="_x0000_s1026" o:spt="1" style="position:absolute;left:149860;top:1527810;height:278130;width:513080;" fillcolor="#FFFFFF [3228]" filled="t" stroked="f" coordsize="21600,21600" o:gfxdata="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WAAAAZHJzL1BL&#10;AQIUABQAAAAIAIdO4kDKJiW20wAAAAUBAAAPAAAAAAAAAAEAIAAAADgAAABkcnMvZG93bnJldi54&#10;bWxQSwECFAAUAAAACACHTuJA0j6IYyICAAAzBAAADgAAAAAAAAABACAAAAA4AQAAZHJzL2Uyb0Rv&#10;Yy54bWxQSwUGAAAAAAYABgBZAQAAzAUAAAAA&#10;">
                  <v:fill on="t" focussize="0,0"/>
                  <v:stroke on="f"/>
                  <v:imagedata o:title=""/>
                  <o:lock v:ext="edit" aspectratio="f"/>
                  <v:textbox>
                    <w:txbxContent>
                      <w:p>
                        <w:pPr>
                          <w:jc w:val="center"/>
                          <w:rPr>
                            <w:sz w:val="18"/>
                          </w:rPr>
                        </w:pPr>
                        <w:r>
                          <w:rPr>
                            <w:rFonts w:hint="eastAsia"/>
                            <w:sz w:val="18"/>
                          </w:rPr>
                          <w:t>计量</w:t>
                        </w:r>
                      </w:p>
                    </w:txbxContent>
                  </v:textbox>
                </v:rect>
                <v:shape id="AutoShape 93" o:spid="_x0000_s1026" o:spt="32" type="#_x0000_t32" style="position:absolute;left:406400;top:1805940;flip:x y;height:163195;width:2540;" filled="f" stroked="t" coordsize="21600,21600" o:gfxdata="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FgAAAGRycy9QSwECFAAUAAAACACHTuJAk2UHS9UAAAAFAQAA&#10;DwAAAAAAAAABACAAAAA4AAAAZHJzL2Rvd25yZXYueG1sUEsBAhQAFAAAAAgAh07iQCHfmqAGAgAA&#10;9QMAAA4AAAAAAAAAAQAgAAAAOgEAAGRycy9lMm9Eb2MueG1sUEsFBgAAAAAGAAYAWQEAALIFAAAA&#10;AA==&#10;">
                  <v:fill on="f" focussize="0,0"/>
                  <v:stroke color="#000000" joinstyle="round" endarrow="block"/>
                  <v:imagedata o:title=""/>
                  <o:lock v:ext="edit" aspectratio="f"/>
                </v:shape>
                <w10:wrap type="none"/>
                <w10:anchorlock/>
              </v:group>
            </w:pict>
          </mc:Fallback>
        </mc:AlternateContent>
      </w:r>
    </w:p>
    <w:p>
      <w:pPr>
        <w:jc w:val="center"/>
        <w:rPr>
          <w:rFonts w:ascii="Times New Roman" w:hAnsi="Times New Roman" w:eastAsia="宋体" w:cs="Times New Roman"/>
          <w:b/>
        </w:rPr>
      </w:pPr>
      <w:r>
        <w:rPr>
          <w:rFonts w:ascii="Times New Roman" w:hAnsi="Times New Roman" w:eastAsia="宋体" w:cs="Times New Roman"/>
          <w:b/>
        </w:rPr>
        <w:t>图</w:t>
      </w:r>
      <w:r>
        <w:rPr>
          <w:rFonts w:hint="eastAsia" w:ascii="Times New Roman" w:hAnsi="Times New Roman" w:eastAsia="宋体" w:cs="Times New Roman"/>
          <w:b/>
        </w:rPr>
        <w:t>4-1 盐渍</w:t>
      </w:r>
      <w:r>
        <w:rPr>
          <w:rFonts w:ascii="Times New Roman" w:hAnsi="Times New Roman" w:eastAsia="宋体" w:cs="Times New Roman"/>
          <w:b/>
        </w:rPr>
        <w:t>泡菜企业生产工艺流程图</w:t>
      </w:r>
    </w:p>
    <w:p>
      <w:pPr>
        <w:spacing w:line="440" w:lineRule="exact"/>
        <w:ind w:firstLine="420" w:firstLineChars="200"/>
        <w:jc w:val="left"/>
        <w:rPr>
          <w:rFonts w:ascii="Times New Roman" w:hAnsi="Times New Roman" w:eastAsia="宋体" w:cs="Times New Roman"/>
          <w:szCs w:val="22"/>
        </w:rPr>
      </w:pPr>
      <w:r>
        <w:rPr>
          <w:rFonts w:ascii="Times New Roman" w:hAnsi="Times New Roman" w:eastAsia="宋体" w:cs="Times New Roman"/>
          <w:szCs w:val="22"/>
        </w:rPr>
        <w:fldChar w:fldCharType="begin"/>
      </w:r>
      <w:r>
        <w:rPr>
          <w:rFonts w:ascii="Times New Roman" w:hAnsi="Times New Roman" w:eastAsia="宋体" w:cs="Times New Roman"/>
          <w:szCs w:val="22"/>
        </w:rPr>
        <w:instrText xml:space="preserve">= 1 \* GB3</w:instrText>
      </w:r>
      <w:r>
        <w:rPr>
          <w:rFonts w:ascii="Times New Roman" w:hAnsi="Times New Roman" w:eastAsia="宋体" w:cs="Times New Roman"/>
          <w:szCs w:val="22"/>
        </w:rPr>
        <w:fldChar w:fldCharType="separate"/>
      </w:r>
      <w:r>
        <w:rPr>
          <w:rFonts w:hint="eastAsia" w:ascii="Times New Roman" w:hAnsi="Times New Roman" w:eastAsia="宋体" w:cs="Times New Roman"/>
          <w:szCs w:val="22"/>
        </w:rPr>
        <w:t>①</w:t>
      </w:r>
      <w:r>
        <w:rPr>
          <w:rFonts w:ascii="Times New Roman" w:hAnsi="Times New Roman" w:eastAsia="宋体" w:cs="Times New Roman"/>
          <w:szCs w:val="22"/>
        </w:rPr>
        <w:fldChar w:fldCharType="end"/>
      </w:r>
      <w:r>
        <w:rPr>
          <w:rFonts w:hint="eastAsia" w:ascii="Times New Roman" w:hAnsi="Times New Roman" w:eastAsia="宋体" w:cs="Times New Roman"/>
          <w:szCs w:val="22"/>
        </w:rPr>
        <w:t>盐渍工段</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盐渍工段又可根据生产工艺的不同分为一次性盐渍和多次盐渍，一次性盐渍则是直接向新鲜蔬菜中以一层盐一层菜的方式加入10%</w:t>
      </w:r>
      <w:r>
        <w:rPr>
          <w:rFonts w:ascii="Times New Roman" w:hAnsi="Times New Roman" w:eastAsia="宋体" w:cs="Times New Roman"/>
          <w:szCs w:val="22"/>
        </w:rPr>
        <w:t>~20%</w:t>
      </w:r>
      <w:r>
        <w:rPr>
          <w:rFonts w:hint="eastAsia" w:ascii="Times New Roman" w:hAnsi="Times New Roman" w:eastAsia="宋体" w:cs="Times New Roman"/>
          <w:szCs w:val="22"/>
        </w:rPr>
        <w:t>的食盐经过1</w:t>
      </w:r>
      <w:r>
        <w:rPr>
          <w:rFonts w:ascii="Times New Roman" w:hAnsi="Times New Roman" w:eastAsia="宋体" w:cs="Times New Roman"/>
          <w:szCs w:val="22"/>
        </w:rPr>
        <w:t>~</w:t>
      </w:r>
      <w:r>
        <w:rPr>
          <w:rFonts w:hint="eastAsia" w:ascii="Times New Roman" w:hAnsi="Times New Roman" w:eastAsia="宋体" w:cs="Times New Roman"/>
          <w:szCs w:val="22"/>
        </w:rPr>
        <w:t>6个月的发酵，脱出50%左右盐度为10%</w:t>
      </w:r>
      <w:r>
        <w:rPr>
          <w:rFonts w:ascii="Times New Roman" w:hAnsi="Times New Roman" w:eastAsia="宋体" w:cs="Times New Roman"/>
          <w:szCs w:val="22"/>
        </w:rPr>
        <w:t>~20%</w:t>
      </w:r>
      <w:r>
        <w:rPr>
          <w:rFonts w:hint="eastAsia" w:ascii="Times New Roman" w:hAnsi="Times New Roman" w:eastAsia="宋体" w:cs="Times New Roman"/>
          <w:szCs w:val="22"/>
        </w:rPr>
        <w:t>的盐渍废水。多次盐渍是先</w:t>
      </w:r>
      <w:r>
        <w:rPr>
          <w:rFonts w:ascii="Times New Roman" w:hAnsi="Times New Roman" w:eastAsia="宋体" w:cs="Times New Roman"/>
          <w:szCs w:val="22"/>
        </w:rPr>
        <w:t>向新鲜蔬菜加入4%~6%的盐，经过一个半月的盐渍形成半成品，并脱出20%</w:t>
      </w:r>
      <w:r>
        <w:rPr>
          <w:rFonts w:hint="eastAsia" w:ascii="Times New Roman" w:hAnsi="Times New Roman" w:eastAsia="宋体" w:cs="Times New Roman"/>
          <w:szCs w:val="22"/>
        </w:rPr>
        <w:t>左右盐度为4%~ 6%的盐渍废水</w:t>
      </w:r>
      <w:r>
        <w:rPr>
          <w:rFonts w:ascii="Times New Roman" w:hAnsi="Times New Roman" w:eastAsia="宋体" w:cs="Times New Roman"/>
          <w:szCs w:val="22"/>
        </w:rPr>
        <w:t>，第二次盐渍，向半成品中加入10~13%的盐，经过半年左右的盐渍形成泡菜成品，并脱出30%</w:t>
      </w:r>
      <w:r>
        <w:rPr>
          <w:rFonts w:hint="eastAsia" w:ascii="Times New Roman" w:hAnsi="Times New Roman" w:eastAsia="宋体" w:cs="Times New Roman"/>
          <w:szCs w:val="22"/>
        </w:rPr>
        <w:t>左右盐度为1</w:t>
      </w:r>
      <w:r>
        <w:rPr>
          <w:rFonts w:ascii="Times New Roman" w:hAnsi="Times New Roman" w:eastAsia="宋体" w:cs="Times New Roman"/>
          <w:szCs w:val="22"/>
        </w:rPr>
        <w:t>0~</w:t>
      </w:r>
      <w:r>
        <w:rPr>
          <w:rFonts w:hint="eastAsia" w:ascii="Times New Roman" w:hAnsi="Times New Roman" w:eastAsia="宋体" w:cs="Times New Roman"/>
          <w:szCs w:val="22"/>
        </w:rPr>
        <w:t>1</w:t>
      </w:r>
      <w:r>
        <w:rPr>
          <w:rFonts w:ascii="Times New Roman" w:hAnsi="Times New Roman" w:eastAsia="宋体" w:cs="Times New Roman"/>
          <w:szCs w:val="22"/>
        </w:rPr>
        <w:t>3</w:t>
      </w:r>
      <w:r>
        <w:rPr>
          <w:rFonts w:hint="eastAsia" w:ascii="Times New Roman" w:hAnsi="Times New Roman" w:eastAsia="宋体" w:cs="Times New Roman"/>
          <w:szCs w:val="22"/>
        </w:rPr>
        <w:t>%的盐渍废水</w:t>
      </w:r>
      <w:r>
        <w:rPr>
          <w:rFonts w:ascii="Times New Roman" w:hAnsi="Times New Roman" w:eastAsia="宋体" w:cs="Times New Roman"/>
          <w:szCs w:val="22"/>
        </w:rPr>
        <w:t>。</w:t>
      </w:r>
      <w:r>
        <w:rPr>
          <w:rFonts w:hint="eastAsia" w:ascii="Times New Roman" w:hAnsi="Times New Roman" w:eastAsia="宋体" w:cs="Times New Roman"/>
          <w:szCs w:val="22"/>
        </w:rPr>
        <w:t>部分生产企业会将第二次盐渍的水回用于第一次盐渍。</w:t>
      </w:r>
    </w:p>
    <w:p>
      <w:pPr>
        <w:spacing w:line="440" w:lineRule="exact"/>
        <w:ind w:firstLine="420" w:firstLineChars="200"/>
        <w:jc w:val="left"/>
        <w:rPr>
          <w:rFonts w:ascii="Times New Roman" w:hAnsi="Times New Roman" w:eastAsia="宋体" w:cs="Times New Roman"/>
          <w:szCs w:val="22"/>
        </w:rPr>
      </w:pPr>
      <w:r>
        <w:rPr>
          <w:rFonts w:ascii="Times New Roman" w:hAnsi="Times New Roman" w:eastAsia="宋体" w:cs="Times New Roman"/>
          <w:szCs w:val="22"/>
        </w:rPr>
        <w:fldChar w:fldCharType="begin"/>
      </w:r>
      <w:r>
        <w:rPr>
          <w:rFonts w:hint="eastAsia" w:ascii="Times New Roman" w:hAnsi="Times New Roman" w:eastAsia="宋体" w:cs="Times New Roman"/>
          <w:szCs w:val="22"/>
        </w:rPr>
        <w:instrText xml:space="preserve">= 2 \* GB3</w:instrText>
      </w:r>
      <w:r>
        <w:rPr>
          <w:rFonts w:ascii="Times New Roman" w:hAnsi="Times New Roman" w:eastAsia="宋体" w:cs="Times New Roman"/>
          <w:szCs w:val="22"/>
        </w:rPr>
        <w:fldChar w:fldCharType="separate"/>
      </w:r>
      <w:r>
        <w:rPr>
          <w:rFonts w:hint="eastAsia" w:ascii="Times New Roman" w:hAnsi="Times New Roman" w:eastAsia="宋体" w:cs="Times New Roman"/>
          <w:szCs w:val="22"/>
        </w:rPr>
        <w:t>②</w:t>
      </w:r>
      <w:r>
        <w:rPr>
          <w:rFonts w:ascii="Times New Roman" w:hAnsi="Times New Roman" w:eastAsia="宋体" w:cs="Times New Roman"/>
          <w:szCs w:val="22"/>
        </w:rPr>
        <w:fldChar w:fldCharType="end"/>
      </w:r>
      <w:r>
        <w:rPr>
          <w:rFonts w:hint="eastAsia" w:ascii="Times New Roman" w:hAnsi="Times New Roman" w:eastAsia="宋体" w:cs="Times New Roman"/>
          <w:szCs w:val="22"/>
        </w:rPr>
        <w:t>清洗脱盐工段</w:t>
      </w:r>
    </w:p>
    <w:p>
      <w:pPr>
        <w:spacing w:line="440" w:lineRule="exact"/>
        <w:ind w:firstLine="420" w:firstLineChars="200"/>
        <w:jc w:val="left"/>
        <w:rPr>
          <w:rFonts w:ascii="Times New Roman" w:hAnsi="Times New Roman" w:eastAsia="宋体" w:cs="Times New Roman"/>
          <w:szCs w:val="22"/>
        </w:rPr>
      </w:pPr>
      <w:r>
        <w:rPr>
          <w:rFonts w:ascii="Times New Roman" w:hAnsi="Times New Roman" w:eastAsia="宋体" w:cs="Times New Roman"/>
          <w:szCs w:val="22"/>
        </w:rPr>
        <w:t>经过盐渍的蔬菜，其盐度过高不适宜直接食用，所以需进一步清洗脱盐，现代化泡菜生产一般采用机械进行清洗脱盐，根据蔬菜的品种和含盐量的多少决定清洗脱盐水的用量和时间，清洗时菜和水的比例一般为1：（3~15），即水的用量是菜的3~15倍。然后再根据脱盐的程度决定换水的次数和清洗脱盐时间。一般情况下泡菜产品最终盐度为</w:t>
      </w:r>
      <w:r>
        <w:rPr>
          <w:rFonts w:hint="eastAsia" w:ascii="Times New Roman" w:hAnsi="Times New Roman" w:eastAsia="宋体" w:cs="Times New Roman"/>
          <w:szCs w:val="22"/>
        </w:rPr>
        <w:t>2%</w:t>
      </w:r>
      <w:r>
        <w:rPr>
          <w:rFonts w:ascii="Times New Roman" w:hAnsi="Times New Roman" w:eastAsia="宋体" w:cs="Times New Roman"/>
          <w:szCs w:val="22"/>
        </w:rPr>
        <w:t>，清洗废水盐度通常在1%左右，脱盐废水盐度为2%~3%。</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（2）盐水渍泡菜生产工艺：</w:t>
      </w:r>
      <w:r>
        <w:rPr>
          <w:rFonts w:ascii="Times New Roman" w:hAnsi="Times New Roman" w:eastAsia="宋体" w:cs="Times New Roman"/>
          <w:szCs w:val="22"/>
        </w:rPr>
        <w:t>是将质检合格的蔬菜进行</w:t>
      </w:r>
      <w:r>
        <w:rPr>
          <w:rFonts w:hint="eastAsia" w:ascii="Times New Roman" w:hAnsi="Times New Roman" w:eastAsia="宋体" w:cs="Times New Roman"/>
          <w:szCs w:val="22"/>
        </w:rPr>
        <w:t>清洗、切分</w:t>
      </w:r>
      <w:r>
        <w:rPr>
          <w:rFonts w:ascii="Times New Roman" w:hAnsi="Times New Roman" w:eastAsia="宋体" w:cs="Times New Roman"/>
          <w:szCs w:val="22"/>
        </w:rPr>
        <w:t>，然后</w:t>
      </w:r>
      <w:r>
        <w:rPr>
          <w:rFonts w:hint="eastAsia" w:ascii="Times New Roman" w:hAnsi="Times New Roman" w:eastAsia="宋体" w:cs="Times New Roman"/>
          <w:szCs w:val="22"/>
        </w:rPr>
        <w:t>入坛、泡渍发酵，经检测、出坛</w:t>
      </w:r>
      <w:r>
        <w:rPr>
          <w:rFonts w:ascii="Times New Roman" w:hAnsi="Times New Roman" w:eastAsia="宋体" w:cs="Times New Roman"/>
          <w:szCs w:val="22"/>
        </w:rPr>
        <w:t>制得</w:t>
      </w:r>
      <w:r>
        <w:rPr>
          <w:rFonts w:hint="eastAsia" w:ascii="Times New Roman" w:hAnsi="Times New Roman" w:eastAsia="宋体" w:cs="Times New Roman"/>
          <w:szCs w:val="22"/>
        </w:rPr>
        <w:t>盐水渍</w:t>
      </w:r>
      <w:r>
        <w:rPr>
          <w:rFonts w:ascii="Times New Roman" w:hAnsi="Times New Roman" w:eastAsia="宋体" w:cs="Times New Roman"/>
          <w:szCs w:val="22"/>
        </w:rPr>
        <w:t>泡菜产品</w:t>
      </w:r>
      <w:r>
        <w:rPr>
          <w:rFonts w:hint="eastAsia" w:ascii="Times New Roman" w:hAnsi="Times New Roman" w:eastAsia="宋体" w:cs="Times New Roman"/>
          <w:szCs w:val="22"/>
        </w:rPr>
        <w:t>，工艺过程中不涉及老盐水的排放。</w:t>
      </w:r>
      <w:r>
        <w:rPr>
          <w:rFonts w:ascii="Times New Roman" w:hAnsi="Times New Roman" w:eastAsia="宋体" w:cs="Times New Roman"/>
          <w:szCs w:val="22"/>
        </w:rPr>
        <w:t>其工艺流程</w:t>
      </w:r>
      <w:r>
        <w:rPr>
          <w:rFonts w:hint="eastAsia" w:ascii="Times New Roman" w:hAnsi="Times New Roman" w:eastAsia="宋体" w:cs="Times New Roman"/>
          <w:szCs w:val="22"/>
        </w:rPr>
        <w:t>如</w:t>
      </w:r>
      <w:r>
        <w:rPr>
          <w:rFonts w:ascii="Times New Roman" w:hAnsi="Times New Roman" w:eastAsia="宋体" w:cs="Times New Roman"/>
          <w:szCs w:val="22"/>
        </w:rPr>
        <w:t>图</w:t>
      </w:r>
      <w:r>
        <w:rPr>
          <w:rFonts w:hint="eastAsia" w:ascii="Times New Roman" w:hAnsi="Times New Roman" w:eastAsia="宋体" w:cs="Times New Roman"/>
          <w:szCs w:val="22"/>
        </w:rPr>
        <w:t>4-2</w:t>
      </w:r>
      <w:r>
        <w:rPr>
          <w:rFonts w:ascii="Times New Roman" w:hAnsi="Times New Roman" w:eastAsia="宋体" w:cs="Times New Roman"/>
          <w:szCs w:val="22"/>
        </w:rPr>
        <w:t>所示。</w:t>
      </w:r>
    </w:p>
    <w:p>
      <w:pPr>
        <w:jc w:val="center"/>
        <w:rPr>
          <w:rFonts w:ascii="Times New Roman" w:hAnsi="Times New Roman" w:eastAsia="宋体" w:cs="Times New Roman"/>
          <w:b/>
        </w:rPr>
      </w:pPr>
      <w:r>
        <w:rPr>
          <w:rFonts w:ascii="Times New Roman" w:hAnsi="Times New Roman" w:eastAsia="宋体" w:cs="Times New Roman"/>
          <w:sz w:val="18"/>
          <w:szCs w:val="22"/>
        </w:rPr>
        <mc:AlternateContent>
          <mc:Choice Requires="wpc">
            <w:drawing>
              <wp:inline distT="0" distB="0" distL="0" distR="0">
                <wp:extent cx="5278120" cy="1799590"/>
                <wp:effectExtent l="22860" t="19050" r="13970" b="10160"/>
                <wp:docPr id="60" name="画布 30"/>
                <wp:cNvGraphicFramePr>
                  <a:graphicFrameLocks xmlns:a="http://schemas.openxmlformats.org/drawingml/2006/main" noChangeAspect="true"/>
                </wp:cNvGraphicFramePr>
                <a:graphic xmlns:a="http://schemas.openxmlformats.org/drawingml/2006/main">
                  <a:graphicData uri="http://schemas.microsoft.com/office/word/2010/wordprocessingCanvas">
                    <wpc:wpc>
                      <wpc:bg>
                        <a:noFill/>
                      </wpc:bg>
                      <wpc:whole>
                        <a:ln w="9525" cap="flat" cmpd="sng" algn="ctr">
                          <a:solidFill>
                            <a:schemeClr val="tx1">
                              <a:lumMod val="100000"/>
                              <a:lumOff val="0"/>
                            </a:schemeClr>
                          </a:solidFill>
                          <a:prstDash val="solid"/>
                          <a:miter lim="800000"/>
                          <a:headEnd type="none" w="med" len="med"/>
                          <a:tailEnd type="none" w="med" len="med"/>
                        </a:ln>
                      </wpc:whole>
                      <wps:wsp>
                        <wps:cNvPr id="42" name="Rectangle 32"/>
                        <wps:cNvSpPr>
                          <a:spLocks noChangeArrowheads="true"/>
                        </wps:cNvSpPr>
                        <wps:spPr bwMode="auto">
                          <a:xfrm>
                            <a:off x="7620" y="547370"/>
                            <a:ext cx="739140" cy="278130"/>
                          </a:xfrm>
                          <a:prstGeom prst="rect">
                            <a:avLst/>
                          </a:prstGeom>
                          <a:solidFill>
                            <a:schemeClr val="bg1">
                              <a:lumMod val="100000"/>
                              <a:lumOff val="0"/>
                            </a:schemeClr>
                          </a:solidFill>
                          <a:ln>
                            <a:noFill/>
                          </a:ln>
                        </wps:spPr>
                        <wps:txbx>
                          <w:txbxContent>
                            <w:p>
                              <w:pPr>
                                <w:jc w:val="center"/>
                                <w:rPr>
                                  <w:sz w:val="18"/>
                                </w:rPr>
                              </w:pPr>
                              <w:r>
                                <w:rPr>
                                  <w:rFonts w:hint="eastAsia"/>
                                  <w:sz w:val="18"/>
                                </w:rPr>
                                <w:t>生鲜蔬菜</w:t>
                              </w:r>
                            </w:p>
                          </w:txbxContent>
                        </wps:txbx>
                        <wps:bodyPr rot="0" vert="horz" wrap="square" lIns="91440" tIns="45720" rIns="91440" bIns="45720" anchor="t" anchorCtr="false" upright="true">
                          <a:noAutofit/>
                        </wps:bodyPr>
                      </wps:wsp>
                      <wps:wsp>
                        <wps:cNvPr id="43" name="Rectangle 33"/>
                        <wps:cNvSpPr>
                          <a:spLocks noChangeArrowheads="true"/>
                        </wps:cNvSpPr>
                        <wps:spPr bwMode="auto">
                          <a:xfrm>
                            <a:off x="1001395" y="539115"/>
                            <a:ext cx="915035" cy="302260"/>
                          </a:xfrm>
                          <a:prstGeom prst="rect">
                            <a:avLst/>
                          </a:prstGeom>
                          <a:solidFill>
                            <a:srgbClr val="FFFFFF"/>
                          </a:solidFill>
                          <a:ln w="9525">
                            <a:solidFill>
                              <a:srgbClr val="000000"/>
                            </a:solidFill>
                            <a:miter lim="800000"/>
                          </a:ln>
                        </wps:spPr>
                        <wps:txbx>
                          <w:txbxContent>
                            <w:p>
                              <w:pPr>
                                <w:jc w:val="center"/>
                                <w:rPr>
                                  <w:sz w:val="18"/>
                                </w:rPr>
                              </w:pPr>
                              <w:r>
                                <w:rPr>
                                  <w:rFonts w:hint="eastAsia"/>
                                  <w:sz w:val="18"/>
                                </w:rPr>
                                <w:t>挑选、整理</w:t>
                              </w:r>
                            </w:p>
                          </w:txbxContent>
                        </wps:txbx>
                        <wps:bodyPr rot="0" vert="horz" wrap="square" lIns="91440" tIns="45720" rIns="91440" bIns="45720" anchor="t" anchorCtr="false" upright="true">
                          <a:noAutofit/>
                        </wps:bodyPr>
                      </wps:wsp>
                      <wps:wsp>
                        <wps:cNvPr id="44" name="Rectangle 34"/>
                        <wps:cNvSpPr>
                          <a:spLocks noChangeArrowheads="true"/>
                        </wps:cNvSpPr>
                        <wps:spPr bwMode="auto">
                          <a:xfrm>
                            <a:off x="2171065" y="539115"/>
                            <a:ext cx="915670" cy="303530"/>
                          </a:xfrm>
                          <a:prstGeom prst="rect">
                            <a:avLst/>
                          </a:prstGeom>
                          <a:solidFill>
                            <a:srgbClr val="FFFFFF"/>
                          </a:solidFill>
                          <a:ln w="9525">
                            <a:solidFill>
                              <a:srgbClr val="000000"/>
                            </a:solidFill>
                            <a:miter lim="800000"/>
                          </a:ln>
                        </wps:spPr>
                        <wps:txbx>
                          <w:txbxContent>
                            <w:p>
                              <w:pPr>
                                <w:jc w:val="center"/>
                                <w:rPr>
                                  <w:sz w:val="18"/>
                                </w:rPr>
                              </w:pPr>
                              <w:r>
                                <w:rPr>
                                  <w:rFonts w:hint="eastAsia"/>
                                  <w:sz w:val="18"/>
                                </w:rPr>
                                <w:t>清洗、切分</w:t>
                              </w:r>
                            </w:p>
                          </w:txbxContent>
                        </wps:txbx>
                        <wps:bodyPr rot="0" vert="horz" wrap="square" lIns="91440" tIns="45720" rIns="91440" bIns="45720" anchor="t" anchorCtr="false" upright="true">
                          <a:noAutofit/>
                        </wps:bodyPr>
                      </wps:wsp>
                      <wps:wsp>
                        <wps:cNvPr id="45" name="Rectangle 35"/>
                        <wps:cNvSpPr>
                          <a:spLocks noChangeArrowheads="true"/>
                        </wps:cNvSpPr>
                        <wps:spPr bwMode="auto">
                          <a:xfrm>
                            <a:off x="3379470" y="521970"/>
                            <a:ext cx="577850" cy="303530"/>
                          </a:xfrm>
                          <a:prstGeom prst="rect">
                            <a:avLst/>
                          </a:prstGeom>
                          <a:solidFill>
                            <a:srgbClr val="FFFFFF"/>
                          </a:solidFill>
                          <a:ln w="9525">
                            <a:solidFill>
                              <a:srgbClr val="000000"/>
                            </a:solidFill>
                            <a:miter lim="800000"/>
                          </a:ln>
                        </wps:spPr>
                        <wps:txbx>
                          <w:txbxContent>
                            <w:p>
                              <w:pPr>
                                <w:jc w:val="center"/>
                                <w:rPr>
                                  <w:sz w:val="18"/>
                                </w:rPr>
                              </w:pPr>
                              <w:r>
                                <w:rPr>
                                  <w:rFonts w:hint="eastAsia"/>
                                  <w:sz w:val="18"/>
                                </w:rPr>
                                <w:t>入坛</w:t>
                              </w:r>
                            </w:p>
                          </w:txbxContent>
                        </wps:txbx>
                        <wps:bodyPr rot="0" vert="horz" wrap="square" lIns="91440" tIns="45720" rIns="91440" bIns="45720" anchor="t" anchorCtr="false" upright="true">
                          <a:noAutofit/>
                        </wps:bodyPr>
                      </wps:wsp>
                      <wps:wsp>
                        <wps:cNvPr id="46" name="Rectangle 36"/>
                        <wps:cNvSpPr>
                          <a:spLocks noChangeArrowheads="true"/>
                        </wps:cNvSpPr>
                        <wps:spPr bwMode="auto">
                          <a:xfrm>
                            <a:off x="4201795" y="530860"/>
                            <a:ext cx="915035" cy="302260"/>
                          </a:xfrm>
                          <a:prstGeom prst="rect">
                            <a:avLst/>
                          </a:prstGeom>
                          <a:solidFill>
                            <a:srgbClr val="FFFFFF"/>
                          </a:solidFill>
                          <a:ln w="9525">
                            <a:solidFill>
                              <a:srgbClr val="000000"/>
                            </a:solidFill>
                            <a:miter lim="800000"/>
                          </a:ln>
                        </wps:spPr>
                        <wps:txbx>
                          <w:txbxContent>
                            <w:p>
                              <w:pPr>
                                <w:jc w:val="center"/>
                                <w:rPr>
                                  <w:sz w:val="18"/>
                                </w:rPr>
                              </w:pPr>
                              <w:r>
                                <w:rPr>
                                  <w:rFonts w:hint="eastAsia"/>
                                  <w:sz w:val="18"/>
                                </w:rPr>
                                <w:t>泡渍发酵</w:t>
                              </w:r>
                            </w:p>
                          </w:txbxContent>
                        </wps:txbx>
                        <wps:bodyPr rot="0" vert="horz" wrap="square" lIns="91440" tIns="45720" rIns="91440" bIns="45720" anchor="t" anchorCtr="false" upright="true">
                          <a:noAutofit/>
                        </wps:bodyPr>
                      </wps:wsp>
                      <wps:wsp>
                        <wps:cNvPr id="47" name="Rectangle 37"/>
                        <wps:cNvSpPr>
                          <a:spLocks noChangeArrowheads="true"/>
                        </wps:cNvSpPr>
                        <wps:spPr bwMode="auto">
                          <a:xfrm>
                            <a:off x="1356995" y="1350010"/>
                            <a:ext cx="556895" cy="303530"/>
                          </a:xfrm>
                          <a:prstGeom prst="rect">
                            <a:avLst/>
                          </a:prstGeom>
                          <a:solidFill>
                            <a:srgbClr val="FFFFFF"/>
                          </a:solidFill>
                          <a:ln w="9525">
                            <a:solidFill>
                              <a:srgbClr val="000000"/>
                            </a:solidFill>
                            <a:miter lim="800000"/>
                          </a:ln>
                        </wps:spPr>
                        <wps:txbx>
                          <w:txbxContent>
                            <w:p>
                              <w:pPr>
                                <w:jc w:val="center"/>
                                <w:rPr>
                                  <w:sz w:val="18"/>
                                </w:rPr>
                              </w:pPr>
                              <w:r>
                                <w:rPr>
                                  <w:rFonts w:hint="eastAsia"/>
                                  <w:sz w:val="18"/>
                                </w:rPr>
                                <w:t>检测</w:t>
                              </w:r>
                            </w:p>
                          </w:txbxContent>
                        </wps:txbx>
                        <wps:bodyPr rot="0" vert="horz" wrap="square" lIns="91440" tIns="45720" rIns="91440" bIns="45720" anchor="t" anchorCtr="false" upright="true">
                          <a:noAutofit/>
                        </wps:bodyPr>
                      </wps:wsp>
                      <wps:wsp>
                        <wps:cNvPr id="48" name="Rectangle 38"/>
                        <wps:cNvSpPr>
                          <a:spLocks noChangeArrowheads="true"/>
                        </wps:cNvSpPr>
                        <wps:spPr bwMode="auto">
                          <a:xfrm>
                            <a:off x="2319655" y="1348740"/>
                            <a:ext cx="539115" cy="303530"/>
                          </a:xfrm>
                          <a:prstGeom prst="rect">
                            <a:avLst/>
                          </a:prstGeom>
                          <a:solidFill>
                            <a:srgbClr val="FFFFFF"/>
                          </a:solidFill>
                          <a:ln w="9525">
                            <a:solidFill>
                              <a:srgbClr val="000000"/>
                            </a:solidFill>
                            <a:miter lim="800000"/>
                          </a:ln>
                        </wps:spPr>
                        <wps:txbx>
                          <w:txbxContent>
                            <w:p>
                              <w:pPr>
                                <w:jc w:val="center"/>
                                <w:rPr>
                                  <w:sz w:val="18"/>
                                </w:rPr>
                              </w:pPr>
                              <w:r>
                                <w:rPr>
                                  <w:rFonts w:hint="eastAsia"/>
                                  <w:sz w:val="18"/>
                                </w:rPr>
                                <w:t>出坛</w:t>
                              </w:r>
                            </w:p>
                          </w:txbxContent>
                        </wps:txbx>
                        <wps:bodyPr rot="0" vert="horz" wrap="square" lIns="91440" tIns="45720" rIns="91440" bIns="45720" anchor="t" anchorCtr="false" upright="true">
                          <a:noAutofit/>
                        </wps:bodyPr>
                      </wps:wsp>
                      <wps:wsp>
                        <wps:cNvPr id="49" name="AutoShape 39"/>
                        <wps:cNvCnPr>
                          <a:cxnSpLocks noChangeShapeType="true"/>
                          <a:stCxn id="42" idx="3"/>
                          <a:endCxn id="43" idx="1"/>
                        </wps:cNvCnPr>
                        <wps:spPr bwMode="auto">
                          <a:xfrm>
                            <a:off x="746760" y="686435"/>
                            <a:ext cx="254635" cy="3810"/>
                          </a:xfrm>
                          <a:prstGeom prst="straightConnector1">
                            <a:avLst/>
                          </a:prstGeom>
                          <a:noFill/>
                          <a:ln w="9525">
                            <a:solidFill>
                              <a:srgbClr val="000000"/>
                            </a:solidFill>
                            <a:round/>
                            <a:tailEnd type="triangle" w="med" len="med"/>
                          </a:ln>
                        </wps:spPr>
                        <wps:bodyPr/>
                      </wps:wsp>
                      <wps:wsp>
                        <wps:cNvPr id="50" name="AutoShape 40"/>
                        <wps:cNvCnPr>
                          <a:cxnSpLocks noChangeShapeType="true"/>
                          <a:stCxn id="43" idx="3"/>
                          <a:endCxn id="44" idx="1"/>
                        </wps:cNvCnPr>
                        <wps:spPr bwMode="auto">
                          <a:xfrm>
                            <a:off x="1916430" y="690245"/>
                            <a:ext cx="254635" cy="635"/>
                          </a:xfrm>
                          <a:prstGeom prst="straightConnector1">
                            <a:avLst/>
                          </a:prstGeom>
                          <a:noFill/>
                          <a:ln w="9525">
                            <a:solidFill>
                              <a:srgbClr val="000000"/>
                            </a:solidFill>
                            <a:round/>
                            <a:tailEnd type="triangle" w="med" len="med"/>
                          </a:ln>
                        </wps:spPr>
                        <wps:bodyPr/>
                      </wps:wsp>
                      <wps:wsp>
                        <wps:cNvPr id="51" name="AutoShape 41"/>
                        <wps:cNvCnPr>
                          <a:cxnSpLocks noChangeShapeType="true"/>
                          <a:stCxn id="44" idx="3"/>
                        </wps:cNvCnPr>
                        <wps:spPr bwMode="auto">
                          <a:xfrm>
                            <a:off x="3086735" y="690880"/>
                            <a:ext cx="270510" cy="635"/>
                          </a:xfrm>
                          <a:prstGeom prst="straightConnector1">
                            <a:avLst/>
                          </a:prstGeom>
                          <a:noFill/>
                          <a:ln w="9525">
                            <a:solidFill>
                              <a:srgbClr val="000000"/>
                            </a:solidFill>
                            <a:round/>
                            <a:tailEnd type="triangle" w="med" len="med"/>
                          </a:ln>
                        </wps:spPr>
                        <wps:bodyPr/>
                      </wps:wsp>
                      <wps:wsp>
                        <wps:cNvPr id="52" name="AutoShape 42"/>
                        <wps:cNvCnPr>
                          <a:cxnSpLocks noChangeShapeType="true"/>
                          <a:endCxn id="47" idx="1"/>
                        </wps:cNvCnPr>
                        <wps:spPr bwMode="auto">
                          <a:xfrm>
                            <a:off x="759460" y="1501140"/>
                            <a:ext cx="597535" cy="635"/>
                          </a:xfrm>
                          <a:prstGeom prst="straightConnector1">
                            <a:avLst/>
                          </a:prstGeom>
                          <a:noFill/>
                          <a:ln w="9525">
                            <a:solidFill>
                              <a:srgbClr val="000000"/>
                            </a:solidFill>
                            <a:round/>
                            <a:tailEnd type="triangle" w="med" len="med"/>
                          </a:ln>
                        </wps:spPr>
                        <wps:bodyPr/>
                      </wps:wsp>
                      <wps:wsp>
                        <wps:cNvPr id="53" name="AutoShape 43"/>
                        <wps:cNvCnPr>
                          <a:cxnSpLocks noChangeShapeType="true"/>
                          <a:stCxn id="47" idx="3"/>
                          <a:endCxn id="48" idx="1"/>
                        </wps:cNvCnPr>
                        <wps:spPr bwMode="auto">
                          <a:xfrm flipV="true">
                            <a:off x="1913890" y="1500505"/>
                            <a:ext cx="405765" cy="1270"/>
                          </a:xfrm>
                          <a:prstGeom prst="straightConnector1">
                            <a:avLst/>
                          </a:prstGeom>
                          <a:noFill/>
                          <a:ln w="9525">
                            <a:solidFill>
                              <a:srgbClr val="000000"/>
                            </a:solidFill>
                            <a:round/>
                            <a:tailEnd type="triangle" w="med" len="med"/>
                          </a:ln>
                        </wps:spPr>
                        <wps:bodyPr/>
                      </wps:wsp>
                      <wps:wsp>
                        <wps:cNvPr id="54" name="Rectangle 44"/>
                        <wps:cNvSpPr>
                          <a:spLocks noChangeArrowheads="true"/>
                        </wps:cNvSpPr>
                        <wps:spPr bwMode="auto">
                          <a:xfrm>
                            <a:off x="3379470" y="1358900"/>
                            <a:ext cx="1232535" cy="278130"/>
                          </a:xfrm>
                          <a:prstGeom prst="rect">
                            <a:avLst/>
                          </a:prstGeom>
                          <a:solidFill>
                            <a:schemeClr val="bg1">
                              <a:lumMod val="100000"/>
                              <a:lumOff val="0"/>
                            </a:schemeClr>
                          </a:solidFill>
                          <a:ln>
                            <a:noFill/>
                          </a:ln>
                        </wps:spPr>
                        <wps:txbx>
                          <w:txbxContent>
                            <w:p>
                              <w:pPr>
                                <w:jc w:val="center"/>
                                <w:rPr>
                                  <w:sz w:val="18"/>
                                </w:rPr>
                              </w:pPr>
                              <w:r>
                                <w:rPr>
                                  <w:rFonts w:hint="eastAsia"/>
                                  <w:sz w:val="18"/>
                                </w:rPr>
                                <w:t>盐水渍泡菜产品</w:t>
                              </w:r>
                            </w:p>
                          </w:txbxContent>
                        </wps:txbx>
                        <wps:bodyPr rot="0" vert="horz" wrap="square" lIns="91440" tIns="45720" rIns="91440" bIns="45720" anchor="t" anchorCtr="false" upright="true">
                          <a:noAutofit/>
                        </wps:bodyPr>
                      </wps:wsp>
                      <wps:wsp>
                        <wps:cNvPr id="55" name="Rectangle 45"/>
                        <wps:cNvSpPr>
                          <a:spLocks noChangeArrowheads="true"/>
                        </wps:cNvSpPr>
                        <wps:spPr bwMode="auto">
                          <a:xfrm>
                            <a:off x="1729740" y="66675"/>
                            <a:ext cx="739140" cy="278130"/>
                          </a:xfrm>
                          <a:prstGeom prst="rect">
                            <a:avLst/>
                          </a:prstGeom>
                          <a:solidFill>
                            <a:schemeClr val="bg1">
                              <a:lumMod val="100000"/>
                              <a:lumOff val="0"/>
                            </a:schemeClr>
                          </a:solidFill>
                          <a:ln>
                            <a:noFill/>
                          </a:ln>
                        </wps:spPr>
                        <wps:txbx>
                          <w:txbxContent>
                            <w:p>
                              <w:pPr>
                                <w:rPr>
                                  <w:sz w:val="18"/>
                                </w:rPr>
                              </w:pPr>
                              <w:r>
                                <w:rPr>
                                  <w:rFonts w:hint="eastAsia"/>
                                  <w:sz w:val="18"/>
                                </w:rPr>
                                <w:t>预处理</w:t>
                              </w:r>
                            </w:p>
                          </w:txbxContent>
                        </wps:txbx>
                        <wps:bodyPr rot="0" vert="horz" wrap="square" lIns="91440" tIns="45720" rIns="91440" bIns="45720" anchor="t" anchorCtr="false" upright="true">
                          <a:noAutofit/>
                        </wps:bodyPr>
                      </wps:wsp>
                      <wps:wsp>
                        <wps:cNvPr id="56" name="AutoShape 46"/>
                        <wps:cNvCnPr>
                          <a:cxnSpLocks noChangeShapeType="true"/>
                        </wps:cNvCnPr>
                        <wps:spPr bwMode="auto">
                          <a:xfrm>
                            <a:off x="3957320" y="675640"/>
                            <a:ext cx="254635" cy="3810"/>
                          </a:xfrm>
                          <a:prstGeom prst="straightConnector1">
                            <a:avLst/>
                          </a:prstGeom>
                          <a:noFill/>
                          <a:ln w="9525">
                            <a:solidFill>
                              <a:srgbClr val="000000"/>
                            </a:solidFill>
                            <a:round/>
                            <a:tailEnd type="triangle" w="med" len="med"/>
                          </a:ln>
                        </wps:spPr>
                        <wps:bodyPr/>
                      </wps:wsp>
                      <wps:wsp>
                        <wps:cNvPr id="57" name="AutoShape 47"/>
                        <wps:cNvCnPr>
                          <a:cxnSpLocks noChangeShapeType="true"/>
                          <a:stCxn id="48" idx="3"/>
                          <a:endCxn id="54" idx="1"/>
                        </wps:cNvCnPr>
                        <wps:spPr bwMode="auto">
                          <a:xfrm flipV="true">
                            <a:off x="2858770" y="1497965"/>
                            <a:ext cx="520700" cy="2540"/>
                          </a:xfrm>
                          <a:prstGeom prst="straightConnector1">
                            <a:avLst/>
                          </a:prstGeom>
                          <a:noFill/>
                          <a:ln w="9525">
                            <a:solidFill>
                              <a:srgbClr val="000000"/>
                            </a:solidFill>
                            <a:round/>
                            <a:tailEnd type="triangle" w="med" len="med"/>
                          </a:ln>
                        </wps:spPr>
                        <wps:bodyPr/>
                      </wps:wsp>
                      <wps:wsp>
                        <wps:cNvPr id="58" name="AutoShape 48"/>
                        <wps:cNvCnPr>
                          <a:cxnSpLocks noChangeShapeType="true"/>
                          <a:stCxn id="43" idx="0"/>
                          <a:endCxn id="44" idx="0"/>
                        </wps:cNvCnPr>
                        <wps:spPr bwMode="auto">
                          <a:xfrm rot="5400000" flipV="true">
                            <a:off x="2043430" y="-45085"/>
                            <a:ext cx="635" cy="1169670"/>
                          </a:xfrm>
                          <a:prstGeom prst="bentConnector3">
                            <a:avLst>
                              <a:gd name="adj1" fmla="val -36000000"/>
                            </a:avLst>
                          </a:prstGeom>
                          <a:noFill/>
                          <a:ln w="9525">
                            <a:solidFill>
                              <a:srgbClr val="000000"/>
                            </a:solidFill>
                            <a:miter lim="800000"/>
                            <a:tailEnd type="triangle" w="med" len="med"/>
                          </a:ln>
                        </wps:spPr>
                        <wps:bodyPr/>
                      </wps:wsp>
                      <wps:wsp>
                        <wps:cNvPr id="59" name="AutoShape 49"/>
                        <wps:cNvCnPr>
                          <a:cxnSpLocks noChangeShapeType="true"/>
                          <a:stCxn id="44" idx="0"/>
                          <a:endCxn id="43" idx="0"/>
                        </wps:cNvCnPr>
                        <wps:spPr bwMode="auto">
                          <a:xfrm rot="16200000" flipH="true" flipV="true">
                            <a:off x="2043430" y="-45085"/>
                            <a:ext cx="635" cy="1169670"/>
                          </a:xfrm>
                          <a:prstGeom prst="bentConnector3">
                            <a:avLst>
                              <a:gd name="adj1" fmla="val -36000000"/>
                            </a:avLst>
                          </a:prstGeom>
                          <a:noFill/>
                          <a:ln w="9525">
                            <a:solidFill>
                              <a:srgbClr val="000000"/>
                            </a:solidFill>
                            <a:miter lim="800000"/>
                            <a:tailEnd type="triangle" w="med" len="med"/>
                          </a:ln>
                        </wps:spPr>
                        <wps:bodyPr/>
                      </wps:wsp>
                    </wpc:wpc>
                  </a:graphicData>
                </a:graphic>
              </wp:inline>
            </w:drawing>
          </mc:Choice>
          <mc:Fallback>
            <w:pict>
              <v:group id="画布 30" o:spid="_x0000_s1026" o:spt="203" style="height:141.7pt;width:415.6pt;" coordsize="5278120,1799590" editas="canvas" o:gfxdata="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">
                <o:lock v:ext="edit" aspectratio="f"/>
                <v:shape id="画布 30" o:spid="_x0000_s1026" style="position:absolute;left:0;top:0;height:1799590;width:5278120;" filled="f" stroked="t" coordsize="21600,21600" o:gfxdata="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">
                  <v:fill on="f" focussize="0,0"/>
                  <v:stroke color="#000000 [3229]" miterlimit="8" joinstyle="miter"/>
                  <v:imagedata o:title=""/>
                  <o:lock v:ext="edit" aspectratio="t"/>
                </v:shape>
                <v:rect id="Rectangle 32" o:spid="_x0000_s1026" o:spt="1" style="position:absolute;left:7620;top:547370;height:278130;width:739140;" fillcolor="#FFFFFF [3228]" filled="t" stroked="f" coordsize="21600,21600" o:gfxdata="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FgAAAGRycy9QSwEC&#10;FAAUAAAACACHTuJAAoOXjNQAAAAFAQAADwAAAAAAAAABACAAAAA4AAAAZHJzL2Rvd25yZXYueG1s&#10;UEsBAhQAFAAAAAgAh07iQBof0hkfAgAALwQAAA4AAAAAAAAAAQAgAAAAOQEAAGRycy9lMm9Eb2Mu&#10;eG1sUEsFBgAAAAAGAAYAWQEAAMoFAAAAAA==&#10;">
                  <v:fill on="t" focussize="0,0"/>
                  <v:stroke on="f"/>
                  <v:imagedata o:title=""/>
                  <o:lock v:ext="edit" aspectratio="f"/>
                  <v:textbox>
                    <w:txbxContent>
                      <w:p>
                        <w:pPr>
                          <w:jc w:val="center"/>
                          <w:rPr>
                            <w:sz w:val="18"/>
                          </w:rPr>
                        </w:pPr>
                        <w:r>
                          <w:rPr>
                            <w:rFonts w:hint="eastAsia"/>
                            <w:sz w:val="18"/>
                          </w:rPr>
                          <w:t>生鲜蔬菜</w:t>
                        </w:r>
                      </w:p>
                    </w:txbxContent>
                  </v:textbox>
                </v:rect>
                <v:rect id="Rectangle 33" o:spid="_x0000_s1026" o:spt="1" style="position:absolute;left:1001395;top:539115;height:302260;width:915035;" fillcolor="#FFFFFF" filled="t" stroked="t" coordsize="21600,21600" o:gfxdata="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FgAAAGRy&#10;cy9QSwECFAAUAAAACACHTuJACHpY0tQAAAAFAQAADwAAAAAAAAABACAAAAA4AAAAZHJzL2Rvd25y&#10;ZXYueG1sUEsBAhQAFAAAAAgAh07iQKsn2QclAgAARQQAAA4AAAAAAAAAAQAgAAAAOQEAAGRycy9l&#10;Mm9Eb2MueG1sUEsFBgAAAAAGAAYAWQEAANAFAAAAAA==&#10;">
                  <v:fill on="t" focussize="0,0"/>
                  <v:stroke color="#000000" miterlimit="8" joinstyle="miter"/>
                  <v:imagedata o:title=""/>
                  <o:lock v:ext="edit" aspectratio="f"/>
                  <v:textbox>
                    <w:txbxContent>
                      <w:p>
                        <w:pPr>
                          <w:jc w:val="center"/>
                          <w:rPr>
                            <w:sz w:val="18"/>
                          </w:rPr>
                        </w:pPr>
                        <w:r>
                          <w:rPr>
                            <w:rFonts w:hint="eastAsia"/>
                            <w:sz w:val="18"/>
                          </w:rPr>
                          <w:t>挑选、整理</w:t>
                        </w:r>
                      </w:p>
                    </w:txbxContent>
                  </v:textbox>
                </v:rect>
                <v:rect id="Rectangle 34" o:spid="_x0000_s1026" o:spt="1" style="position:absolute;left:2171065;top:539115;height:303530;width:915670;" fillcolor="#FFFFFF" filled="t" stroked="t" coordsize="21600,21600" o:gfxdata="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WAAAA&#10;ZHJzL1BLAQIUABQAAAAIAIdO4kAIeljS1AAAAAUBAAAPAAAAAAAAAAEAIAAAADgAAABkcnMvZG93&#10;bnJldi54bWxQSwECFAAUAAAACACHTuJAKanp1CcCAABFBAAADgAAAAAAAAABACAAAAA5AQAAZHJz&#10;L2Uyb0RvYy54bWxQSwUGAAAAAAYABgBZAQAA0gUAAAAA&#10;">
                  <v:fill on="t" focussize="0,0"/>
                  <v:stroke color="#000000" miterlimit="8" joinstyle="miter"/>
                  <v:imagedata o:title=""/>
                  <o:lock v:ext="edit" aspectratio="f"/>
                  <v:textbox>
                    <w:txbxContent>
                      <w:p>
                        <w:pPr>
                          <w:jc w:val="center"/>
                          <w:rPr>
                            <w:sz w:val="18"/>
                          </w:rPr>
                        </w:pPr>
                        <w:r>
                          <w:rPr>
                            <w:rFonts w:hint="eastAsia"/>
                            <w:sz w:val="18"/>
                          </w:rPr>
                          <w:t>清洗、切分</w:t>
                        </w:r>
                      </w:p>
                    </w:txbxContent>
                  </v:textbox>
                </v:rect>
                <v:rect id="Rectangle 35" o:spid="_x0000_s1026" o:spt="1" style="position:absolute;left:3379470;top:521970;height:303530;width:577850;" fillcolor="#FFFFFF" filled="t" stroked="t" coordsize="21600,21600" o:gfxdata="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FgAAAGRy&#10;cy9QSwECFAAUAAAACACHTuJACHpY0tQAAAAFAQAADwAAAAAAAAABACAAAAA4AAAAZHJzL2Rvd25y&#10;ZXYueG1sUEsBAhQAFAAAAAgAh07iQBFVb5UlAgAARQQAAA4AAAAAAAAAAQAgAAAAOQEAAGRycy9l&#10;Mm9Eb2MueG1sUEsFBgAAAAAGAAYAWQEAANAFAAAAAA==&#10;">
                  <v:fill on="t" focussize="0,0"/>
                  <v:stroke color="#000000" miterlimit="8" joinstyle="miter"/>
                  <v:imagedata o:title=""/>
                  <o:lock v:ext="edit" aspectratio="f"/>
                  <v:textbox>
                    <w:txbxContent>
                      <w:p>
                        <w:pPr>
                          <w:jc w:val="center"/>
                          <w:rPr>
                            <w:sz w:val="18"/>
                          </w:rPr>
                        </w:pPr>
                        <w:r>
                          <w:rPr>
                            <w:rFonts w:hint="eastAsia"/>
                            <w:sz w:val="18"/>
                          </w:rPr>
                          <w:t>入坛</w:t>
                        </w:r>
                      </w:p>
                    </w:txbxContent>
                  </v:textbox>
                </v:rect>
                <v:rect id="Rectangle 36" o:spid="_x0000_s1026" o:spt="1" style="position:absolute;left:4201795;top:530860;height:302260;width:915035;" fillcolor="#FFFFFF" filled="t" stroked="t" coordsize="21600,21600" o:gfxdata="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">
                  <v:fill on="t" focussize="0,0"/>
                  <v:stroke color="#000000" miterlimit="8" joinstyle="miter"/>
                  <v:imagedata o:title=""/>
                  <o:lock v:ext="edit" aspectratio="f"/>
                  <v:textbox>
                    <w:txbxContent>
                      <w:p>
                        <w:pPr>
                          <w:jc w:val="center"/>
                          <w:rPr>
                            <w:sz w:val="18"/>
                          </w:rPr>
                        </w:pPr>
                        <w:r>
                          <w:rPr>
                            <w:rFonts w:hint="eastAsia"/>
                            <w:sz w:val="18"/>
                          </w:rPr>
                          <w:t>泡渍发酵</w:t>
                        </w:r>
                      </w:p>
                    </w:txbxContent>
                  </v:textbox>
                </v:rect>
                <v:rect id="Rectangle 37" o:spid="_x0000_s1026" o:spt="1" style="position:absolute;left:1356995;top:1350010;height:303530;width:556895;" fillcolor="#FFFFFF" filled="t" stroked="t" coordsize="21600,21600" o:gfxdata="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">
                  <v:fill on="t" focussize="0,0"/>
                  <v:stroke color="#000000" miterlimit="8" joinstyle="miter"/>
                  <v:imagedata o:title=""/>
                  <o:lock v:ext="edit" aspectratio="f"/>
                  <v:textbox>
                    <w:txbxContent>
                      <w:p>
                        <w:pPr>
                          <w:jc w:val="center"/>
                          <w:rPr>
                            <w:sz w:val="18"/>
                          </w:rPr>
                        </w:pPr>
                        <w:r>
                          <w:rPr>
                            <w:rFonts w:hint="eastAsia"/>
                            <w:sz w:val="18"/>
                          </w:rPr>
                          <w:t>检测</w:t>
                        </w:r>
                      </w:p>
                    </w:txbxContent>
                  </v:textbox>
                </v:rect>
                <v:rect id="Rectangle 38" o:spid="_x0000_s1026" o:spt="1" style="position:absolute;left:2319655;top:1348740;height:303530;width:539115;" fillcolor="#FFFFFF" filled="t" stroked="t" coordsize="21600,21600" o:gfxdata="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BYAAABk&#10;cnMvUEsBAhQAFAAAAAgAh07iQAh6WNLUAAAABQEAAA8AAAAAAAAAAQAgAAAAOAAAAGRycy9kb3du&#10;cmV2LnhtbFBLAQIUABQAAAAIAIdO4kAZUvC8JgIAAEYEAAAOAAAAAAAAAAEAIAAAADkBAABkcnMv&#10;ZTJvRG9jLnhtbFBLBQYAAAAABgAGAFkBAADRBQAAAAA=&#10;">
                  <v:fill on="t" focussize="0,0"/>
                  <v:stroke color="#000000" miterlimit="8" joinstyle="miter"/>
                  <v:imagedata o:title=""/>
                  <o:lock v:ext="edit" aspectratio="f"/>
                  <v:textbox>
                    <w:txbxContent>
                      <w:p>
                        <w:pPr>
                          <w:jc w:val="center"/>
                          <w:rPr>
                            <w:sz w:val="18"/>
                          </w:rPr>
                        </w:pPr>
                        <w:r>
                          <w:rPr>
                            <w:rFonts w:hint="eastAsia"/>
                            <w:sz w:val="18"/>
                          </w:rPr>
                          <w:t>出坛</w:t>
                        </w:r>
                      </w:p>
                    </w:txbxContent>
                  </v:textbox>
                </v:rect>
                <v:shape id="AutoShape 39" o:spid="_x0000_s1026" o:spt="32" type="#_x0000_t32" style="position:absolute;left:746760;top:686435;height:3810;width:254635;" filled="f" stroked="t" coordsize="21600,21600" o:gfxdata="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BYAAABkcnMvUEsBAhQAFAAAAAgAh07iQLoGpWLXAAAABQEAAA8AAAAAAAAA&#10;AQAgAAAAOAAAAGRycy9kb3ducmV2LnhtbFBLAQIUABQAAAAIAIdO4kADDVxS/AEAANgDAAAOAAAA&#10;AAAAAAEAIAAAADwBAABkcnMvZTJvRG9jLnhtbFBLBQYAAAAABgAGAFkBAACqBQAAAAA=&#10;">
                  <v:fill on="f" focussize="0,0"/>
                  <v:stroke color="#000000" joinstyle="round" endarrow="block"/>
                  <v:imagedata o:title=""/>
                  <o:lock v:ext="edit" aspectratio="f"/>
                </v:shape>
                <v:shape id="AutoShape 40" o:spid="_x0000_s1026" o:spt="32" type="#_x0000_t32" style="position:absolute;left:1916430;top:690245;height:635;width:254635;" filled="f" stroked="t" coordsize="21600,21600" o:gfxdata="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FgAAAGRycy9QSwECFAAUAAAACACHTuJAugalYtcAAAAFAQAADwAAAAAAAAABACAA&#10;AAA4AAAAZHJzL2Rvd25yZXYueG1sUEsBAhQAFAAAAAgAh07iQL8FlVP4AQAA2AMAAA4AAAAAAAAA&#10;AQAgAAAAPAEAAGRycy9lMm9Eb2MueG1sUEsFBgAAAAAGAAYAWQEAAKYFAAAAAA==&#10;">
                  <v:fill on="f" focussize="0,0"/>
                  <v:stroke color="#000000" joinstyle="round" endarrow="block"/>
                  <v:imagedata o:title=""/>
                  <o:lock v:ext="edit" aspectratio="f"/>
                </v:shape>
                <v:shape id="AutoShape 41" o:spid="_x0000_s1026" o:spt="32" type="#_x0000_t32" style="position:absolute;left:3086735;top:690880;height:635;width:270510;" filled="f" stroked="t" coordsize="21600,21600" o:gfxdata="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WAAAAZHJzL1BLAQIUABQAAAAIAIdO4kC6BqVi1wAAAAUBAAAPAAAAAAAAAAEAIAAAADgAAABk&#10;cnMvZG93bnJldi54bWxQSwECFAAUAAAACACHTuJAqABcrPEBAAC9AwAADgAAAAAAAAABACAAAAA8&#10;AQAAZHJzL2Uyb0RvYy54bWxQSwUGAAAAAAYABgBZAQAAnwUAAAAA&#10;">
                  <v:fill on="f" focussize="0,0"/>
                  <v:stroke color="#000000" joinstyle="round" endarrow="block"/>
                  <v:imagedata o:title=""/>
                  <o:lock v:ext="edit" aspectratio="f"/>
                </v:shape>
                <v:shape id="AutoShape 42" o:spid="_x0000_s1026" o:spt="32" type="#_x0000_t32" style="position:absolute;left:759460;top:1501140;height:635;width:597535;" filled="f" stroked="t" coordsize="21600,21600" o:gfxdata="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FgAAAGRycy9QSwECFAAUAAAACACHTuJAugalYtcAAAAFAQAADwAAAAAAAAABACAAAAA4AAAA&#10;ZHJzL2Rvd25yZXYueG1sUEsBAhQAFAAAAAgAh07iQOuXiXjyAQAAvgMAAA4AAAAAAAAAAQAgAAAA&#10;PAEAAGRycy9lMm9Eb2MueG1sUEsFBgAAAAAGAAYAWQEAAKAFAAAAAA==&#10;">
                  <v:fill on="f" focussize="0,0"/>
                  <v:stroke color="#000000" joinstyle="round" endarrow="block"/>
                  <v:imagedata o:title=""/>
                  <o:lock v:ext="edit" aspectratio="f"/>
                </v:shape>
                <v:shape id="AutoShape 43" o:spid="_x0000_s1026" o:spt="32" type="#_x0000_t32" style="position:absolute;left:1913890;top:1500505;flip:y;height:1270;width:405765;" filled="f" stroked="t" coordsize="21600,21600" o:gfxdata="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">
                  <v:fill on="f" focussize="0,0"/>
                  <v:stroke color="#000000" joinstyle="round" endarrow="block"/>
                  <v:imagedata o:title=""/>
                  <o:lock v:ext="edit" aspectratio="f"/>
                </v:shape>
                <v:rect id="Rectangle 44" o:spid="_x0000_s1026" o:spt="1" style="position:absolute;left:3379470;top:1358900;height:278130;width:1232535;" fillcolor="#FFFFFF [3228]" filled="t" stroked="f" coordsize="21600,21600" o:gfxdata="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FgAAAGRy&#10;cy9QSwECFAAUAAAACACHTuJAAoOXjNQAAAAFAQAADwAAAAAAAAABACAAAAA4AAAAZHJzL2Rvd25y&#10;ZXYueG1sUEsBAhQAFAAAAAgAh07iQIjlgVAlAgAANAQAAA4AAAAAAAAAAQAgAAAAOQEAAGRycy9l&#10;Mm9Eb2MueG1sUEsFBgAAAAAGAAYAWQEAANAFAAAAAA==&#10;">
                  <v:fill on="t" focussize="0,0"/>
                  <v:stroke on="f"/>
                  <v:imagedata o:title=""/>
                  <o:lock v:ext="edit" aspectratio="f"/>
                  <v:textbox>
                    <w:txbxContent>
                      <w:p>
                        <w:pPr>
                          <w:jc w:val="center"/>
                          <w:rPr>
                            <w:sz w:val="18"/>
                          </w:rPr>
                        </w:pPr>
                        <w:r>
                          <w:rPr>
                            <w:rFonts w:hint="eastAsia"/>
                            <w:sz w:val="18"/>
                          </w:rPr>
                          <w:t>盐水渍泡菜产品</w:t>
                        </w:r>
                      </w:p>
                    </w:txbxContent>
                  </v:textbox>
                </v:rect>
                <v:rect id="Rectangle 45" o:spid="_x0000_s1026" o:spt="1" style="position:absolute;left:1729740;top:66675;height:278130;width:739140;" fillcolor="#FFFFFF [3228]" filled="t" stroked="f" coordsize="21600,21600" o:gfxdata="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">
                  <v:fill on="t" focussize="0,0"/>
                  <v:stroke on="f"/>
                  <v:imagedata o:title=""/>
                  <o:lock v:ext="edit" aspectratio="f"/>
                  <v:textbox>
                    <w:txbxContent>
                      <w:p>
                        <w:pPr>
                          <w:rPr>
                            <w:sz w:val="18"/>
                          </w:rPr>
                        </w:pPr>
                        <w:r>
                          <w:rPr>
                            <w:rFonts w:hint="eastAsia"/>
                            <w:sz w:val="18"/>
                          </w:rPr>
                          <w:t>预处理</w:t>
                        </w:r>
                      </w:p>
                    </w:txbxContent>
                  </v:textbox>
                </v:rect>
                <v:shape id="AutoShape 46" o:spid="_x0000_s1026" o:spt="32" type="#_x0000_t32" style="position:absolute;left:3957320;top:675640;height:3810;width:254635;" filled="f" stroked="t" coordsize="21600,21600" o:gfxdata="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BYAAABkcnMv&#10;UEsBAhQAFAAAAAgAh07iQLoGpWLXAAAABQEAAA8AAAAAAAAAAQAgAAAAOAAAAGRycy9kb3ducmV2&#10;LnhtbFBLAQIUABQAAAAIAIdO4kDAMwq25wEAAKQDAAAOAAAAAAAAAAEAIAAAADwBAABkcnMvZTJv&#10;RG9jLnhtbFBLBQYAAAAABgAGAFkBAACVBQAAAAA=&#10;">
                  <v:fill on="f" focussize="0,0"/>
                  <v:stroke color="#000000" joinstyle="round" endarrow="block"/>
                  <v:imagedata o:title=""/>
                  <o:lock v:ext="edit" aspectratio="f"/>
                </v:shape>
                <v:shape id="AutoShape 47" o:spid="_x0000_s1026" o:spt="32" type="#_x0000_t32" style="position:absolute;left:2858770;top:1497965;flip:y;height:2540;width:520700;" filled="f" stroked="t" coordsize="21600,21600" o:gfxdata="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FgAAAGRycy9QSwECFAAUAAAACACHTuJAipqNHNYAAAAFAQAA&#10;DwAAAAAAAAABACAAAAA4AAAAZHJzL2Rvd25yZXYueG1sUEsBAhQAFAAAAAgAh07iQGyxGpgFAgAA&#10;5wMAAA4AAAAAAAAAAQAgAAAAOwEAAGRycy9lMm9Eb2MueG1sUEsFBgAAAAAGAAYAWQEAALIFAAAA&#10;AA==&#10;">
                  <v:fill on="f" focussize="0,0"/>
                  <v:stroke color="#000000" joinstyle="round" endarrow="block"/>
                  <v:imagedata o:title=""/>
                  <o:lock v:ext="edit" aspectratio="f"/>
                </v:shape>
                <v:shape id="AutoShape 48" o:spid="_x0000_s1026" o:spt="34" type="#_x0000_t34" style="position:absolute;left:2043430;top:-45085;flip:y;height:1169670;width:635;rotation:-5898240f;" filled="f" stroked="t" coordsize="21600,21600" o:gfxdata="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FgAAAGRy&#10;cy9QSwECFAAUAAAACACHTuJAeL7OAtUAAAAFAQAADwAAAAAAAAABACAAAAA4AAAAZHJzL2Rvd25y&#10;ZXYueG1sUEsBAhQAFAAAAAgAh07iQAC6afUkAgAALgQAAA4AAAAAAAAAAQAgAAAAOgEAAGRycy9l&#10;Mm9Eb2MueG1sUEsFBgAAAAAGAAYAWQEAANAFAAAAAA==&#10;" adj="0">
                  <v:fill on="f" focussize="0,0"/>
                  <v:stroke color="#000000" miterlimit="8" joinstyle="miter" endarrow="block"/>
                  <v:imagedata o:title=""/>
                  <o:lock v:ext="edit" aspectratio="f"/>
                </v:shape>
                <v:shape id="AutoShape 49" o:spid="_x0000_s1026" o:spt="34" type="#_x0000_t34" style="position:absolute;left:2043430;top:-45085;flip:x y;height:1169670;width:635;rotation:-5898240f;" filled="f" stroked="t" coordsize="21600,21600" o:gfxdata="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&#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" adj="0">
                  <v:fill on="f" focussize="0,0"/>
                  <v:stroke color="#000000" miterlimit="8" joinstyle="miter" endarrow="block"/>
                  <v:imagedata o:title=""/>
                  <o:lock v:ext="edit" aspectratio="f"/>
                </v:shape>
                <w10:wrap type="none"/>
                <w10:anchorlock/>
              </v:group>
            </w:pict>
          </mc:Fallback>
        </mc:AlternateContent>
      </w:r>
      <w:r>
        <w:rPr>
          <w:rFonts w:ascii="Times New Roman" w:hAnsi="Times New Roman" w:eastAsia="宋体" w:cs="Times New Roman"/>
          <w:b/>
        </w:rPr>
        <w:t>图</w:t>
      </w:r>
      <w:r>
        <w:rPr>
          <w:rFonts w:hint="eastAsia" w:ascii="Times New Roman" w:hAnsi="Times New Roman" w:eastAsia="宋体" w:cs="Times New Roman"/>
          <w:b/>
        </w:rPr>
        <w:t>4-2 盐水渍</w:t>
      </w:r>
      <w:r>
        <w:rPr>
          <w:rFonts w:ascii="Times New Roman" w:hAnsi="Times New Roman" w:eastAsia="宋体" w:cs="Times New Roman"/>
          <w:b/>
        </w:rPr>
        <w:t>泡菜企业生产工艺流程图</w:t>
      </w:r>
    </w:p>
    <w:p>
      <w:pPr>
        <w:spacing w:line="440" w:lineRule="exact"/>
        <w:ind w:firstLine="420" w:firstLineChars="200"/>
        <w:jc w:val="left"/>
        <w:rPr>
          <w:rFonts w:ascii="Times New Roman" w:hAnsi="Times New Roman" w:eastAsia="宋体" w:cs="Times New Roman"/>
          <w:b/>
        </w:rPr>
      </w:pPr>
      <w:r>
        <w:rPr>
          <w:rFonts w:hint="eastAsia" w:ascii="Times New Roman" w:hAnsi="Times New Roman" w:eastAsia="宋体" w:cs="Times New Roman"/>
          <w:szCs w:val="22"/>
        </w:rPr>
        <w:t>（3）其他盐渍类产品生产工艺（以郫县豆瓣为例）：</w:t>
      </w:r>
      <w:r>
        <w:rPr>
          <w:rFonts w:ascii="Times New Roman" w:hAnsi="Times New Roman" w:eastAsia="宋体" w:cs="Times New Roman"/>
          <w:szCs w:val="22"/>
        </w:rPr>
        <w:t>是将质检合格的</w:t>
      </w:r>
      <w:r>
        <w:rPr>
          <w:rFonts w:hint="eastAsia" w:ascii="Times New Roman" w:hAnsi="Times New Roman" w:eastAsia="宋体" w:cs="Times New Roman"/>
          <w:szCs w:val="22"/>
        </w:rPr>
        <w:t>红辣椒去蒂、清洗、拌盐、轧碎、盐渍，并将蚕豆脱壳、浸泡、制曲发酵，二者放入缸（池）中拌合，经翻、晒、露后</w:t>
      </w:r>
      <w:r>
        <w:rPr>
          <w:rFonts w:ascii="Times New Roman" w:hAnsi="Times New Roman" w:eastAsia="宋体" w:cs="Times New Roman"/>
          <w:szCs w:val="22"/>
        </w:rPr>
        <w:t>制得</w:t>
      </w:r>
      <w:r>
        <w:rPr>
          <w:rFonts w:hint="eastAsia" w:ascii="Times New Roman" w:hAnsi="Times New Roman" w:eastAsia="宋体" w:cs="Times New Roman"/>
          <w:szCs w:val="22"/>
        </w:rPr>
        <w:t>郫县豆瓣</w:t>
      </w:r>
      <w:r>
        <w:rPr>
          <w:rFonts w:ascii="Times New Roman" w:hAnsi="Times New Roman" w:eastAsia="宋体" w:cs="Times New Roman"/>
          <w:szCs w:val="22"/>
        </w:rPr>
        <w:t>产品</w:t>
      </w:r>
      <w:r>
        <w:rPr>
          <w:rFonts w:hint="eastAsia" w:ascii="Times New Roman" w:hAnsi="Times New Roman" w:eastAsia="宋体" w:cs="Times New Roman"/>
          <w:szCs w:val="22"/>
        </w:rPr>
        <w:t>，生产过程中不涉及老盐水的产生。</w:t>
      </w:r>
      <w:r>
        <w:rPr>
          <w:rFonts w:ascii="Times New Roman" w:hAnsi="Times New Roman" w:eastAsia="宋体" w:cs="Times New Roman"/>
          <w:szCs w:val="22"/>
        </w:rPr>
        <w:t>其工艺流程</w:t>
      </w:r>
      <w:r>
        <w:rPr>
          <w:rFonts w:hint="eastAsia" w:ascii="Times New Roman" w:hAnsi="Times New Roman" w:eastAsia="宋体" w:cs="Times New Roman"/>
          <w:szCs w:val="22"/>
        </w:rPr>
        <w:t>如</w:t>
      </w:r>
      <w:r>
        <w:rPr>
          <w:rFonts w:ascii="Times New Roman" w:hAnsi="Times New Roman" w:eastAsia="宋体" w:cs="Times New Roman"/>
          <w:szCs w:val="22"/>
        </w:rPr>
        <w:t>图</w:t>
      </w:r>
      <w:r>
        <w:rPr>
          <w:rFonts w:hint="eastAsia" w:ascii="Times New Roman" w:hAnsi="Times New Roman" w:eastAsia="宋体" w:cs="Times New Roman"/>
          <w:szCs w:val="22"/>
        </w:rPr>
        <w:t>4-3</w:t>
      </w:r>
      <w:r>
        <w:rPr>
          <w:rFonts w:ascii="Times New Roman" w:hAnsi="Times New Roman" w:eastAsia="宋体" w:cs="Times New Roman"/>
          <w:szCs w:val="22"/>
        </w:rPr>
        <w:t>所示。</w:t>
      </w:r>
    </w:p>
    <w:p>
      <w:pPr>
        <w:jc w:val="center"/>
        <w:rPr>
          <w:rFonts w:ascii="Times New Roman" w:hAnsi="Times New Roman" w:eastAsia="宋体" w:cs="Times New Roman"/>
          <w:sz w:val="18"/>
          <w:szCs w:val="22"/>
        </w:rPr>
      </w:pPr>
      <w:r>
        <w:rPr>
          <w:rFonts w:ascii="Times New Roman" w:hAnsi="Times New Roman" w:eastAsia="宋体" w:cs="Times New Roman"/>
          <w:sz w:val="18"/>
          <w:szCs w:val="22"/>
        </w:rPr>
        <mc:AlternateContent>
          <mc:Choice Requires="wps">
            <w:drawing>
              <wp:anchor distT="0" distB="0" distL="114300" distR="114300" simplePos="0" relativeHeight="251659264" behindDoc="0" locked="0" layoutInCell="1" allowOverlap="1">
                <wp:simplePos x="0" y="0"/>
                <wp:positionH relativeFrom="column">
                  <wp:posOffset>50800</wp:posOffset>
                </wp:positionH>
                <wp:positionV relativeFrom="paragraph">
                  <wp:posOffset>1063625</wp:posOffset>
                </wp:positionV>
                <wp:extent cx="421005" cy="278130"/>
                <wp:effectExtent l="1270" t="0" r="0" b="1270"/>
                <wp:wrapNone/>
                <wp:docPr id="41" name="Rectangle 94"/>
                <wp:cNvGraphicFramePr/>
                <a:graphic xmlns:a="http://schemas.openxmlformats.org/drawingml/2006/main">
                  <a:graphicData uri="http://schemas.microsoft.com/office/word/2010/wordprocessingShape">
                    <wps:wsp>
                      <wps:cNvSpPr>
                        <a:spLocks noChangeArrowheads="true"/>
                      </wps:cNvSpPr>
                      <wps:spPr bwMode="auto">
                        <a:xfrm>
                          <a:off x="0" y="0"/>
                          <a:ext cx="421005" cy="278130"/>
                        </a:xfrm>
                        <a:prstGeom prst="rect">
                          <a:avLst/>
                        </a:prstGeom>
                        <a:solidFill>
                          <a:schemeClr val="bg1">
                            <a:lumMod val="100000"/>
                            <a:lumOff val="0"/>
                          </a:schemeClr>
                        </a:solidFill>
                        <a:ln>
                          <a:noFill/>
                        </a:ln>
                      </wps:spPr>
                      <wps:txbx>
                        <w:txbxContent>
                          <w:p>
                            <w:pPr>
                              <w:jc w:val="center"/>
                              <w:rPr>
                                <w:sz w:val="18"/>
                              </w:rPr>
                            </w:pPr>
                            <w:r>
                              <w:rPr>
                                <w:rFonts w:hint="eastAsia"/>
                                <w:sz w:val="18"/>
                              </w:rPr>
                              <w:t>蚕豆</w:t>
                            </w:r>
                          </w:p>
                        </w:txbxContent>
                      </wps:txbx>
                      <wps:bodyPr rot="0" vert="horz" wrap="square" lIns="91440" tIns="45720" rIns="91440" bIns="45720" anchor="t" anchorCtr="false" upright="true">
                        <a:noAutofit/>
                      </wps:bodyPr>
                    </wps:wsp>
                  </a:graphicData>
                </a:graphic>
              </wp:anchor>
            </w:drawing>
          </mc:Choice>
          <mc:Fallback>
            <w:pict>
              <v:rect id="Rectangle 94" o:spid="_x0000_s1026" o:spt="1" style="position:absolute;left:0pt;margin-left:4pt;margin-top:83.75pt;height:21.9pt;width:33.15pt;z-index:251659264;mso-width-relative:page;mso-height-relative:page;" fillcolor="#FFFFFF [3228]" filled="t" stroked="f" coordsize="21600,21600" o:gfxdata="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WAAAAZHJzL1BLAQIUABQA&#10;AAAIAIdO4kDN1YKC1wAAAAgBAAAPAAAAAAAAAAEAIAAAADgAAABkcnMvZG93bnJldi54bWxQSwEC&#10;FAAUAAAACACHTuJAu6Qa2RgCAAAnBAAADgAAAAAAAAABACAAAAA8AQAAZHJzL2Uyb0RvYy54bWxQ&#10;SwUGAAAAAAYABgBZAQAAxgUAAAAA&#10;">
                <v:fill on="t" focussize="0,0"/>
                <v:stroke on="f"/>
                <v:imagedata o:title=""/>
                <o:lock v:ext="edit" aspectratio="f"/>
                <v:textbox>
                  <w:txbxContent>
                    <w:p>
                      <w:pPr>
                        <w:jc w:val="center"/>
                        <w:rPr>
                          <w:sz w:val="18"/>
                        </w:rPr>
                      </w:pPr>
                      <w:r>
                        <w:rPr>
                          <w:rFonts w:hint="eastAsia"/>
                          <w:sz w:val="18"/>
                        </w:rPr>
                        <w:t>蚕豆</w:t>
                      </w:r>
                    </w:p>
                  </w:txbxContent>
                </v:textbox>
              </v:rect>
            </w:pict>
          </mc:Fallback>
        </mc:AlternateContent>
      </w:r>
      <w:r>
        <w:rPr>
          <w:rFonts w:ascii="Times New Roman" w:hAnsi="Times New Roman" w:eastAsia="宋体" w:cs="Times New Roman"/>
          <w:sz w:val="18"/>
          <w:szCs w:val="22"/>
        </w:rPr>
        <mc:AlternateContent>
          <mc:Choice Requires="wpc">
            <w:drawing>
              <wp:inline distT="0" distB="0" distL="0" distR="0">
                <wp:extent cx="5295265" cy="2279015"/>
                <wp:effectExtent l="15240" t="15240" r="13970" b="10795"/>
                <wp:docPr id="40" name="画布 2"/>
                <wp:cNvGraphicFramePr>
                  <a:graphicFrameLocks xmlns:a="http://schemas.openxmlformats.org/drawingml/2006/main" noChangeAspect="true"/>
                </wp:cNvGraphicFramePr>
                <a:graphic xmlns:a="http://schemas.openxmlformats.org/drawingml/2006/main">
                  <a:graphicData uri="http://schemas.microsoft.com/office/word/2010/wordprocessingCanvas">
                    <wpc:wpc>
                      <wpc:bg>
                        <a:noFill/>
                      </wpc:bg>
                      <wpc:whole>
                        <a:ln w="9525" cap="flat" cmpd="sng" algn="ctr">
                          <a:solidFill>
                            <a:schemeClr val="tx1">
                              <a:lumMod val="100000"/>
                              <a:lumOff val="0"/>
                            </a:schemeClr>
                          </a:solidFill>
                          <a:prstDash val="solid"/>
                          <a:miter lim="800000"/>
                          <a:headEnd type="none" w="med" len="med"/>
                          <a:tailEnd type="none" w="med" len="med"/>
                        </a:ln>
                      </wpc:whole>
                      <wps:wsp>
                        <wps:cNvPr id="1" name="Rectangle 4"/>
                        <wps:cNvSpPr>
                          <a:spLocks noChangeArrowheads="true"/>
                        </wps:cNvSpPr>
                        <wps:spPr bwMode="auto">
                          <a:xfrm>
                            <a:off x="40640" y="488950"/>
                            <a:ext cx="548640" cy="278130"/>
                          </a:xfrm>
                          <a:prstGeom prst="rect">
                            <a:avLst/>
                          </a:prstGeom>
                          <a:solidFill>
                            <a:schemeClr val="bg1">
                              <a:lumMod val="100000"/>
                              <a:lumOff val="0"/>
                            </a:schemeClr>
                          </a:solidFill>
                          <a:ln>
                            <a:noFill/>
                          </a:ln>
                        </wps:spPr>
                        <wps:txbx>
                          <w:txbxContent>
                            <w:p>
                              <w:pPr>
                                <w:jc w:val="center"/>
                                <w:rPr>
                                  <w:sz w:val="18"/>
                                </w:rPr>
                              </w:pPr>
                              <w:r>
                                <w:rPr>
                                  <w:rFonts w:hint="eastAsia"/>
                                  <w:sz w:val="18"/>
                                </w:rPr>
                                <w:t>红辣椒</w:t>
                              </w:r>
                            </w:p>
                          </w:txbxContent>
                        </wps:txbx>
                        <wps:bodyPr rot="0" vert="horz" wrap="square" lIns="91440" tIns="45720" rIns="91440" bIns="45720" anchor="t" anchorCtr="false" upright="true">
                          <a:noAutofit/>
                        </wps:bodyPr>
                      </wps:wsp>
                      <wps:wsp>
                        <wps:cNvPr id="2" name="Rectangle 5"/>
                        <wps:cNvSpPr>
                          <a:spLocks noChangeArrowheads="true"/>
                        </wps:cNvSpPr>
                        <wps:spPr bwMode="auto">
                          <a:xfrm>
                            <a:off x="811530" y="472440"/>
                            <a:ext cx="733425" cy="302260"/>
                          </a:xfrm>
                          <a:prstGeom prst="rect">
                            <a:avLst/>
                          </a:prstGeom>
                          <a:solidFill>
                            <a:srgbClr val="FFFFFF"/>
                          </a:solidFill>
                          <a:ln w="9525">
                            <a:solidFill>
                              <a:srgbClr val="000000"/>
                            </a:solidFill>
                            <a:miter lim="800000"/>
                          </a:ln>
                        </wps:spPr>
                        <wps:txbx>
                          <w:txbxContent>
                            <w:p>
                              <w:pPr>
                                <w:jc w:val="center"/>
                                <w:rPr>
                                  <w:sz w:val="18"/>
                                </w:rPr>
                              </w:pPr>
                              <w:r>
                                <w:rPr>
                                  <w:rFonts w:hint="eastAsia"/>
                                  <w:sz w:val="18"/>
                                </w:rPr>
                                <w:t>去蒂、清洗</w:t>
                              </w:r>
                            </w:p>
                          </w:txbxContent>
                        </wps:txbx>
                        <wps:bodyPr rot="0" vert="horz" wrap="square" lIns="91440" tIns="45720" rIns="91440" bIns="45720" anchor="t" anchorCtr="false" upright="true">
                          <a:noAutofit/>
                        </wps:bodyPr>
                      </wps:wsp>
                      <wps:wsp>
                        <wps:cNvPr id="3" name="Rectangle 6"/>
                        <wps:cNvSpPr>
                          <a:spLocks noChangeArrowheads="true"/>
                        </wps:cNvSpPr>
                        <wps:spPr bwMode="auto">
                          <a:xfrm>
                            <a:off x="1774825" y="472440"/>
                            <a:ext cx="1283970" cy="303530"/>
                          </a:xfrm>
                          <a:prstGeom prst="rect">
                            <a:avLst/>
                          </a:prstGeom>
                          <a:solidFill>
                            <a:srgbClr val="FFFFFF"/>
                          </a:solidFill>
                          <a:ln w="9525">
                            <a:solidFill>
                              <a:srgbClr val="000000"/>
                            </a:solidFill>
                            <a:miter lim="800000"/>
                          </a:ln>
                        </wps:spPr>
                        <wps:txbx>
                          <w:txbxContent>
                            <w:p>
                              <w:pPr>
                                <w:jc w:val="center"/>
                                <w:rPr>
                                  <w:sz w:val="18"/>
                                </w:rPr>
                              </w:pPr>
                              <w:r>
                                <w:rPr>
                                  <w:rFonts w:hint="eastAsia"/>
                                  <w:sz w:val="18"/>
                                </w:rPr>
                                <w:t>拌盐、轧碎、盐渍</w:t>
                              </w:r>
                            </w:p>
                          </w:txbxContent>
                        </wps:txbx>
                        <wps:bodyPr rot="0" vert="horz" wrap="square" lIns="91440" tIns="45720" rIns="91440" bIns="45720" anchor="t" anchorCtr="false" upright="true">
                          <a:noAutofit/>
                        </wps:bodyPr>
                      </wps:wsp>
                      <wps:wsp>
                        <wps:cNvPr id="4" name="Rectangle 7"/>
                        <wps:cNvSpPr>
                          <a:spLocks noChangeArrowheads="true"/>
                        </wps:cNvSpPr>
                        <wps:spPr bwMode="auto">
                          <a:xfrm>
                            <a:off x="3224530" y="472440"/>
                            <a:ext cx="723265" cy="303530"/>
                          </a:xfrm>
                          <a:prstGeom prst="rect">
                            <a:avLst/>
                          </a:prstGeom>
                          <a:solidFill>
                            <a:srgbClr val="FFFFFF"/>
                          </a:solidFill>
                          <a:ln w="9525">
                            <a:solidFill>
                              <a:srgbClr val="000000"/>
                            </a:solidFill>
                            <a:miter lim="800000"/>
                          </a:ln>
                        </wps:spPr>
                        <wps:txbx>
                          <w:txbxContent>
                            <w:p>
                              <w:pPr>
                                <w:jc w:val="center"/>
                                <w:rPr>
                                  <w:sz w:val="18"/>
                                </w:rPr>
                              </w:pPr>
                              <w:r>
                                <w:rPr>
                                  <w:rFonts w:hint="eastAsia"/>
                                  <w:sz w:val="18"/>
                                </w:rPr>
                                <w:t>入池发酵</w:t>
                              </w:r>
                            </w:p>
                          </w:txbxContent>
                        </wps:txbx>
                        <wps:bodyPr rot="0" vert="horz" wrap="square" lIns="91440" tIns="45720" rIns="91440" bIns="45720" anchor="t" anchorCtr="false" upright="true">
                          <a:noAutofit/>
                        </wps:bodyPr>
                      </wps:wsp>
                      <wps:wsp>
                        <wps:cNvPr id="5" name="AutoShape 8"/>
                        <wps:cNvCnPr>
                          <a:cxnSpLocks noChangeShapeType="true"/>
                          <a:stCxn id="1" idx="3"/>
                          <a:endCxn id="2" idx="1"/>
                        </wps:cNvCnPr>
                        <wps:spPr bwMode="auto">
                          <a:xfrm flipV="true">
                            <a:off x="589280" y="623570"/>
                            <a:ext cx="222250" cy="4445"/>
                          </a:xfrm>
                          <a:prstGeom prst="straightConnector1">
                            <a:avLst/>
                          </a:prstGeom>
                          <a:noFill/>
                          <a:ln w="9525">
                            <a:solidFill>
                              <a:srgbClr val="000000"/>
                            </a:solidFill>
                            <a:round/>
                            <a:tailEnd type="triangle" w="med" len="med"/>
                          </a:ln>
                        </wps:spPr>
                        <wps:bodyPr/>
                      </wps:wsp>
                      <wps:wsp>
                        <wps:cNvPr id="6" name="AutoShape 9"/>
                        <wps:cNvCnPr>
                          <a:cxnSpLocks noChangeShapeType="true"/>
                          <a:stCxn id="2" idx="3"/>
                          <a:endCxn id="3" idx="1"/>
                        </wps:cNvCnPr>
                        <wps:spPr bwMode="auto">
                          <a:xfrm>
                            <a:off x="1544955" y="623570"/>
                            <a:ext cx="229870" cy="635"/>
                          </a:xfrm>
                          <a:prstGeom prst="straightConnector1">
                            <a:avLst/>
                          </a:prstGeom>
                          <a:noFill/>
                          <a:ln w="9525">
                            <a:solidFill>
                              <a:srgbClr val="000000"/>
                            </a:solidFill>
                            <a:round/>
                            <a:tailEnd type="triangle" w="med" len="med"/>
                          </a:ln>
                        </wps:spPr>
                        <wps:bodyPr/>
                      </wps:wsp>
                      <wps:wsp>
                        <wps:cNvPr id="7" name="AutoShape 10"/>
                        <wps:cNvCnPr>
                          <a:cxnSpLocks noChangeShapeType="true"/>
                          <a:stCxn id="3" idx="3"/>
                          <a:endCxn id="4" idx="1"/>
                        </wps:cNvCnPr>
                        <wps:spPr bwMode="auto">
                          <a:xfrm>
                            <a:off x="3058795" y="624205"/>
                            <a:ext cx="165735" cy="635"/>
                          </a:xfrm>
                          <a:prstGeom prst="straightConnector1">
                            <a:avLst/>
                          </a:prstGeom>
                          <a:noFill/>
                          <a:ln w="9525">
                            <a:solidFill>
                              <a:srgbClr val="000000"/>
                            </a:solidFill>
                            <a:round/>
                            <a:tailEnd type="triangle" w="med" len="med"/>
                          </a:ln>
                        </wps:spPr>
                        <wps:bodyPr/>
                      </wps:wsp>
                      <wps:wsp>
                        <wps:cNvPr id="8" name="Rectangle 11"/>
                        <wps:cNvSpPr>
                          <a:spLocks noChangeArrowheads="true"/>
                        </wps:cNvSpPr>
                        <wps:spPr bwMode="auto">
                          <a:xfrm>
                            <a:off x="356235" y="1713230"/>
                            <a:ext cx="892810" cy="302260"/>
                          </a:xfrm>
                          <a:prstGeom prst="rect">
                            <a:avLst/>
                          </a:prstGeom>
                          <a:solidFill>
                            <a:srgbClr val="FFFFFF"/>
                          </a:solidFill>
                          <a:ln w="9525">
                            <a:solidFill>
                              <a:srgbClr val="000000"/>
                            </a:solidFill>
                            <a:miter lim="800000"/>
                          </a:ln>
                        </wps:spPr>
                        <wps:txbx>
                          <w:txbxContent>
                            <w:p>
                              <w:pPr>
                                <w:jc w:val="center"/>
                                <w:rPr>
                                  <w:sz w:val="18"/>
                                </w:rPr>
                              </w:pPr>
                              <w:r>
                                <w:rPr>
                                  <w:rFonts w:hint="eastAsia"/>
                                  <w:sz w:val="18"/>
                                </w:rPr>
                                <w:t>入缸（池）</w:t>
                              </w:r>
                            </w:p>
                          </w:txbxContent>
                        </wps:txbx>
                        <wps:bodyPr rot="0" vert="horz" wrap="square" lIns="91440" tIns="45720" rIns="91440" bIns="45720" anchor="t" anchorCtr="false" upright="true">
                          <a:noAutofit/>
                        </wps:bodyPr>
                      </wps:wsp>
                      <wps:wsp>
                        <wps:cNvPr id="9" name="Rectangle 12"/>
                        <wps:cNvSpPr>
                          <a:spLocks noChangeArrowheads="true"/>
                        </wps:cNvSpPr>
                        <wps:spPr bwMode="auto">
                          <a:xfrm>
                            <a:off x="1562735" y="1713230"/>
                            <a:ext cx="676275" cy="303530"/>
                          </a:xfrm>
                          <a:prstGeom prst="rect">
                            <a:avLst/>
                          </a:prstGeom>
                          <a:solidFill>
                            <a:srgbClr val="FFFFFF"/>
                          </a:solidFill>
                          <a:ln w="9525">
                            <a:solidFill>
                              <a:srgbClr val="000000"/>
                            </a:solidFill>
                            <a:miter lim="800000"/>
                          </a:ln>
                        </wps:spPr>
                        <wps:txbx>
                          <w:txbxContent>
                            <w:p>
                              <w:pPr>
                                <w:jc w:val="center"/>
                                <w:rPr>
                                  <w:sz w:val="18"/>
                                </w:rPr>
                              </w:pPr>
                              <w:r>
                                <w:rPr>
                                  <w:rFonts w:hint="eastAsia"/>
                                  <w:sz w:val="18"/>
                                </w:rPr>
                                <w:t>拌合</w:t>
                              </w:r>
                            </w:p>
                          </w:txbxContent>
                        </wps:txbx>
                        <wps:bodyPr rot="0" vert="horz" wrap="square" lIns="91440" tIns="45720" rIns="91440" bIns="45720" anchor="t" anchorCtr="false" upright="true">
                          <a:noAutofit/>
                        </wps:bodyPr>
                      </wps:wsp>
                      <wps:wsp>
                        <wps:cNvPr id="10" name="Rectangle 13"/>
                        <wps:cNvSpPr>
                          <a:spLocks noChangeArrowheads="true"/>
                        </wps:cNvSpPr>
                        <wps:spPr bwMode="auto">
                          <a:xfrm>
                            <a:off x="2600325" y="1711960"/>
                            <a:ext cx="937895" cy="303530"/>
                          </a:xfrm>
                          <a:prstGeom prst="rect">
                            <a:avLst/>
                          </a:prstGeom>
                          <a:solidFill>
                            <a:srgbClr val="FFFFFF"/>
                          </a:solidFill>
                          <a:ln w="9525">
                            <a:solidFill>
                              <a:srgbClr val="000000"/>
                            </a:solidFill>
                            <a:miter lim="800000"/>
                          </a:ln>
                        </wps:spPr>
                        <wps:txbx>
                          <w:txbxContent>
                            <w:p>
                              <w:pPr>
                                <w:jc w:val="center"/>
                                <w:rPr>
                                  <w:sz w:val="18"/>
                                </w:rPr>
                              </w:pPr>
                              <w:r>
                                <w:rPr>
                                  <w:rFonts w:hint="eastAsia"/>
                                  <w:sz w:val="18"/>
                                </w:rPr>
                                <w:t>翻、晒、露</w:t>
                              </w:r>
                            </w:p>
                          </w:txbxContent>
                        </wps:txbx>
                        <wps:bodyPr rot="0" vert="horz" wrap="square" lIns="91440" tIns="45720" rIns="91440" bIns="45720" anchor="t" anchorCtr="false" upright="true">
                          <a:noAutofit/>
                        </wps:bodyPr>
                      </wps:wsp>
                      <wps:wsp>
                        <wps:cNvPr id="11" name="AutoShape 14"/>
                        <wps:cNvCnPr>
                          <a:cxnSpLocks noChangeShapeType="true"/>
                          <a:stCxn id="8" idx="3"/>
                          <a:endCxn id="9" idx="1"/>
                        </wps:cNvCnPr>
                        <wps:spPr bwMode="auto">
                          <a:xfrm>
                            <a:off x="1249045" y="1864360"/>
                            <a:ext cx="313690" cy="635"/>
                          </a:xfrm>
                          <a:prstGeom prst="straightConnector1">
                            <a:avLst/>
                          </a:prstGeom>
                          <a:noFill/>
                          <a:ln w="9525">
                            <a:solidFill>
                              <a:srgbClr val="000000"/>
                            </a:solidFill>
                            <a:round/>
                            <a:tailEnd type="triangle" w="med" len="med"/>
                          </a:ln>
                        </wps:spPr>
                        <wps:bodyPr/>
                      </wps:wsp>
                      <wps:wsp>
                        <wps:cNvPr id="12" name="AutoShape 15"/>
                        <wps:cNvCnPr>
                          <a:cxnSpLocks noChangeShapeType="true"/>
                          <a:stCxn id="9" idx="3"/>
                          <a:endCxn id="10" idx="1"/>
                        </wps:cNvCnPr>
                        <wps:spPr bwMode="auto">
                          <a:xfrm flipV="true">
                            <a:off x="2239010" y="1863725"/>
                            <a:ext cx="361315" cy="1270"/>
                          </a:xfrm>
                          <a:prstGeom prst="straightConnector1">
                            <a:avLst/>
                          </a:prstGeom>
                          <a:noFill/>
                          <a:ln w="9525">
                            <a:solidFill>
                              <a:srgbClr val="000000"/>
                            </a:solidFill>
                            <a:round/>
                            <a:tailEnd type="triangle" w="med" len="med"/>
                          </a:ln>
                        </wps:spPr>
                        <wps:bodyPr/>
                      </wps:wsp>
                      <wps:wsp>
                        <wps:cNvPr id="13" name="AutoShape 16"/>
                        <wps:cNvCnPr>
                          <a:cxnSpLocks noChangeShapeType="true"/>
                          <a:stCxn id="10" idx="3"/>
                          <a:endCxn id="14" idx="1"/>
                        </wps:cNvCnPr>
                        <wps:spPr bwMode="auto">
                          <a:xfrm flipV="true">
                            <a:off x="3538220" y="1861185"/>
                            <a:ext cx="362585" cy="2540"/>
                          </a:xfrm>
                          <a:prstGeom prst="straightConnector1">
                            <a:avLst/>
                          </a:prstGeom>
                          <a:noFill/>
                          <a:ln w="9525">
                            <a:solidFill>
                              <a:srgbClr val="000000"/>
                            </a:solidFill>
                            <a:round/>
                            <a:tailEnd type="triangle" w="med" len="med"/>
                          </a:ln>
                        </wps:spPr>
                        <wps:bodyPr/>
                      </wps:wsp>
                      <wps:wsp>
                        <wps:cNvPr id="14" name="Rectangle 17"/>
                        <wps:cNvSpPr>
                          <a:spLocks noChangeArrowheads="true"/>
                        </wps:cNvSpPr>
                        <wps:spPr bwMode="auto">
                          <a:xfrm>
                            <a:off x="3900805" y="1722120"/>
                            <a:ext cx="739140" cy="278130"/>
                          </a:xfrm>
                          <a:prstGeom prst="rect">
                            <a:avLst/>
                          </a:prstGeom>
                          <a:solidFill>
                            <a:schemeClr val="bg1">
                              <a:lumMod val="100000"/>
                              <a:lumOff val="0"/>
                            </a:schemeClr>
                          </a:solidFill>
                          <a:ln>
                            <a:noFill/>
                          </a:ln>
                        </wps:spPr>
                        <wps:txbx>
                          <w:txbxContent>
                            <w:p>
                              <w:pPr>
                                <w:jc w:val="center"/>
                                <w:rPr>
                                  <w:sz w:val="18"/>
                                </w:rPr>
                              </w:pPr>
                              <w:r>
                                <w:rPr>
                                  <w:rFonts w:hint="eastAsia"/>
                                  <w:sz w:val="18"/>
                                </w:rPr>
                                <w:t>郫县豆瓣</w:t>
                              </w:r>
                            </w:p>
                          </w:txbxContent>
                        </wps:txbx>
                        <wps:bodyPr rot="0" vert="horz" wrap="square" lIns="91440" tIns="45720" rIns="91440" bIns="45720" anchor="t" anchorCtr="false" upright="true">
                          <a:noAutofit/>
                        </wps:bodyPr>
                      </wps:wsp>
                      <wps:wsp>
                        <wps:cNvPr id="16" name="Rectangle 18"/>
                        <wps:cNvSpPr>
                          <a:spLocks noChangeArrowheads="true"/>
                        </wps:cNvSpPr>
                        <wps:spPr bwMode="auto">
                          <a:xfrm>
                            <a:off x="4434205" y="1020445"/>
                            <a:ext cx="464820" cy="285750"/>
                          </a:xfrm>
                          <a:prstGeom prst="rect">
                            <a:avLst/>
                          </a:prstGeom>
                          <a:solidFill>
                            <a:srgbClr val="FFFFFF"/>
                          </a:solidFill>
                          <a:ln w="9525">
                            <a:solidFill>
                              <a:srgbClr val="000000"/>
                            </a:solidFill>
                            <a:miter lim="800000"/>
                          </a:ln>
                        </wps:spPr>
                        <wps:txbx>
                          <w:txbxContent>
                            <w:p>
                              <w:pPr>
                                <w:jc w:val="center"/>
                                <w:rPr>
                                  <w:sz w:val="18"/>
                                </w:rPr>
                              </w:pPr>
                              <w:r>
                                <w:rPr>
                                  <w:rFonts w:hint="eastAsia"/>
                                  <w:sz w:val="18"/>
                                </w:rPr>
                                <w:t>发酵</w:t>
                              </w:r>
                            </w:p>
                          </w:txbxContent>
                        </wps:txbx>
                        <wps:bodyPr rot="0" vert="horz" wrap="square" lIns="91440" tIns="45720" rIns="91440" bIns="45720" anchor="t" anchorCtr="false" upright="true">
                          <a:noAutofit/>
                        </wps:bodyPr>
                      </wps:wsp>
                      <wps:wsp>
                        <wps:cNvPr id="17" name="AutoShape 19"/>
                        <wps:cNvCnPr>
                          <a:cxnSpLocks noChangeShapeType="true"/>
                        </wps:cNvCnPr>
                        <wps:spPr bwMode="auto">
                          <a:xfrm flipV="true">
                            <a:off x="4264025" y="1163955"/>
                            <a:ext cx="186690" cy="3810"/>
                          </a:xfrm>
                          <a:prstGeom prst="straightConnector1">
                            <a:avLst/>
                          </a:prstGeom>
                          <a:noFill/>
                          <a:ln w="9525">
                            <a:solidFill>
                              <a:srgbClr val="000000"/>
                            </a:solidFill>
                            <a:round/>
                            <a:tailEnd type="triangle" w="med" len="med"/>
                          </a:ln>
                        </wps:spPr>
                        <wps:bodyPr/>
                      </wps:wsp>
                      <wps:wsp>
                        <wps:cNvPr id="18" name="AutoShape 20"/>
                        <wps:cNvCnPr>
                          <a:cxnSpLocks noChangeShapeType="true"/>
                        </wps:cNvCnPr>
                        <wps:spPr bwMode="auto">
                          <a:xfrm>
                            <a:off x="438785" y="1163955"/>
                            <a:ext cx="207645" cy="8255"/>
                          </a:xfrm>
                          <a:prstGeom prst="straightConnector1">
                            <a:avLst/>
                          </a:prstGeom>
                          <a:noFill/>
                          <a:ln w="9525">
                            <a:solidFill>
                              <a:srgbClr val="000000"/>
                            </a:solidFill>
                            <a:round/>
                            <a:tailEnd type="triangle" w="med" len="med"/>
                          </a:ln>
                        </wps:spPr>
                        <wps:bodyPr/>
                      </wps:wsp>
                      <wps:wsp>
                        <wps:cNvPr id="19" name="Rectangle 21"/>
                        <wps:cNvSpPr>
                          <a:spLocks noChangeArrowheads="true"/>
                        </wps:cNvSpPr>
                        <wps:spPr bwMode="auto">
                          <a:xfrm>
                            <a:off x="3801110" y="1028700"/>
                            <a:ext cx="454660" cy="287020"/>
                          </a:xfrm>
                          <a:prstGeom prst="rect">
                            <a:avLst/>
                          </a:prstGeom>
                          <a:solidFill>
                            <a:srgbClr val="FFFFFF"/>
                          </a:solidFill>
                          <a:ln w="9525">
                            <a:solidFill>
                              <a:srgbClr val="000000"/>
                            </a:solidFill>
                            <a:miter lim="800000"/>
                          </a:ln>
                        </wps:spPr>
                        <wps:txbx>
                          <w:txbxContent>
                            <w:p>
                              <w:pPr>
                                <w:jc w:val="center"/>
                                <w:rPr>
                                  <w:sz w:val="18"/>
                                </w:rPr>
                              </w:pPr>
                              <w:r>
                                <w:rPr>
                                  <w:rFonts w:hint="eastAsia"/>
                                  <w:sz w:val="18"/>
                                </w:rPr>
                                <w:t>制曲</w:t>
                              </w:r>
                            </w:p>
                          </w:txbxContent>
                        </wps:txbx>
                        <wps:bodyPr rot="0" vert="horz" wrap="square" lIns="91440" tIns="45720" rIns="91440" bIns="45720" anchor="t" anchorCtr="false" upright="true">
                          <a:noAutofit/>
                        </wps:bodyPr>
                      </wps:wsp>
                      <wps:wsp>
                        <wps:cNvPr id="20" name="AutoShape 22"/>
                        <wps:cNvCnPr>
                          <a:cxnSpLocks noChangeShapeType="true"/>
                        </wps:cNvCnPr>
                        <wps:spPr bwMode="auto">
                          <a:xfrm flipV="true">
                            <a:off x="3554730" y="1163955"/>
                            <a:ext cx="254635" cy="8255"/>
                          </a:xfrm>
                          <a:prstGeom prst="straightConnector1">
                            <a:avLst/>
                          </a:prstGeom>
                          <a:noFill/>
                          <a:ln w="9525">
                            <a:solidFill>
                              <a:srgbClr val="000000"/>
                            </a:solidFill>
                            <a:round/>
                            <a:tailEnd type="triangle" w="med" len="med"/>
                          </a:ln>
                        </wps:spPr>
                        <wps:bodyPr/>
                      </wps:wsp>
                      <wps:wsp>
                        <wps:cNvPr id="21" name="AutoShape 23"/>
                        <wps:cNvCnPr>
                          <a:cxnSpLocks noChangeShapeType="true"/>
                          <a:stCxn id="4" idx="3"/>
                          <a:endCxn id="16" idx="3"/>
                        </wps:cNvCnPr>
                        <wps:spPr bwMode="auto">
                          <a:xfrm>
                            <a:off x="3947795" y="624205"/>
                            <a:ext cx="951230" cy="539115"/>
                          </a:xfrm>
                          <a:prstGeom prst="bentConnector3">
                            <a:avLst>
                              <a:gd name="adj1" fmla="val 124032"/>
                            </a:avLst>
                          </a:prstGeom>
                          <a:noFill/>
                          <a:ln w="9525">
                            <a:solidFill>
                              <a:srgbClr val="000000"/>
                            </a:solidFill>
                            <a:miter lim="800000"/>
                          </a:ln>
                        </wps:spPr>
                        <wps:bodyPr/>
                      </wps:wsp>
                      <wps:wsp>
                        <wps:cNvPr id="22" name="Rectangle 24"/>
                        <wps:cNvSpPr>
                          <a:spLocks noChangeArrowheads="true"/>
                        </wps:cNvSpPr>
                        <wps:spPr bwMode="auto">
                          <a:xfrm>
                            <a:off x="629920" y="1028700"/>
                            <a:ext cx="751840" cy="287020"/>
                          </a:xfrm>
                          <a:prstGeom prst="rect">
                            <a:avLst/>
                          </a:prstGeom>
                          <a:solidFill>
                            <a:srgbClr val="FFFFFF"/>
                          </a:solidFill>
                          <a:ln w="9525">
                            <a:solidFill>
                              <a:srgbClr val="000000"/>
                            </a:solidFill>
                            <a:miter lim="800000"/>
                          </a:ln>
                        </wps:spPr>
                        <wps:txbx>
                          <w:txbxContent>
                            <w:p>
                              <w:pPr>
                                <w:jc w:val="center"/>
                                <w:rPr>
                                  <w:sz w:val="18"/>
                                </w:rPr>
                              </w:pPr>
                              <w:r>
                                <w:rPr>
                                  <w:rFonts w:hint="eastAsia"/>
                                  <w:sz w:val="18"/>
                                </w:rPr>
                                <w:t>精选、脱壳</w:t>
                              </w:r>
                            </w:p>
                          </w:txbxContent>
                        </wps:txbx>
                        <wps:bodyPr rot="0" vert="horz" wrap="square" lIns="91440" tIns="45720" rIns="91440" bIns="45720" anchor="t" anchorCtr="false" upright="true">
                          <a:noAutofit/>
                        </wps:bodyPr>
                      </wps:wsp>
                      <wps:wsp>
                        <wps:cNvPr id="23" name="AutoShape 25"/>
                        <wps:cNvCnPr>
                          <a:cxnSpLocks noChangeShapeType="true"/>
                        </wps:cNvCnPr>
                        <wps:spPr bwMode="auto">
                          <a:xfrm>
                            <a:off x="1390015" y="1172210"/>
                            <a:ext cx="186690" cy="635"/>
                          </a:xfrm>
                          <a:prstGeom prst="straightConnector1">
                            <a:avLst/>
                          </a:prstGeom>
                          <a:noFill/>
                          <a:ln w="9525">
                            <a:solidFill>
                              <a:srgbClr val="000000"/>
                            </a:solidFill>
                            <a:round/>
                            <a:tailEnd type="triangle" w="med" len="med"/>
                          </a:ln>
                        </wps:spPr>
                        <wps:bodyPr/>
                      </wps:wsp>
                      <wps:wsp>
                        <wps:cNvPr id="24" name="Rectangle 26"/>
                        <wps:cNvSpPr>
                          <a:spLocks noChangeArrowheads="true"/>
                        </wps:cNvSpPr>
                        <wps:spPr bwMode="auto">
                          <a:xfrm>
                            <a:off x="1568450" y="1020445"/>
                            <a:ext cx="464820" cy="303530"/>
                          </a:xfrm>
                          <a:prstGeom prst="rect">
                            <a:avLst/>
                          </a:prstGeom>
                          <a:solidFill>
                            <a:srgbClr val="FFFFFF"/>
                          </a:solidFill>
                          <a:ln w="9525">
                            <a:solidFill>
                              <a:srgbClr val="000000"/>
                            </a:solidFill>
                            <a:miter lim="800000"/>
                          </a:ln>
                        </wps:spPr>
                        <wps:txbx>
                          <w:txbxContent>
                            <w:p>
                              <w:pPr>
                                <w:jc w:val="center"/>
                                <w:rPr>
                                  <w:sz w:val="18"/>
                                </w:rPr>
                              </w:pPr>
                              <w:r>
                                <w:rPr>
                                  <w:rFonts w:hint="eastAsia"/>
                                  <w:sz w:val="18"/>
                                </w:rPr>
                                <w:t>浸泡</w:t>
                              </w:r>
                            </w:p>
                          </w:txbxContent>
                        </wps:txbx>
                        <wps:bodyPr rot="0" vert="horz" wrap="square" lIns="91440" tIns="45720" rIns="91440" bIns="45720" anchor="t" anchorCtr="false" upright="true">
                          <a:noAutofit/>
                        </wps:bodyPr>
                      </wps:wsp>
                      <wps:wsp>
                        <wps:cNvPr id="25" name="AutoShape 27"/>
                        <wps:cNvCnPr>
                          <a:cxnSpLocks noChangeShapeType="true"/>
                        </wps:cNvCnPr>
                        <wps:spPr bwMode="auto">
                          <a:xfrm>
                            <a:off x="2033270" y="1172210"/>
                            <a:ext cx="194945" cy="8255"/>
                          </a:xfrm>
                          <a:prstGeom prst="straightConnector1">
                            <a:avLst/>
                          </a:prstGeom>
                          <a:noFill/>
                          <a:ln w="9525">
                            <a:solidFill>
                              <a:srgbClr val="000000"/>
                            </a:solidFill>
                            <a:round/>
                            <a:tailEnd type="triangle" w="med" len="med"/>
                          </a:ln>
                        </wps:spPr>
                        <wps:bodyPr/>
                      </wps:wsp>
                      <wps:wsp>
                        <wps:cNvPr id="26" name="Rectangle 28"/>
                        <wps:cNvSpPr>
                          <a:spLocks noChangeArrowheads="true"/>
                        </wps:cNvSpPr>
                        <wps:spPr bwMode="auto">
                          <a:xfrm>
                            <a:off x="2228215" y="1028700"/>
                            <a:ext cx="1326515" cy="303530"/>
                          </a:xfrm>
                          <a:prstGeom prst="rect">
                            <a:avLst/>
                          </a:prstGeom>
                          <a:solidFill>
                            <a:srgbClr val="FFFFFF"/>
                          </a:solidFill>
                          <a:ln w="9525">
                            <a:solidFill>
                              <a:srgbClr val="000000"/>
                            </a:solidFill>
                            <a:miter lim="800000"/>
                          </a:ln>
                        </wps:spPr>
                        <wps:txbx>
                          <w:txbxContent>
                            <w:p>
                              <w:pPr>
                                <w:jc w:val="center"/>
                                <w:rPr>
                                  <w:sz w:val="18"/>
                                </w:rPr>
                              </w:pPr>
                              <w:r>
                                <w:rPr>
                                  <w:rFonts w:hint="eastAsia"/>
                                  <w:sz w:val="18"/>
                                </w:rPr>
                                <w:t>拌小麦粉、接种米曲霉</w:t>
                              </w:r>
                            </w:p>
                          </w:txbxContent>
                        </wps:txbx>
                        <wps:bodyPr rot="0" vert="horz" wrap="square" lIns="91440" tIns="45720" rIns="91440" bIns="45720" anchor="t" anchorCtr="false" upright="true">
                          <a:noAutofit/>
                        </wps:bodyPr>
                      </wps:wsp>
                      <wps:wsp>
                        <wps:cNvPr id="30" name="AutoShape 29"/>
                        <wps:cNvCnPr>
                          <a:cxnSpLocks noChangeShapeType="true"/>
                        </wps:cNvCnPr>
                        <wps:spPr bwMode="auto">
                          <a:xfrm>
                            <a:off x="4986655" y="903605"/>
                            <a:ext cx="267335" cy="635"/>
                          </a:xfrm>
                          <a:prstGeom prst="straightConnector1">
                            <a:avLst/>
                          </a:prstGeom>
                          <a:noFill/>
                          <a:ln w="9525">
                            <a:solidFill>
                              <a:srgbClr val="000000"/>
                            </a:solidFill>
                            <a:round/>
                            <a:tailEnd type="triangle" w="med" len="med"/>
                          </a:ln>
                        </wps:spPr>
                        <wps:bodyPr/>
                      </wps:wsp>
                    </wpc:wpc>
                  </a:graphicData>
                </a:graphic>
              </wp:inline>
            </w:drawing>
          </mc:Choice>
          <mc:Fallback>
            <w:pict>
              <v:group id="画布 2" o:spid="_x0000_s1026" o:spt="203" style="height:179.45pt;width:416.95pt;" coordsize="5295265,2279015" editas="canvas" o:gfxdata="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">
                <o:lock v:ext="edit" aspectratio="f"/>
                <v:shape id="画布 2" o:spid="_x0000_s1026" style="position:absolute;left:0;top:0;height:2279015;width:5295265;" filled="f" stroked="t" coordsize="21600,21600" o:gfxdata="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">
                  <v:fill on="f" focussize="0,0"/>
                  <v:stroke color="#000000 [3229]" miterlimit="8" joinstyle="miter"/>
                  <v:imagedata o:title=""/>
                  <o:lock v:ext="edit" aspectratio="t"/>
                </v:shape>
                <v:rect id="Rectangle 4" o:spid="_x0000_s1026" o:spt="1" style="position:absolute;left:40640;top:488950;height:278130;width:548640;" fillcolor="#FFFFFF [3228]" filled="t" stroked="f" coordsize="21600,21600" o:gfxdata="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WAAAAZHJzL1BLAQIU&#10;ABQAAAAIAIdO4kBRP0n/1QAAAAUBAAAPAAAAAAAAAAEAIAAAADgAAABkcnMvZG93bnJldi54bWxQ&#10;SwECFAAUAAAACACHTuJApekfUh0CAAAuBAAADgAAAAAAAAABACAAAAA6AQAAZHJzL2Uyb0RvYy54&#10;bWxQSwUGAAAAAAYABgBZAQAAyQUAAAAA&#10;">
                  <v:fill on="t" focussize="0,0"/>
                  <v:stroke on="f"/>
                  <v:imagedata o:title=""/>
                  <o:lock v:ext="edit" aspectratio="f"/>
                  <v:textbox>
                    <w:txbxContent>
                      <w:p>
                        <w:pPr>
                          <w:jc w:val="center"/>
                          <w:rPr>
                            <w:sz w:val="18"/>
                          </w:rPr>
                        </w:pPr>
                        <w:r>
                          <w:rPr>
                            <w:rFonts w:hint="eastAsia"/>
                            <w:sz w:val="18"/>
                          </w:rPr>
                          <w:t>红辣椒</w:t>
                        </w:r>
                      </w:p>
                    </w:txbxContent>
                  </v:textbox>
                </v:rect>
                <v:rect id="Rectangle 5" o:spid="_x0000_s1026" o:spt="1" style="position:absolute;left:811530;top:472440;height:302260;width:733425;" fillcolor="#FFFFFF" filled="t" stroked="t" coordsize="21600,21600" o:gfxdata="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FgAAAGRycy9QSwEC&#10;FAAUAAAACACHTuJAW8aGodUAAAAFAQAADwAAAAAAAAABACAAAAA4AAAAZHJzL2Rvd25yZXYueG1s&#10;UEsBAhQAFAAAAAgAh07iQL0dMy4eAgAAQgQAAA4AAAAAAAAAAQAgAAAAOgEAAGRycy9lMm9Eb2Mu&#10;eG1sUEsFBgAAAAAGAAYAWQEAAMoFAAAAAA==&#10;">
                  <v:fill on="t" focussize="0,0"/>
                  <v:stroke color="#000000" miterlimit="8" joinstyle="miter"/>
                  <v:imagedata o:title=""/>
                  <o:lock v:ext="edit" aspectratio="f"/>
                  <v:textbox>
                    <w:txbxContent>
                      <w:p>
                        <w:pPr>
                          <w:jc w:val="center"/>
                          <w:rPr>
                            <w:sz w:val="18"/>
                          </w:rPr>
                        </w:pPr>
                        <w:r>
                          <w:rPr>
                            <w:rFonts w:hint="eastAsia"/>
                            <w:sz w:val="18"/>
                          </w:rPr>
                          <w:t>去蒂、清洗</w:t>
                        </w:r>
                      </w:p>
                    </w:txbxContent>
                  </v:textbox>
                </v:rect>
                <v:rect id="Rectangle 6" o:spid="_x0000_s1026" o:spt="1" style="position:absolute;left:1774825;top:472440;height:303530;width:1283970;" fillcolor="#FFFFFF" filled="t" stroked="t" coordsize="21600,21600" o:gfxdata="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">
                  <v:fill on="t" focussize="0,0"/>
                  <v:stroke color="#000000" miterlimit="8" joinstyle="miter"/>
                  <v:imagedata o:title=""/>
                  <o:lock v:ext="edit" aspectratio="f"/>
                  <v:textbox>
                    <w:txbxContent>
                      <w:p>
                        <w:pPr>
                          <w:jc w:val="center"/>
                          <w:rPr>
                            <w:sz w:val="18"/>
                          </w:rPr>
                        </w:pPr>
                        <w:r>
                          <w:rPr>
                            <w:rFonts w:hint="eastAsia"/>
                            <w:sz w:val="18"/>
                          </w:rPr>
                          <w:t>拌盐、轧碎、盐渍</w:t>
                        </w:r>
                      </w:p>
                    </w:txbxContent>
                  </v:textbox>
                </v:rect>
                <v:rect id="Rectangle 7" o:spid="_x0000_s1026" o:spt="1" style="position:absolute;left:3224530;top:472440;height:303530;width:723265;" fillcolor="#FFFFFF" filled="t" stroked="t" coordsize="21600,21600" o:gfxdata="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WAAAAZHJzL1BL&#10;AQIUABQAAAAIAIdO4kBbxoah1QAAAAUBAAAPAAAAAAAAAAEAIAAAADgAAABkcnMvZG93bnJldi54&#10;bWxQSwECFAAUAAAACACHTuJAqOlrDiACAABDBAAADgAAAAAAAAABACAAAAA6AQAAZHJzL2Uyb0Rv&#10;Yy54bWxQSwUGAAAAAAYABgBZAQAAzAUAAAAA&#10;">
                  <v:fill on="t" focussize="0,0"/>
                  <v:stroke color="#000000" miterlimit="8" joinstyle="miter"/>
                  <v:imagedata o:title=""/>
                  <o:lock v:ext="edit" aspectratio="f"/>
                  <v:textbox>
                    <w:txbxContent>
                      <w:p>
                        <w:pPr>
                          <w:jc w:val="center"/>
                          <w:rPr>
                            <w:sz w:val="18"/>
                          </w:rPr>
                        </w:pPr>
                        <w:r>
                          <w:rPr>
                            <w:rFonts w:hint="eastAsia"/>
                            <w:sz w:val="18"/>
                          </w:rPr>
                          <w:t>入池发酵</w:t>
                        </w:r>
                      </w:p>
                    </w:txbxContent>
                  </v:textbox>
                </v:rect>
                <v:shape id="AutoShape 8" o:spid="_x0000_s1026" o:spt="32" type="#_x0000_t32" style="position:absolute;left:589280;top:623570;flip:y;height:4445;width:222250;" filled="f" stroked="t" coordsize="21600,21600" o:gfxdata="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BYAAABkcnMvUEsBAhQAFAAAAAgAh07iQNkmU2/XAAAABQEAAA8AAAAAAAAA&#10;AQAgAAAAOAAAAGRycy9kb3ducmV2LnhtbFBLAQIUABQAAAAIAIdO4kAvELHW/AEAAOEDAAAOAAAA&#10;AAAAAAEAIAAAADwBAABkcnMvZTJvRG9jLnhtbFBLBQYAAAAABgAGAFkBAACqBQAAAAA=&#10;">
                  <v:fill on="f" focussize="0,0"/>
                  <v:stroke color="#000000" joinstyle="round" endarrow="block"/>
                  <v:imagedata o:title=""/>
                  <o:lock v:ext="edit" aspectratio="f"/>
                </v:shape>
                <v:shape id="AutoShape 9" o:spid="_x0000_s1026" o:spt="32" type="#_x0000_t32" style="position:absolute;left:1544955;top:623570;height:635;width:229870;" filled="f" stroked="t" coordsize="21600,21600" o:gfxdata="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WAAAAZHJzL1BLAQIUABQAAAAIAIdO4kDpunsR1wAAAAUBAAAPAAAAAAAAAAEAIAAA&#10;ADgAAABkcnMvZG93bnJldi54bWxQSwECFAAUAAAACACHTuJA26cjlPcBAADUAwAADgAAAAAAAAAB&#10;ACAAAAA8AQAAZHJzL2Uyb0RvYy54bWxQSwUGAAAAAAYABgBZAQAApQUAAAAA&#10;">
                  <v:fill on="f" focussize="0,0"/>
                  <v:stroke color="#000000" joinstyle="round" endarrow="block"/>
                  <v:imagedata o:title=""/>
                  <o:lock v:ext="edit" aspectratio="f"/>
                </v:shape>
                <v:shape id="AutoShape 10" o:spid="_x0000_s1026" o:spt="32" type="#_x0000_t32" style="position:absolute;left:3058795;top:624205;height:635;width:165735;" filled="f" stroked="t" coordsize="21600,21600" o:gfxdata="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WAAAAZHJzL1BLAQIUABQAAAAIAIdO4kDpunsR1wAAAAUBAAAPAAAAAAAAAAEAIAAA&#10;ADgAAABkcnMvZG93bnJldi54bWxQSwECFAAUAAAACACHTuJAJBCFDPcBAADVAwAADgAAAAAAAAAB&#10;ACAAAAA8AQAAZHJzL2Uyb0RvYy54bWxQSwUGAAAAAAYABgBZAQAApQUAAAAA&#10;">
                  <v:fill on="f" focussize="0,0"/>
                  <v:stroke color="#000000" joinstyle="round" endarrow="block"/>
                  <v:imagedata o:title=""/>
                  <o:lock v:ext="edit" aspectratio="f"/>
                </v:shape>
                <v:rect id="Rectangle 11" o:spid="_x0000_s1026" o:spt="1" style="position:absolute;left:356235;top:1713230;height:302260;width:892810;" fillcolor="#FFFFFF" filled="t" stroked="t" coordsize="21600,21600" o:gfxdata="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FgAAAGRy&#10;cy9QSwECFAAUAAAACACHTuJAW8aGodUAAAAFAQAADwAAAAAAAAABACAAAAA4AAAAZHJzL2Rvd25y&#10;ZXYueG1sUEsBAhQAFAAAAAgAh07iQIJ192skAgAARAQAAA4AAAAAAAAAAQAgAAAAOgEAAGRycy9l&#10;Mm9Eb2MueG1sUEsFBgAAAAAGAAYAWQEAANAFAAAAAA==&#10;">
                  <v:fill on="t" focussize="0,0"/>
                  <v:stroke color="#000000" miterlimit="8" joinstyle="miter"/>
                  <v:imagedata o:title=""/>
                  <o:lock v:ext="edit" aspectratio="f"/>
                  <v:textbox>
                    <w:txbxContent>
                      <w:p>
                        <w:pPr>
                          <w:jc w:val="center"/>
                          <w:rPr>
                            <w:sz w:val="18"/>
                          </w:rPr>
                        </w:pPr>
                        <w:r>
                          <w:rPr>
                            <w:rFonts w:hint="eastAsia"/>
                            <w:sz w:val="18"/>
                          </w:rPr>
                          <w:t>入缸（池）</w:t>
                        </w:r>
                      </w:p>
                    </w:txbxContent>
                  </v:textbox>
                </v:rect>
                <v:rect id="Rectangle 12" o:spid="_x0000_s1026" o:spt="1" style="position:absolute;left:1562735;top:1713230;height:303530;width:676275;" fillcolor="#FFFFFF" filled="t" stroked="t" coordsize="21600,21600" o:gfxdata="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">
                  <v:fill on="t" focussize="0,0"/>
                  <v:stroke color="#000000" miterlimit="8" joinstyle="miter"/>
                  <v:imagedata o:title=""/>
                  <o:lock v:ext="edit" aspectratio="f"/>
                  <v:textbox>
                    <w:txbxContent>
                      <w:p>
                        <w:pPr>
                          <w:jc w:val="center"/>
                          <w:rPr>
                            <w:sz w:val="18"/>
                          </w:rPr>
                        </w:pPr>
                        <w:r>
                          <w:rPr>
                            <w:rFonts w:hint="eastAsia"/>
                            <w:sz w:val="18"/>
                          </w:rPr>
                          <w:t>拌合</w:t>
                        </w:r>
                      </w:p>
                    </w:txbxContent>
                  </v:textbox>
                </v:rect>
                <v:rect id="Rectangle 13" o:spid="_x0000_s1026" o:spt="1" style="position:absolute;left:2600325;top:1711960;height:303530;width:937895;" fillcolor="#FFFFFF" filled="t" stroked="t" coordsize="21600,21600" o:gfxdata="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">
                  <v:fill on="t" focussize="0,0"/>
                  <v:stroke color="#000000" miterlimit="8" joinstyle="miter"/>
                  <v:imagedata o:title=""/>
                  <o:lock v:ext="edit" aspectratio="f"/>
                  <v:textbox>
                    <w:txbxContent>
                      <w:p>
                        <w:pPr>
                          <w:jc w:val="center"/>
                          <w:rPr>
                            <w:sz w:val="18"/>
                          </w:rPr>
                        </w:pPr>
                        <w:r>
                          <w:rPr>
                            <w:rFonts w:hint="eastAsia"/>
                            <w:sz w:val="18"/>
                          </w:rPr>
                          <w:t>翻、晒、露</w:t>
                        </w:r>
                      </w:p>
                    </w:txbxContent>
                  </v:textbox>
                </v:rect>
                <v:shape id="AutoShape 14" o:spid="_x0000_s1026" o:spt="32" type="#_x0000_t32" style="position:absolute;left:1249045;top:1864360;height:635;width:313690;" filled="f" stroked="t" coordsize="21600,21600" o:gfxdata="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WAAAAZHJzL1BLAQIUABQAAAAIAIdO4kDpunsR1wAAAAUBAAAPAAAAAAAAAAEA&#10;IAAAADgAAABkcnMvZG93bnJldi54bWxQSwECFAAUAAAACACHTuJA4ixks/oBAADXAwAADgAAAAAA&#10;AAABACAAAAA8AQAAZHJzL2Uyb0RvYy54bWxQSwUGAAAAAAYABgBZAQAAqAUAAAAA&#10;">
                  <v:fill on="f" focussize="0,0"/>
                  <v:stroke color="#000000" joinstyle="round" endarrow="block"/>
                  <v:imagedata o:title=""/>
                  <o:lock v:ext="edit" aspectratio="f"/>
                </v:shape>
                <v:shape id="AutoShape 15" o:spid="_x0000_s1026" o:spt="32" type="#_x0000_t32" style="position:absolute;left:2239010;top:1863725;flip:y;height:1270;width:361315;" filled="f" stroked="t" coordsize="21600,21600" o:gfxdata="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">
                  <v:fill on="f" focussize="0,0"/>
                  <v:stroke color="#000000" joinstyle="round" endarrow="block"/>
                  <v:imagedata o:title=""/>
                  <o:lock v:ext="edit" aspectratio="f"/>
                </v:shape>
                <v:shape id="AutoShape 16" o:spid="_x0000_s1026" o:spt="32" type="#_x0000_t32" style="position:absolute;left:3538220;top:1861185;flip:y;height:2540;width:362585;" filled="f" stroked="t" coordsize="21600,21600" o:gfxdata="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WAAAAZHJzL1BLAQIUABQAAAAIAIdO4kDZJlNv1wAAAAUBAAAPAAAA&#10;AAAAAAEAIAAAADgAAABkcnMvZG93bnJldi54bWxQSwECFAAUAAAACACHTuJAWjEbTQACAADnAwAA&#10;DgAAAAAAAAABACAAAAA8AQAAZHJzL2Uyb0RvYy54bWxQSwUGAAAAAAYABgBZAQAArgUAAAAA&#10;">
                  <v:fill on="f" focussize="0,0"/>
                  <v:stroke color="#000000" joinstyle="round" endarrow="block"/>
                  <v:imagedata o:title=""/>
                  <o:lock v:ext="edit" aspectratio="f"/>
                </v:shape>
                <v:rect id="Rectangle 17" o:spid="_x0000_s1026" o:spt="1" style="position:absolute;left:3900805;top:1722120;height:278130;width:739140;" fillcolor="#FFFFFF [3228]" filled="t" stroked="f" coordsize="21600,21600" o:gfxdata="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">
                  <v:fill on="t" focussize="0,0"/>
                  <v:stroke on="f"/>
                  <v:imagedata o:title=""/>
                  <o:lock v:ext="edit" aspectratio="f"/>
                  <v:textbox>
                    <w:txbxContent>
                      <w:p>
                        <w:pPr>
                          <w:jc w:val="center"/>
                          <w:rPr>
                            <w:sz w:val="18"/>
                          </w:rPr>
                        </w:pPr>
                        <w:r>
                          <w:rPr>
                            <w:rFonts w:hint="eastAsia"/>
                            <w:sz w:val="18"/>
                          </w:rPr>
                          <w:t>郫县豆瓣</w:t>
                        </w:r>
                      </w:p>
                    </w:txbxContent>
                  </v:textbox>
                </v:rect>
                <v:rect id="Rectangle 18" o:spid="_x0000_s1026" o:spt="1" style="position:absolute;left:4434205;top:1020445;height:285750;width:464820;" fillcolor="#FFFFFF" filled="t" stroked="t" coordsize="21600,21600" o:gfxdata="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BYAAABk&#10;cnMvUEsBAhQAFAAAAAgAh07iQFvGhqHVAAAABQEAAA8AAAAAAAAAAQAgAAAAOAAAAGRycy9kb3du&#10;cmV2LnhtbFBLAQIUABQAAAAIAIdO4kC9azSfJQIAAEYEAAAOAAAAAAAAAAEAIAAAADoBAABkcnMv&#10;ZTJvRG9jLnhtbFBLBQYAAAAABgAGAFkBAADRBQAAAAA=&#10;">
                  <v:fill on="t" focussize="0,0"/>
                  <v:stroke color="#000000" miterlimit="8" joinstyle="miter"/>
                  <v:imagedata o:title=""/>
                  <o:lock v:ext="edit" aspectratio="f"/>
                  <v:textbox>
                    <w:txbxContent>
                      <w:p>
                        <w:pPr>
                          <w:jc w:val="center"/>
                          <w:rPr>
                            <w:sz w:val="18"/>
                          </w:rPr>
                        </w:pPr>
                        <w:r>
                          <w:rPr>
                            <w:rFonts w:hint="eastAsia"/>
                            <w:sz w:val="18"/>
                          </w:rPr>
                          <w:t>发酵</w:t>
                        </w:r>
                      </w:p>
                    </w:txbxContent>
                  </v:textbox>
                </v:rect>
                <v:shape id="AutoShape 19" o:spid="_x0000_s1026" o:spt="32" type="#_x0000_t32" style="position:absolute;left:4264025;top:1163955;flip:y;height:3810;width:186690;" filled="f" stroked="t" coordsize="21600,21600" o:gfxdata="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FgAA&#10;AGRycy9QSwECFAAUAAAACACHTuJA2SZTb9cAAAAFAQAADwAAAAAAAAABACAAAAA4AAAAZHJzL2Rv&#10;d25yZXYueG1sUEsBAhQAFAAAAAgAh07iQFGj9fPsAQAAsgMAAA4AAAAAAAAAAQAgAAAAPAEAAGRy&#10;cy9lMm9Eb2MueG1sUEsFBgAAAAAGAAYAWQEAAJoFAAAAAA==&#10;">
                  <v:fill on="f" focussize="0,0"/>
                  <v:stroke color="#000000" joinstyle="round" endarrow="block"/>
                  <v:imagedata o:title=""/>
                  <o:lock v:ext="edit" aspectratio="f"/>
                </v:shape>
                <v:shape id="AutoShape 20" o:spid="_x0000_s1026" o:spt="32" type="#_x0000_t32" style="position:absolute;left:438785;top:1163955;height:8255;width:207645;" filled="f" stroked="t" coordsize="21600,21600" o:gfxdata="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FgAAAGRycy9Q&#10;SwECFAAUAAAACACHTuJA6bp7EdcAAAAFAQAADwAAAAAAAAABACAAAAA4AAAAZHJzL2Rvd25yZXYu&#10;eG1sUEsBAhQAFAAAAAgAh07iQNDhyf3mAQAApAMAAA4AAAAAAAAAAQAgAAAAPAEAAGRycy9lMm9E&#10;b2MueG1sUEsFBgAAAAAGAAYAWQEAAJQFAAAAAA==&#10;">
                  <v:fill on="f" focussize="0,0"/>
                  <v:stroke color="#000000" joinstyle="round" endarrow="block"/>
                  <v:imagedata o:title=""/>
                  <o:lock v:ext="edit" aspectratio="f"/>
                </v:shape>
                <v:rect id="Rectangle 21" o:spid="_x0000_s1026" o:spt="1" style="position:absolute;left:3801110;top:1028700;height:287020;width:454660;" fillcolor="#FFFFFF" filled="t" stroked="t" coordsize="21600,21600" o:gfxdata="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">
                  <v:fill on="t" focussize="0,0"/>
                  <v:stroke color="#000000" miterlimit="8" joinstyle="miter"/>
                  <v:imagedata o:title=""/>
                  <o:lock v:ext="edit" aspectratio="f"/>
                  <v:textbox>
                    <w:txbxContent>
                      <w:p>
                        <w:pPr>
                          <w:jc w:val="center"/>
                          <w:rPr>
                            <w:sz w:val="18"/>
                          </w:rPr>
                        </w:pPr>
                        <w:r>
                          <w:rPr>
                            <w:rFonts w:hint="eastAsia"/>
                            <w:sz w:val="18"/>
                          </w:rPr>
                          <w:t>制曲</w:t>
                        </w:r>
                      </w:p>
                    </w:txbxContent>
                  </v:textbox>
                </v:rect>
                <v:shape id="AutoShape 22" o:spid="_x0000_s1026" o:spt="32" type="#_x0000_t32" style="position:absolute;left:3554730;top:1163955;flip:y;height:8255;width:254635;" filled="f" stroked="t" coordsize="21600,21600" o:gfxdata="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BYA&#10;AABkcnMvUEsBAhQAFAAAAAgAh07iQNkmU2/XAAAABQEAAA8AAAAAAAAAAQAgAAAAOAAAAGRycy9k&#10;b3ducmV2LnhtbFBLAQIUABQAAAAIAIdO4kC54sJf7QEAALIDAAAOAAAAAAAAAAEAIAAAADwBAABk&#10;cnMvZTJvRG9jLnhtbFBLBQYAAAAABgAGAFkBAACbBQAAAAA=&#10;">
                  <v:fill on="f" focussize="0,0"/>
                  <v:stroke color="#000000" joinstyle="round" endarrow="block"/>
                  <v:imagedata o:title=""/>
                  <o:lock v:ext="edit" aspectratio="f"/>
                </v:shape>
                <v:shape id="AutoShape 23" o:spid="_x0000_s1026" o:spt="34" type="#_x0000_t34" style="position:absolute;left:3947795;top:624205;height:539115;width:951230;" filled="f" stroked="t" coordsize="21600,21600" o:gfxdata="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BYAAABkcnMvUEsBAhQAFAAAAAgAh07iQOGn8RzXAAAABQEAAA8AAAAAAAAA&#10;AQAgAAAAOAAAAGRycy9kb3ducmV2LnhtbFBLAQIUABQAAAAIAIdO4kCuW3ui/AEAAOMDAAAOAAAA&#10;AAAAAAEAIAAAADwBAABkcnMvZTJvRG9jLnhtbFBLBQYAAAAABgAGAFkBAACqBQAAAAA=&#10;" adj="26791">
                  <v:fill on="f" focussize="0,0"/>
                  <v:stroke color="#000000" miterlimit="8" joinstyle="miter"/>
                  <v:imagedata o:title=""/>
                  <o:lock v:ext="edit" aspectratio="f"/>
                </v:shape>
                <v:rect id="Rectangle 24" o:spid="_x0000_s1026" o:spt="1" style="position:absolute;left:629920;top:1028700;height:287020;width:751840;" fillcolor="#FFFFFF" filled="t" stroked="t" coordsize="21600,21600" o:gfxdata="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BYAAABkcnMvUEsB&#10;AhQAFAAAAAgAh07iQFvGhqHVAAAABQEAAA8AAAAAAAAAAQAgAAAAOAAAAGRycy9kb3ducmV2Lnht&#10;bFBLAQIUABQAAAAIAIdO4kBbzqiIHwIAAEUEAAAOAAAAAAAAAAEAIAAAADoBAABkcnMvZTJvRG9j&#10;LnhtbFBLBQYAAAAABgAGAFkBAADLBQAAAAA=&#10;">
                  <v:fill on="t" focussize="0,0"/>
                  <v:stroke color="#000000" miterlimit="8" joinstyle="miter"/>
                  <v:imagedata o:title=""/>
                  <o:lock v:ext="edit" aspectratio="f"/>
                  <v:textbox>
                    <w:txbxContent>
                      <w:p>
                        <w:pPr>
                          <w:jc w:val="center"/>
                          <w:rPr>
                            <w:sz w:val="18"/>
                          </w:rPr>
                        </w:pPr>
                        <w:r>
                          <w:rPr>
                            <w:rFonts w:hint="eastAsia"/>
                            <w:sz w:val="18"/>
                          </w:rPr>
                          <w:t>精选、脱壳</w:t>
                        </w:r>
                      </w:p>
                    </w:txbxContent>
                  </v:textbox>
                </v:rect>
                <v:shape id="AutoShape 25" o:spid="_x0000_s1026" o:spt="32" type="#_x0000_t32" style="position:absolute;left:1390015;top:1172210;height:635;width:186690;" filled="f" stroked="t" coordsize="21600,21600" o:gfxdata="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">
                  <v:fill on="f" focussize="0,0"/>
                  <v:stroke color="#000000" joinstyle="round" endarrow="block"/>
                  <v:imagedata o:title=""/>
                  <o:lock v:ext="edit" aspectratio="f"/>
                </v:shape>
                <v:rect id="Rectangle 26" o:spid="_x0000_s1026" o:spt="1" style="position:absolute;left:1568450;top:1020445;height:303530;width:464820;" fillcolor="#FFFFFF" filled="t" stroked="t" coordsize="21600,21600" o:gfxdata="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BYAAABk&#10;cnMvUEsBAhQAFAAAAAgAh07iQFvGhqHVAAAABQEAAA8AAAAAAAAAAQAgAAAAOAAAAGRycy9kb3du&#10;cmV2LnhtbFBLAQIUABQAAAAIAIdO4kA7fejjJQIAAEYEAAAOAAAAAAAAAAEAIAAAADoBAABkcnMv&#10;ZTJvRG9jLnhtbFBLBQYAAAAABgAGAFkBAADRBQAAAAA=&#10;">
                  <v:fill on="t" focussize="0,0"/>
                  <v:stroke color="#000000" miterlimit="8" joinstyle="miter"/>
                  <v:imagedata o:title=""/>
                  <o:lock v:ext="edit" aspectratio="f"/>
                  <v:textbox>
                    <w:txbxContent>
                      <w:p>
                        <w:pPr>
                          <w:jc w:val="center"/>
                          <w:rPr>
                            <w:sz w:val="18"/>
                          </w:rPr>
                        </w:pPr>
                        <w:r>
                          <w:rPr>
                            <w:rFonts w:hint="eastAsia"/>
                            <w:sz w:val="18"/>
                          </w:rPr>
                          <w:t>浸泡</w:t>
                        </w:r>
                      </w:p>
                    </w:txbxContent>
                  </v:textbox>
                </v:rect>
                <v:shape id="AutoShape 27" o:spid="_x0000_s1026" o:spt="32" type="#_x0000_t32" style="position:absolute;left:2033270;top:1172210;height:8255;width:194945;" filled="f" stroked="t" coordsize="21600,21600" o:gfxdata="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WAAAAZHJzL1BL&#10;AQIUABQAAAAIAIdO4kDpunsR1wAAAAUBAAAPAAAAAAAAAAEAIAAAADgAAABkcnMvZG93bnJldi54&#10;bWxQSwECFAAUAAAACACHTuJADcNEvOUBAAClAwAADgAAAAAAAAABACAAAAA8AQAAZHJzL2Uyb0Rv&#10;Yy54bWxQSwUGAAAAAAYABgBZAQAAkwUAAAAA&#10;">
                  <v:fill on="f" focussize="0,0"/>
                  <v:stroke color="#000000" joinstyle="round" endarrow="block"/>
                  <v:imagedata o:title=""/>
                  <o:lock v:ext="edit" aspectratio="f"/>
                </v:shape>
                <v:rect id="Rectangle 28" o:spid="_x0000_s1026" o:spt="1" style="position:absolute;left:2228215;top:1028700;height:303530;width:1326515;" fillcolor="#FFFFFF" filled="t" stroked="t" coordsize="21600,21600" o:gfxdata="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WAAAA&#10;ZHJzL1BLAQIUABQAAAAIAIdO4kBbxoah1QAAAAUBAAAPAAAAAAAAAAEAIAAAADgAAABkcnMvZG93&#10;bnJldi54bWxQSwECFAAUAAAACACHTuJAF/mWZCYCAABHBAAADgAAAAAAAAABACAAAAA6AQAAZHJz&#10;L2Uyb0RvYy54bWxQSwUGAAAAAAYABgBZAQAA0gUAAAAA&#10;">
                  <v:fill on="t" focussize="0,0"/>
                  <v:stroke color="#000000" miterlimit="8" joinstyle="miter"/>
                  <v:imagedata o:title=""/>
                  <o:lock v:ext="edit" aspectratio="f"/>
                  <v:textbox>
                    <w:txbxContent>
                      <w:p>
                        <w:pPr>
                          <w:jc w:val="center"/>
                          <w:rPr>
                            <w:sz w:val="18"/>
                          </w:rPr>
                        </w:pPr>
                        <w:r>
                          <w:rPr>
                            <w:rFonts w:hint="eastAsia"/>
                            <w:sz w:val="18"/>
                          </w:rPr>
                          <w:t>拌小麦粉、接种米曲霉</w:t>
                        </w:r>
                      </w:p>
                    </w:txbxContent>
                  </v:textbox>
                </v:rect>
                <v:shape id="AutoShape 29" o:spid="_x0000_s1026" o:spt="32" type="#_x0000_t32" style="position:absolute;left:4986655;top:903605;height:635;width:267335;" filled="f" stroked="t" coordsize="21600,21600" o:gfxdata="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">
                  <v:fill on="f" focussize="0,0"/>
                  <v:stroke color="#000000" joinstyle="round" endarrow="block"/>
                  <v:imagedata o:title=""/>
                  <o:lock v:ext="edit" aspectratio="f"/>
                </v:shape>
                <w10:wrap type="none"/>
                <w10:anchorlock/>
              </v:group>
            </w:pict>
          </mc:Fallback>
        </mc:AlternateContent>
      </w:r>
    </w:p>
    <w:p>
      <w:pPr>
        <w:spacing w:line="440" w:lineRule="exact"/>
        <w:jc w:val="center"/>
        <w:rPr>
          <w:rFonts w:ascii="Times New Roman" w:hAnsi="Times New Roman" w:eastAsia="宋体" w:cs="Times New Roman"/>
          <w:b/>
        </w:rPr>
      </w:pPr>
      <w:r>
        <w:rPr>
          <w:rFonts w:ascii="Times New Roman" w:hAnsi="Times New Roman" w:eastAsia="宋体" w:cs="Times New Roman"/>
          <w:b/>
        </w:rPr>
        <w:t>图</w:t>
      </w:r>
      <w:r>
        <w:rPr>
          <w:rFonts w:hint="eastAsia" w:ascii="Times New Roman" w:hAnsi="Times New Roman" w:eastAsia="宋体" w:cs="Times New Roman"/>
          <w:b/>
        </w:rPr>
        <w:t>4-3 其他盐渍类</w:t>
      </w:r>
      <w:r>
        <w:rPr>
          <w:rFonts w:ascii="Times New Roman" w:hAnsi="Times New Roman" w:eastAsia="宋体" w:cs="Times New Roman"/>
          <w:b/>
        </w:rPr>
        <w:t>企业生产工艺流程图</w:t>
      </w:r>
      <w:r>
        <w:rPr>
          <w:rFonts w:hint="eastAsia" w:ascii="Times New Roman" w:hAnsi="Times New Roman" w:eastAsia="宋体" w:cs="Times New Roman"/>
          <w:b/>
        </w:rPr>
        <w:t>（以郫县豆瓣为例）</w:t>
      </w:r>
    </w:p>
    <w:p>
      <w:pPr>
        <w:keepNext/>
        <w:keepLines/>
        <w:spacing w:before="156" w:beforeLines="50" w:after="156" w:afterLines="50" w:line="360" w:lineRule="auto"/>
        <w:jc w:val="left"/>
        <w:outlineLvl w:val="2"/>
        <w:rPr>
          <w:rFonts w:ascii="Times New Roman" w:hAnsi="Times New Roman" w:eastAsia="宋体" w:cs="Times New Roman"/>
          <w:b/>
          <w:bCs/>
          <w:sz w:val="24"/>
          <w:szCs w:val="32"/>
        </w:rPr>
      </w:pPr>
      <w:bookmarkStart w:id="16" w:name="_Toc76386094"/>
      <w:r>
        <w:rPr>
          <w:rFonts w:hint="eastAsia" w:ascii="Times New Roman" w:hAnsi="Times New Roman" w:eastAsia="宋体" w:cs="Times New Roman"/>
          <w:b/>
          <w:bCs/>
          <w:sz w:val="24"/>
          <w:szCs w:val="32"/>
        </w:rPr>
        <w:t>4.1.3原辅料消耗及产品生成</w:t>
      </w:r>
      <w:bookmarkEnd w:id="16"/>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四川泡菜工业化生产原辅料及产品生成见表4-1。</w:t>
      </w:r>
    </w:p>
    <w:p>
      <w:pPr>
        <w:spacing w:line="440" w:lineRule="exact"/>
        <w:jc w:val="center"/>
        <w:rPr>
          <w:rFonts w:ascii="Times New Roman" w:hAnsi="Times New Roman" w:eastAsia="宋体" w:cs="Times New Roman"/>
          <w:b/>
        </w:rPr>
      </w:pPr>
      <w:r>
        <w:rPr>
          <w:rFonts w:ascii="Times New Roman" w:hAnsi="Times New Roman" w:eastAsia="宋体" w:cs="Times New Roman"/>
          <w:b/>
        </w:rPr>
        <w:t>表</w:t>
      </w:r>
      <w:r>
        <w:rPr>
          <w:rFonts w:hint="eastAsia" w:ascii="Times New Roman" w:hAnsi="Times New Roman" w:eastAsia="宋体" w:cs="Times New Roman"/>
          <w:b/>
        </w:rPr>
        <w:t>4</w:t>
      </w:r>
      <w:r>
        <w:rPr>
          <w:rFonts w:ascii="Times New Roman" w:hAnsi="Times New Roman" w:eastAsia="宋体" w:cs="Times New Roman"/>
          <w:b/>
        </w:rPr>
        <w:t>-1</w:t>
      </w:r>
      <w:r>
        <w:rPr>
          <w:rFonts w:hint="eastAsia" w:ascii="Times New Roman" w:hAnsi="Times New Roman" w:eastAsia="宋体" w:cs="Times New Roman"/>
          <w:b/>
        </w:rPr>
        <w:t xml:space="preserve"> </w:t>
      </w:r>
      <w:r>
        <w:rPr>
          <w:rFonts w:ascii="Times New Roman" w:hAnsi="Times New Roman" w:eastAsia="宋体" w:cs="Times New Roman"/>
          <w:b/>
        </w:rPr>
        <w:t>泡菜的原辅材料及产品生成</w:t>
      </w:r>
    </w:p>
    <w:tbl>
      <w:tblPr>
        <w:tblStyle w:val="25"/>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59"/>
        <w:gridCol w:w="4394"/>
        <w:gridCol w:w="316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59" w:type="dxa"/>
            <w:vAlign w:val="center"/>
          </w:tcPr>
          <w:p>
            <w:pPr>
              <w:jc w:val="center"/>
              <w:rPr>
                <w:rFonts w:ascii="Times New Roman" w:hAnsi="Times New Roman" w:eastAsia="宋体" w:cs="Times New Roman"/>
                <w:b/>
                <w:sz w:val="18"/>
                <w:szCs w:val="22"/>
              </w:rPr>
            </w:pPr>
            <w:r>
              <w:rPr>
                <w:rFonts w:hint="eastAsia" w:ascii="Times New Roman" w:hAnsi="Times New Roman" w:eastAsia="宋体" w:cs="Times New Roman"/>
                <w:b/>
                <w:sz w:val="18"/>
                <w:szCs w:val="22"/>
              </w:rPr>
              <w:t>项目</w:t>
            </w:r>
          </w:p>
        </w:tc>
        <w:tc>
          <w:tcPr>
            <w:tcW w:w="4394" w:type="dxa"/>
            <w:vAlign w:val="center"/>
          </w:tcPr>
          <w:p>
            <w:pPr>
              <w:jc w:val="center"/>
              <w:rPr>
                <w:rFonts w:ascii="Times New Roman" w:hAnsi="Times New Roman" w:eastAsia="宋体" w:cs="Times New Roman"/>
                <w:b/>
                <w:sz w:val="18"/>
                <w:szCs w:val="22"/>
              </w:rPr>
            </w:pPr>
            <w:r>
              <w:rPr>
                <w:rFonts w:hint="eastAsia" w:ascii="Times New Roman" w:hAnsi="Times New Roman" w:eastAsia="宋体" w:cs="Times New Roman"/>
                <w:b/>
                <w:sz w:val="18"/>
                <w:szCs w:val="22"/>
              </w:rPr>
              <w:t>内容</w:t>
            </w:r>
          </w:p>
        </w:tc>
        <w:tc>
          <w:tcPr>
            <w:tcW w:w="3169" w:type="dxa"/>
            <w:vAlign w:val="center"/>
          </w:tcPr>
          <w:p>
            <w:pPr>
              <w:jc w:val="center"/>
              <w:rPr>
                <w:rFonts w:ascii="Times New Roman" w:hAnsi="Times New Roman" w:eastAsia="宋体" w:cs="Times New Roman"/>
                <w:b/>
                <w:sz w:val="18"/>
                <w:szCs w:val="22"/>
              </w:rPr>
            </w:pPr>
            <w:r>
              <w:rPr>
                <w:rFonts w:hint="eastAsia" w:ascii="Times New Roman" w:hAnsi="Times New Roman" w:eastAsia="宋体" w:cs="Times New Roman"/>
                <w:b/>
                <w:sz w:val="18"/>
                <w:szCs w:val="22"/>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59" w:type="dxa"/>
            <w:vAlign w:val="center"/>
          </w:tcPr>
          <w:p>
            <w:pPr>
              <w:jc w:val="center"/>
              <w:rPr>
                <w:rFonts w:ascii="Times New Roman" w:hAnsi="Times New Roman" w:eastAsia="宋体" w:cs="Times New Roman"/>
                <w:b/>
                <w:sz w:val="18"/>
                <w:szCs w:val="22"/>
              </w:rPr>
            </w:pPr>
            <w:r>
              <w:rPr>
                <w:rFonts w:hint="eastAsia" w:ascii="Times New Roman" w:hAnsi="Times New Roman" w:eastAsia="宋体" w:cs="Times New Roman"/>
                <w:b/>
                <w:sz w:val="18"/>
                <w:szCs w:val="22"/>
              </w:rPr>
              <w:t>原料</w:t>
            </w:r>
          </w:p>
        </w:tc>
        <w:tc>
          <w:tcPr>
            <w:tcW w:w="4394" w:type="dxa"/>
            <w:vAlign w:val="center"/>
          </w:tcPr>
          <w:p>
            <w:pPr>
              <w:jc w:val="left"/>
              <w:rPr>
                <w:rFonts w:ascii="Times New Roman" w:hAnsi="Times New Roman" w:eastAsia="宋体" w:cs="Times New Roman"/>
                <w:sz w:val="18"/>
                <w:szCs w:val="22"/>
              </w:rPr>
            </w:pPr>
            <w:r>
              <w:rPr>
                <w:rFonts w:hint="eastAsia" w:ascii="Times New Roman" w:hAnsi="Times New Roman" w:eastAsia="宋体" w:cs="Times New Roman"/>
                <w:sz w:val="18"/>
                <w:szCs w:val="22"/>
              </w:rPr>
              <w:t>菜根类、茎菜类、叶菜类、果菜类和花菜类等蔬菜以及鸡脚、鸭脚和猪皮等肉质品</w:t>
            </w:r>
          </w:p>
        </w:tc>
        <w:tc>
          <w:tcPr>
            <w:tcW w:w="3169" w:type="dxa"/>
            <w:vAlign w:val="center"/>
          </w:tcPr>
          <w:p>
            <w:pPr>
              <w:jc w:val="left"/>
              <w:rPr>
                <w:rFonts w:ascii="Times New Roman" w:hAnsi="Times New Roman" w:eastAsia="宋体" w:cs="Times New Roman"/>
                <w:sz w:val="18"/>
                <w:szCs w:val="22"/>
              </w:rPr>
            </w:pPr>
            <w:r>
              <w:rPr>
                <w:rFonts w:hint="eastAsia" w:ascii="Times New Roman" w:hAnsi="Times New Roman" w:eastAsia="宋体" w:cs="Times New Roman"/>
                <w:sz w:val="18"/>
                <w:szCs w:val="22"/>
              </w:rPr>
              <w:t>原料一般需干物质含量高，水分含量较低；加工不易发生色变；加工易保持蔬菜自身风味等特性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59" w:type="dxa"/>
            <w:vAlign w:val="center"/>
          </w:tcPr>
          <w:p>
            <w:pPr>
              <w:jc w:val="center"/>
              <w:rPr>
                <w:rFonts w:ascii="Times New Roman" w:hAnsi="Times New Roman" w:eastAsia="宋体" w:cs="Times New Roman"/>
                <w:b/>
                <w:sz w:val="18"/>
                <w:szCs w:val="22"/>
              </w:rPr>
            </w:pPr>
            <w:r>
              <w:rPr>
                <w:rFonts w:hint="eastAsia" w:ascii="Times New Roman" w:hAnsi="Times New Roman" w:eastAsia="宋体" w:cs="Times New Roman"/>
                <w:b/>
                <w:sz w:val="18"/>
                <w:szCs w:val="22"/>
              </w:rPr>
              <w:t>辅料</w:t>
            </w:r>
          </w:p>
        </w:tc>
        <w:tc>
          <w:tcPr>
            <w:tcW w:w="4394" w:type="dxa"/>
            <w:vAlign w:val="center"/>
          </w:tcPr>
          <w:p>
            <w:pPr>
              <w:jc w:val="left"/>
              <w:rPr>
                <w:rFonts w:ascii="Times New Roman" w:hAnsi="Times New Roman" w:eastAsia="宋体" w:cs="Times New Roman"/>
                <w:sz w:val="18"/>
                <w:szCs w:val="22"/>
              </w:rPr>
            </w:pPr>
            <w:r>
              <w:rPr>
                <w:rFonts w:hint="eastAsia" w:ascii="Times New Roman" w:hAnsi="Times New Roman" w:eastAsia="宋体" w:cs="Times New Roman"/>
                <w:sz w:val="18"/>
                <w:szCs w:val="22"/>
              </w:rPr>
              <w:t>酱油、食醋、味精、花椒、胡椒、八角、小茴香、桂皮等香辛料和调味料以及酸度调节剂、着色剂、抗氧化剂、甜味剂等食品添加剂</w:t>
            </w:r>
          </w:p>
        </w:tc>
        <w:tc>
          <w:tcPr>
            <w:tcW w:w="3169" w:type="dxa"/>
            <w:vAlign w:val="center"/>
          </w:tcPr>
          <w:p>
            <w:pPr>
              <w:jc w:val="left"/>
              <w:rPr>
                <w:rFonts w:ascii="Times New Roman" w:hAnsi="Times New Roman" w:eastAsia="宋体" w:cs="Times New Roman"/>
                <w:sz w:val="18"/>
                <w:szCs w:val="22"/>
              </w:rPr>
            </w:pPr>
            <w:r>
              <w:rPr>
                <w:rFonts w:hint="eastAsia" w:ascii="Times New Roman" w:hAnsi="Times New Roman" w:eastAsia="宋体" w:cs="Times New Roman"/>
                <w:sz w:val="18"/>
                <w:szCs w:val="22"/>
              </w:rPr>
              <w:t>辅料一般起</w:t>
            </w:r>
            <w:r>
              <w:rPr>
                <w:rFonts w:ascii="Times New Roman" w:hAnsi="Times New Roman" w:eastAsia="宋体" w:cs="Times New Roman"/>
                <w:sz w:val="18"/>
                <w:szCs w:val="22"/>
              </w:rPr>
              <w:t>调味、调色的作用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959" w:type="dxa"/>
            <w:vAlign w:val="center"/>
          </w:tcPr>
          <w:p>
            <w:pPr>
              <w:jc w:val="center"/>
              <w:rPr>
                <w:rFonts w:ascii="Times New Roman" w:hAnsi="Times New Roman" w:eastAsia="宋体" w:cs="Times New Roman"/>
                <w:b/>
                <w:sz w:val="18"/>
                <w:szCs w:val="22"/>
              </w:rPr>
            </w:pPr>
            <w:r>
              <w:rPr>
                <w:rFonts w:hint="eastAsia" w:ascii="Times New Roman" w:hAnsi="Times New Roman" w:eastAsia="宋体" w:cs="Times New Roman"/>
                <w:b/>
                <w:sz w:val="18"/>
                <w:szCs w:val="22"/>
              </w:rPr>
              <w:t>产品</w:t>
            </w:r>
          </w:p>
        </w:tc>
        <w:tc>
          <w:tcPr>
            <w:tcW w:w="4394" w:type="dxa"/>
            <w:vAlign w:val="center"/>
          </w:tcPr>
          <w:p>
            <w:pPr>
              <w:jc w:val="left"/>
              <w:rPr>
                <w:rFonts w:ascii="Times New Roman" w:hAnsi="Times New Roman" w:eastAsia="宋体" w:cs="Times New Roman"/>
                <w:sz w:val="18"/>
                <w:szCs w:val="22"/>
              </w:rPr>
            </w:pPr>
            <w:r>
              <w:rPr>
                <w:rFonts w:hint="eastAsia" w:ascii="Times New Roman" w:hAnsi="Times New Roman" w:eastAsia="宋体" w:cs="Times New Roman"/>
                <w:sz w:val="18"/>
                <w:szCs w:val="22"/>
              </w:rPr>
              <w:t>调味泡菜产品、爽口泡菜产品、低盐泡菜产品、乳酸功能菌泡菜产品、畜禽肉泡菜产品等</w:t>
            </w:r>
          </w:p>
        </w:tc>
        <w:tc>
          <w:tcPr>
            <w:tcW w:w="3169" w:type="dxa"/>
            <w:vAlign w:val="center"/>
          </w:tcPr>
          <w:p>
            <w:pPr>
              <w:jc w:val="left"/>
              <w:rPr>
                <w:rFonts w:ascii="Times New Roman" w:hAnsi="Times New Roman" w:eastAsia="宋体" w:cs="Times New Roman"/>
                <w:sz w:val="18"/>
                <w:szCs w:val="22"/>
              </w:rPr>
            </w:pPr>
          </w:p>
        </w:tc>
      </w:tr>
    </w:tbl>
    <w:p>
      <w:pPr>
        <w:keepNext/>
        <w:keepLines/>
        <w:spacing w:before="120" w:after="120" w:line="415" w:lineRule="auto"/>
        <w:jc w:val="left"/>
        <w:outlineLvl w:val="1"/>
        <w:rPr>
          <w:rFonts w:ascii="Times New Roman" w:hAnsi="Times New Roman" w:eastAsia="宋体" w:cs="Times New Roman"/>
          <w:b/>
          <w:bCs/>
          <w:sz w:val="30"/>
          <w:szCs w:val="32"/>
        </w:rPr>
      </w:pPr>
      <w:bookmarkStart w:id="17" w:name="_Toc76386095"/>
      <w:r>
        <w:rPr>
          <w:rFonts w:hint="eastAsia" w:ascii="Times New Roman" w:hAnsi="Times New Roman" w:eastAsia="宋体" w:cs="Times New Roman"/>
          <w:b/>
          <w:bCs/>
          <w:sz w:val="30"/>
          <w:szCs w:val="32"/>
        </w:rPr>
        <w:t>4.2行业排污现状</w:t>
      </w:r>
      <w:bookmarkEnd w:id="17"/>
    </w:p>
    <w:p>
      <w:pPr>
        <w:keepNext/>
        <w:keepLines/>
        <w:spacing w:before="156" w:beforeLines="50" w:after="156" w:afterLines="50" w:line="360" w:lineRule="auto"/>
        <w:jc w:val="left"/>
        <w:outlineLvl w:val="2"/>
        <w:rPr>
          <w:rFonts w:ascii="Times New Roman" w:hAnsi="Times New Roman" w:eastAsia="宋体" w:cs="Times New Roman"/>
          <w:b/>
          <w:bCs/>
          <w:sz w:val="24"/>
          <w:szCs w:val="32"/>
        </w:rPr>
      </w:pPr>
      <w:bookmarkStart w:id="18" w:name="_Toc76386096"/>
      <w:r>
        <w:rPr>
          <w:rFonts w:hint="eastAsia" w:ascii="Times New Roman" w:hAnsi="Times New Roman" w:eastAsia="宋体" w:cs="Times New Roman"/>
          <w:b/>
          <w:bCs/>
          <w:sz w:val="24"/>
          <w:szCs w:val="32"/>
        </w:rPr>
        <w:t>4.2.1 行业污染物产排情况</w:t>
      </w:r>
      <w:bookmarkEnd w:id="18"/>
    </w:p>
    <w:p>
      <w:pPr>
        <w:spacing w:line="360" w:lineRule="auto"/>
        <w:ind w:firstLine="561"/>
        <w:rPr>
          <w:rFonts w:ascii="Times New Roman" w:hAnsi="Times New Roman" w:eastAsia="宋体" w:cs="Times New Roman"/>
          <w:szCs w:val="22"/>
        </w:rPr>
        <w:sectPr>
          <w:footerReference r:id="rId9" w:type="default"/>
          <w:footerReference r:id="rId10" w:type="even"/>
          <w:pgSz w:w="11906" w:h="16838"/>
          <w:pgMar w:top="1440" w:right="1797" w:bottom="1440" w:left="1797" w:header="851" w:footer="992" w:gutter="0"/>
          <w:pgNumType w:start="1"/>
          <w:cols w:space="425" w:num="1"/>
          <w:docGrid w:type="lines" w:linePitch="312" w:charSpace="0"/>
        </w:sectPr>
      </w:pPr>
      <w:r>
        <w:rPr>
          <w:rFonts w:ascii="Times New Roman" w:hAnsi="Times New Roman" w:eastAsia="宋体" w:cs="Times New Roman"/>
          <w:szCs w:val="22"/>
        </w:rPr>
        <w:t>根据《四川省环境统计》数据，</w:t>
      </w:r>
      <w:r>
        <w:rPr>
          <w:rFonts w:hint="eastAsia" w:ascii="Times New Roman" w:hAnsi="Times New Roman" w:eastAsia="宋体" w:cs="Times New Roman"/>
          <w:szCs w:val="22"/>
        </w:rPr>
        <w:t>2018年，四川省规模以上蔬菜加工企业共计99家，工业废水排放量222.8万吨，COD、TN、TP、NH</w:t>
      </w:r>
      <w:r>
        <w:rPr>
          <w:rFonts w:hint="eastAsia" w:ascii="Times New Roman" w:hAnsi="Times New Roman" w:eastAsia="宋体" w:cs="Times New Roman"/>
          <w:szCs w:val="22"/>
          <w:vertAlign w:val="subscript"/>
        </w:rPr>
        <w:t>3</w:t>
      </w:r>
      <w:r>
        <w:rPr>
          <w:rFonts w:hint="eastAsia" w:ascii="Times New Roman" w:hAnsi="Times New Roman" w:eastAsia="宋体" w:cs="Times New Roman"/>
          <w:szCs w:val="22"/>
        </w:rPr>
        <w:t>-N产生量分别为9947吨、880吨、367吨、841吨；排放量分别为626吨、48吨、2.2吨、42吨。2018年四川省蔬菜加工企业污染物产生、排放量分布表见表4-2。其中废水排放量最大的前三位分别是眉山市、成都市和宜宾市，污染物COD排放量最大的前三位分别是眉山市、资阳市和成都市，污染物TN和</w:t>
      </w:r>
      <w:r>
        <w:rPr>
          <w:rFonts w:ascii="Times New Roman" w:hAnsi="Times New Roman" w:eastAsia="宋体" w:cs="Times New Roman"/>
          <w:szCs w:val="22"/>
        </w:rPr>
        <w:t>NH</w:t>
      </w:r>
      <w:r>
        <w:rPr>
          <w:rFonts w:ascii="Times New Roman" w:hAnsi="Times New Roman" w:eastAsia="宋体" w:cs="Times New Roman"/>
          <w:szCs w:val="22"/>
          <w:vertAlign w:val="subscript"/>
        </w:rPr>
        <w:t>3</w:t>
      </w:r>
      <w:r>
        <w:rPr>
          <w:rFonts w:ascii="Times New Roman" w:hAnsi="Times New Roman" w:eastAsia="宋体" w:cs="Times New Roman"/>
          <w:szCs w:val="22"/>
        </w:rPr>
        <w:t>-N</w:t>
      </w:r>
      <w:r>
        <w:rPr>
          <w:rFonts w:hint="eastAsia" w:ascii="Times New Roman" w:hAnsi="Times New Roman" w:eastAsia="宋体" w:cs="Times New Roman"/>
          <w:szCs w:val="22"/>
        </w:rPr>
        <w:t>排放量最大的前三位分别是眉山市、成都市和宜宾市。</w:t>
      </w:r>
    </w:p>
    <w:p>
      <w:pPr>
        <w:spacing w:line="440" w:lineRule="exact"/>
        <w:jc w:val="center"/>
        <w:rPr>
          <w:rFonts w:ascii="Times New Roman" w:hAnsi="Times New Roman" w:eastAsia="宋体" w:cs="Times New Roman"/>
          <w:b/>
        </w:rPr>
      </w:pPr>
      <w:r>
        <w:rPr>
          <w:rFonts w:ascii="Times New Roman" w:hAnsi="Times New Roman" w:eastAsia="宋体" w:cs="Times New Roman"/>
          <w:b/>
        </w:rPr>
        <w:t>表</w:t>
      </w:r>
      <w:r>
        <w:rPr>
          <w:rFonts w:hint="eastAsia" w:ascii="Times New Roman" w:hAnsi="Times New Roman" w:eastAsia="宋体" w:cs="Times New Roman"/>
          <w:b/>
        </w:rPr>
        <w:t>4</w:t>
      </w:r>
      <w:r>
        <w:rPr>
          <w:rFonts w:ascii="Times New Roman" w:hAnsi="Times New Roman" w:eastAsia="宋体" w:cs="Times New Roman"/>
          <w:b/>
        </w:rPr>
        <w:t>-2</w:t>
      </w:r>
      <w:r>
        <w:rPr>
          <w:rFonts w:hint="eastAsia" w:ascii="Times New Roman" w:hAnsi="Times New Roman" w:eastAsia="宋体" w:cs="Times New Roman"/>
          <w:b/>
        </w:rPr>
        <w:t xml:space="preserve"> 四川省蔬菜加工企业污染物产排情况统计表</w:t>
      </w:r>
    </w:p>
    <w:p>
      <w:pPr>
        <w:ind w:firstLine="560"/>
        <w:rPr>
          <w:rFonts w:ascii="Calibri" w:hAnsi="Calibri" w:eastAsia="宋体" w:cs="Times New Roman"/>
          <w:szCs w:val="22"/>
        </w:rPr>
      </w:pPr>
    </w:p>
    <w:tbl>
      <w:tblPr>
        <w:tblStyle w:val="25"/>
        <w:tblW w:w="5000" w:type="pct"/>
        <w:tblInd w:w="0" w:type="dxa"/>
        <w:tblLayout w:type="autofit"/>
        <w:tblCellMar>
          <w:top w:w="0" w:type="dxa"/>
          <w:left w:w="108" w:type="dxa"/>
          <w:bottom w:w="0" w:type="dxa"/>
          <w:right w:w="108" w:type="dxa"/>
        </w:tblCellMar>
      </w:tblPr>
      <w:tblGrid>
        <w:gridCol w:w="578"/>
        <w:gridCol w:w="756"/>
        <w:gridCol w:w="939"/>
        <w:gridCol w:w="1304"/>
        <w:gridCol w:w="1304"/>
        <w:gridCol w:w="1190"/>
        <w:gridCol w:w="1304"/>
        <w:gridCol w:w="961"/>
        <w:gridCol w:w="846"/>
        <w:gridCol w:w="852"/>
        <w:gridCol w:w="927"/>
        <w:gridCol w:w="846"/>
        <w:gridCol w:w="760"/>
        <w:gridCol w:w="847"/>
        <w:gridCol w:w="760"/>
      </w:tblGrid>
      <w:tr>
        <w:tblPrEx>
          <w:tblCellMar>
            <w:top w:w="0" w:type="dxa"/>
            <w:left w:w="108" w:type="dxa"/>
            <w:bottom w:w="0" w:type="dxa"/>
            <w:right w:w="108" w:type="dxa"/>
          </w:tblCellMar>
        </w:tblPrEx>
        <w:trPr>
          <w:trHeight w:val="810" w:hRule="atLeast"/>
        </w:trPr>
        <w:tc>
          <w:tcPr>
            <w:tcW w:w="188" w:type="pct"/>
            <w:tcBorders>
              <w:top w:val="single" w:color="auto" w:sz="4" w:space="0"/>
              <w:left w:val="single" w:color="auto" w:sz="4" w:space="0"/>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b/>
                <w:kern w:val="0"/>
                <w:sz w:val="18"/>
                <w:szCs w:val="22"/>
              </w:rPr>
            </w:pPr>
            <w:r>
              <w:rPr>
                <w:rFonts w:hint="eastAsia" w:ascii="Times New Roman" w:hAnsi="Times New Roman" w:eastAsia="宋体" w:cs="Times New Roman"/>
                <w:b/>
                <w:kern w:val="0"/>
                <w:sz w:val="18"/>
                <w:szCs w:val="22"/>
              </w:rPr>
              <w:t>序号</w:t>
            </w:r>
          </w:p>
        </w:tc>
        <w:tc>
          <w:tcPr>
            <w:tcW w:w="300" w:type="pct"/>
            <w:tcBorders>
              <w:top w:val="single" w:color="auto" w:sz="4" w:space="0"/>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b/>
                <w:kern w:val="0"/>
                <w:sz w:val="18"/>
                <w:szCs w:val="22"/>
              </w:rPr>
            </w:pPr>
            <w:r>
              <w:rPr>
                <w:rFonts w:hint="eastAsia" w:ascii="Times New Roman" w:hAnsi="Times New Roman" w:eastAsia="宋体" w:cs="Times New Roman"/>
                <w:b/>
                <w:kern w:val="0"/>
                <w:sz w:val="18"/>
                <w:szCs w:val="22"/>
              </w:rPr>
              <w:t>市州</w:t>
            </w:r>
          </w:p>
        </w:tc>
        <w:tc>
          <w:tcPr>
            <w:tcW w:w="300" w:type="pct"/>
            <w:tcBorders>
              <w:top w:val="single" w:color="auto" w:sz="4" w:space="0"/>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b/>
                <w:kern w:val="0"/>
                <w:sz w:val="18"/>
                <w:szCs w:val="22"/>
              </w:rPr>
            </w:pPr>
            <w:r>
              <w:rPr>
                <w:rFonts w:hint="eastAsia" w:ascii="Times New Roman" w:hAnsi="Times New Roman" w:eastAsia="宋体" w:cs="Times New Roman"/>
                <w:b/>
                <w:kern w:val="0"/>
                <w:sz w:val="18"/>
                <w:szCs w:val="22"/>
              </w:rPr>
              <w:t>企业数量</w:t>
            </w:r>
          </w:p>
          <w:p>
            <w:pPr>
              <w:jc w:val="center"/>
              <w:rPr>
                <w:rFonts w:ascii="Times New Roman" w:hAnsi="Times New Roman" w:eastAsia="宋体" w:cs="Times New Roman"/>
                <w:b/>
                <w:kern w:val="0"/>
                <w:sz w:val="18"/>
                <w:szCs w:val="22"/>
              </w:rPr>
            </w:pPr>
            <w:r>
              <w:rPr>
                <w:rFonts w:hint="eastAsia" w:ascii="Times New Roman" w:hAnsi="Times New Roman" w:eastAsia="宋体" w:cs="Times New Roman"/>
                <w:b/>
                <w:kern w:val="0"/>
                <w:sz w:val="18"/>
                <w:szCs w:val="22"/>
              </w:rPr>
              <w:t>（家）</w:t>
            </w:r>
          </w:p>
        </w:tc>
        <w:tc>
          <w:tcPr>
            <w:tcW w:w="400" w:type="pct"/>
            <w:tcBorders>
              <w:top w:val="single" w:color="auto" w:sz="4" w:space="0"/>
              <w:left w:val="nil"/>
              <w:bottom w:val="single" w:color="auto" w:sz="4" w:space="0"/>
              <w:right w:val="single" w:color="auto" w:sz="4" w:space="0"/>
            </w:tcBorders>
            <w:shd w:val="clear" w:color="auto" w:fill="auto"/>
            <w:vAlign w:val="center"/>
          </w:tcPr>
          <w:p>
            <w:pPr>
              <w:jc w:val="center"/>
              <w:rPr>
                <w:rFonts w:ascii="Times New Roman" w:hAnsi="Times New Roman" w:eastAsia="宋体" w:cs="Times New Roman"/>
                <w:b/>
                <w:bCs/>
                <w:kern w:val="0"/>
                <w:sz w:val="18"/>
                <w:szCs w:val="22"/>
              </w:rPr>
            </w:pPr>
            <w:r>
              <w:rPr>
                <w:rFonts w:hint="eastAsia" w:ascii="Times New Roman" w:hAnsi="Times New Roman" w:eastAsia="宋体" w:cs="Times New Roman"/>
                <w:b/>
                <w:bCs/>
                <w:kern w:val="0"/>
                <w:sz w:val="18"/>
                <w:szCs w:val="22"/>
              </w:rPr>
              <w:t>工业废水排放量（吨）</w:t>
            </w:r>
          </w:p>
        </w:tc>
        <w:tc>
          <w:tcPr>
            <w:tcW w:w="500" w:type="pct"/>
            <w:tcBorders>
              <w:top w:val="single" w:color="auto" w:sz="4" w:space="0"/>
              <w:left w:val="nil"/>
              <w:bottom w:val="single" w:color="auto" w:sz="4" w:space="0"/>
              <w:right w:val="single" w:color="auto" w:sz="4" w:space="0"/>
            </w:tcBorders>
            <w:shd w:val="clear" w:color="auto" w:fill="auto"/>
            <w:vAlign w:val="center"/>
          </w:tcPr>
          <w:p>
            <w:pPr>
              <w:jc w:val="center"/>
              <w:rPr>
                <w:rFonts w:ascii="Times New Roman" w:hAnsi="Times New Roman" w:eastAsia="宋体" w:cs="Times New Roman"/>
                <w:b/>
                <w:bCs/>
                <w:kern w:val="0"/>
                <w:sz w:val="18"/>
                <w:szCs w:val="22"/>
              </w:rPr>
            </w:pPr>
            <w:r>
              <w:rPr>
                <w:rFonts w:hint="eastAsia" w:ascii="Times New Roman" w:hAnsi="Times New Roman" w:eastAsia="宋体" w:cs="Times New Roman"/>
                <w:b/>
                <w:bCs/>
                <w:kern w:val="0"/>
                <w:sz w:val="18"/>
                <w:szCs w:val="22"/>
              </w:rPr>
              <w:t>其中：直接排入环境（吨）</w:t>
            </w:r>
          </w:p>
        </w:tc>
        <w:tc>
          <w:tcPr>
            <w:tcW w:w="399" w:type="pct"/>
            <w:tcBorders>
              <w:top w:val="single" w:color="auto" w:sz="4" w:space="0"/>
              <w:left w:val="nil"/>
              <w:bottom w:val="single" w:color="auto" w:sz="4" w:space="0"/>
              <w:right w:val="single" w:color="auto" w:sz="4" w:space="0"/>
            </w:tcBorders>
            <w:shd w:val="clear" w:color="auto" w:fill="auto"/>
            <w:vAlign w:val="center"/>
          </w:tcPr>
          <w:p>
            <w:pPr>
              <w:jc w:val="center"/>
              <w:rPr>
                <w:rFonts w:ascii="Times New Roman" w:hAnsi="Times New Roman" w:eastAsia="宋体" w:cs="Times New Roman"/>
                <w:b/>
                <w:bCs/>
                <w:kern w:val="0"/>
                <w:sz w:val="18"/>
                <w:szCs w:val="22"/>
              </w:rPr>
            </w:pPr>
            <w:r>
              <w:rPr>
                <w:rFonts w:hint="eastAsia" w:ascii="Times New Roman" w:hAnsi="Times New Roman" w:eastAsia="宋体" w:cs="Times New Roman"/>
                <w:b/>
                <w:bCs/>
                <w:kern w:val="0"/>
                <w:sz w:val="18"/>
                <w:szCs w:val="22"/>
              </w:rPr>
              <w:t>其中：排入污水处理厂（吨）</w:t>
            </w:r>
          </w:p>
        </w:tc>
        <w:tc>
          <w:tcPr>
            <w:tcW w:w="400" w:type="pct"/>
            <w:tcBorders>
              <w:top w:val="single" w:color="auto" w:sz="4" w:space="0"/>
              <w:left w:val="nil"/>
              <w:bottom w:val="single" w:color="auto" w:sz="4" w:space="0"/>
              <w:right w:val="single" w:color="auto" w:sz="4" w:space="0"/>
            </w:tcBorders>
            <w:shd w:val="clear" w:color="auto" w:fill="auto"/>
            <w:vAlign w:val="center"/>
          </w:tcPr>
          <w:p>
            <w:pPr>
              <w:jc w:val="center"/>
              <w:rPr>
                <w:rFonts w:ascii="Times New Roman" w:hAnsi="Times New Roman" w:eastAsia="宋体" w:cs="Times New Roman"/>
                <w:b/>
                <w:bCs/>
                <w:kern w:val="0"/>
                <w:sz w:val="18"/>
                <w:szCs w:val="22"/>
              </w:rPr>
            </w:pPr>
            <w:r>
              <w:rPr>
                <w:rFonts w:hint="eastAsia" w:ascii="Times New Roman" w:hAnsi="Times New Roman" w:eastAsia="宋体" w:cs="Times New Roman"/>
                <w:b/>
                <w:bCs/>
                <w:kern w:val="0"/>
                <w:sz w:val="18"/>
                <w:szCs w:val="22"/>
              </w:rPr>
              <w:t>工业废水处理量（吨）</w:t>
            </w:r>
          </w:p>
        </w:tc>
        <w:tc>
          <w:tcPr>
            <w:tcW w:w="350" w:type="pct"/>
            <w:tcBorders>
              <w:top w:val="single" w:color="auto" w:sz="4" w:space="0"/>
              <w:left w:val="nil"/>
              <w:bottom w:val="single" w:color="auto" w:sz="4" w:space="0"/>
              <w:right w:val="single" w:color="auto" w:sz="4" w:space="0"/>
            </w:tcBorders>
            <w:shd w:val="clear" w:color="auto" w:fill="auto"/>
            <w:vAlign w:val="center"/>
          </w:tcPr>
          <w:p>
            <w:pPr>
              <w:jc w:val="center"/>
              <w:rPr>
                <w:rFonts w:ascii="Times New Roman" w:hAnsi="Times New Roman" w:eastAsia="宋体" w:cs="Times New Roman"/>
                <w:b/>
                <w:bCs/>
                <w:kern w:val="0"/>
                <w:sz w:val="18"/>
                <w:szCs w:val="22"/>
              </w:rPr>
            </w:pPr>
            <w:r>
              <w:rPr>
                <w:rFonts w:hint="eastAsia" w:ascii="Times New Roman" w:hAnsi="Times New Roman" w:eastAsia="宋体" w:cs="Times New Roman"/>
                <w:b/>
                <w:bCs/>
                <w:kern w:val="0"/>
                <w:sz w:val="18"/>
                <w:szCs w:val="22"/>
              </w:rPr>
              <w:t>化学需氧量产生量（吨）</w:t>
            </w:r>
          </w:p>
        </w:tc>
        <w:tc>
          <w:tcPr>
            <w:tcW w:w="350" w:type="pct"/>
            <w:tcBorders>
              <w:top w:val="single" w:color="auto" w:sz="4" w:space="0"/>
              <w:left w:val="nil"/>
              <w:bottom w:val="single" w:color="auto" w:sz="4" w:space="0"/>
              <w:right w:val="single" w:color="auto" w:sz="4" w:space="0"/>
            </w:tcBorders>
            <w:shd w:val="clear" w:color="auto" w:fill="auto"/>
            <w:vAlign w:val="center"/>
          </w:tcPr>
          <w:p>
            <w:pPr>
              <w:jc w:val="center"/>
              <w:rPr>
                <w:rFonts w:ascii="Times New Roman" w:hAnsi="Times New Roman" w:eastAsia="宋体" w:cs="Times New Roman"/>
                <w:b/>
                <w:bCs/>
                <w:kern w:val="0"/>
                <w:sz w:val="18"/>
                <w:szCs w:val="22"/>
              </w:rPr>
            </w:pPr>
            <w:r>
              <w:rPr>
                <w:rFonts w:hint="eastAsia" w:ascii="Times New Roman" w:hAnsi="Times New Roman" w:eastAsia="宋体" w:cs="Times New Roman"/>
                <w:b/>
                <w:bCs/>
                <w:kern w:val="0"/>
                <w:sz w:val="18"/>
                <w:szCs w:val="22"/>
              </w:rPr>
              <w:t>化学需氧量排放量（吨）</w:t>
            </w:r>
          </w:p>
        </w:tc>
        <w:tc>
          <w:tcPr>
            <w:tcW w:w="350" w:type="pct"/>
            <w:tcBorders>
              <w:top w:val="single" w:color="auto" w:sz="4" w:space="0"/>
              <w:left w:val="nil"/>
              <w:bottom w:val="single" w:color="auto" w:sz="4" w:space="0"/>
              <w:right w:val="single" w:color="auto" w:sz="4" w:space="0"/>
            </w:tcBorders>
            <w:shd w:val="clear" w:color="auto" w:fill="auto"/>
            <w:vAlign w:val="center"/>
          </w:tcPr>
          <w:p>
            <w:pPr>
              <w:jc w:val="center"/>
              <w:rPr>
                <w:rFonts w:ascii="Times New Roman" w:hAnsi="Times New Roman" w:eastAsia="宋体" w:cs="Times New Roman"/>
                <w:b/>
                <w:bCs/>
                <w:kern w:val="0"/>
                <w:sz w:val="18"/>
                <w:szCs w:val="22"/>
              </w:rPr>
            </w:pPr>
            <w:r>
              <w:rPr>
                <w:rFonts w:hint="eastAsia" w:ascii="Times New Roman" w:hAnsi="Times New Roman" w:eastAsia="宋体" w:cs="Times New Roman"/>
                <w:b/>
                <w:bCs/>
                <w:kern w:val="0"/>
                <w:sz w:val="18"/>
                <w:szCs w:val="22"/>
              </w:rPr>
              <w:t>氨氮产生量（吨）</w:t>
            </w:r>
          </w:p>
        </w:tc>
        <w:tc>
          <w:tcPr>
            <w:tcW w:w="366" w:type="pct"/>
            <w:tcBorders>
              <w:top w:val="single" w:color="auto" w:sz="4" w:space="0"/>
              <w:left w:val="nil"/>
              <w:bottom w:val="single" w:color="auto" w:sz="4" w:space="0"/>
              <w:right w:val="single" w:color="auto" w:sz="4" w:space="0"/>
            </w:tcBorders>
            <w:shd w:val="clear" w:color="auto" w:fill="auto"/>
            <w:vAlign w:val="center"/>
          </w:tcPr>
          <w:p>
            <w:pPr>
              <w:jc w:val="center"/>
              <w:rPr>
                <w:rFonts w:ascii="Times New Roman" w:hAnsi="Times New Roman" w:eastAsia="宋体" w:cs="Times New Roman"/>
                <w:b/>
                <w:bCs/>
                <w:kern w:val="0"/>
                <w:sz w:val="18"/>
                <w:szCs w:val="22"/>
              </w:rPr>
            </w:pPr>
            <w:r>
              <w:rPr>
                <w:rFonts w:hint="eastAsia" w:ascii="Times New Roman" w:hAnsi="Times New Roman" w:eastAsia="宋体" w:cs="Times New Roman"/>
                <w:b/>
                <w:bCs/>
                <w:kern w:val="0"/>
                <w:sz w:val="18"/>
                <w:szCs w:val="22"/>
              </w:rPr>
              <w:t>氨氮排放量（吨）</w:t>
            </w:r>
          </w:p>
        </w:tc>
        <w:tc>
          <w:tcPr>
            <w:tcW w:w="276" w:type="pct"/>
            <w:tcBorders>
              <w:top w:val="single" w:color="auto" w:sz="4" w:space="0"/>
              <w:left w:val="nil"/>
              <w:bottom w:val="single" w:color="auto" w:sz="4" w:space="0"/>
              <w:right w:val="single" w:color="auto" w:sz="4" w:space="0"/>
            </w:tcBorders>
            <w:shd w:val="clear" w:color="auto" w:fill="auto"/>
            <w:vAlign w:val="center"/>
          </w:tcPr>
          <w:p>
            <w:pPr>
              <w:jc w:val="center"/>
              <w:rPr>
                <w:rFonts w:ascii="Times New Roman" w:hAnsi="Times New Roman" w:eastAsia="宋体" w:cs="Times New Roman"/>
                <w:b/>
                <w:bCs/>
                <w:kern w:val="0"/>
                <w:sz w:val="18"/>
                <w:szCs w:val="22"/>
              </w:rPr>
            </w:pPr>
            <w:r>
              <w:rPr>
                <w:rFonts w:hint="eastAsia" w:ascii="Times New Roman" w:hAnsi="Times New Roman" w:eastAsia="宋体" w:cs="Times New Roman"/>
                <w:b/>
                <w:bCs/>
                <w:kern w:val="0"/>
                <w:sz w:val="18"/>
                <w:szCs w:val="22"/>
              </w:rPr>
              <w:t>总氮产生量（吨）</w:t>
            </w:r>
          </w:p>
        </w:tc>
        <w:tc>
          <w:tcPr>
            <w:tcW w:w="276" w:type="pct"/>
            <w:tcBorders>
              <w:top w:val="single" w:color="auto" w:sz="4" w:space="0"/>
              <w:left w:val="nil"/>
              <w:bottom w:val="single" w:color="auto" w:sz="4" w:space="0"/>
              <w:right w:val="single" w:color="auto" w:sz="4" w:space="0"/>
            </w:tcBorders>
            <w:shd w:val="clear" w:color="auto" w:fill="auto"/>
            <w:vAlign w:val="center"/>
          </w:tcPr>
          <w:p>
            <w:pPr>
              <w:jc w:val="center"/>
              <w:rPr>
                <w:rFonts w:ascii="Times New Roman" w:hAnsi="Times New Roman" w:eastAsia="宋体" w:cs="Times New Roman"/>
                <w:b/>
                <w:bCs/>
                <w:kern w:val="0"/>
                <w:sz w:val="18"/>
                <w:szCs w:val="22"/>
              </w:rPr>
            </w:pPr>
            <w:r>
              <w:rPr>
                <w:rFonts w:hint="eastAsia" w:ascii="Times New Roman" w:hAnsi="Times New Roman" w:eastAsia="宋体" w:cs="Times New Roman"/>
                <w:b/>
                <w:bCs/>
                <w:kern w:val="0"/>
                <w:sz w:val="18"/>
                <w:szCs w:val="22"/>
              </w:rPr>
              <w:t>总氮排放量（吨）</w:t>
            </w:r>
          </w:p>
        </w:tc>
        <w:tc>
          <w:tcPr>
            <w:tcW w:w="276" w:type="pct"/>
            <w:tcBorders>
              <w:top w:val="single" w:color="auto" w:sz="4" w:space="0"/>
              <w:left w:val="nil"/>
              <w:bottom w:val="single" w:color="auto" w:sz="4" w:space="0"/>
              <w:right w:val="single" w:color="auto" w:sz="4" w:space="0"/>
            </w:tcBorders>
            <w:shd w:val="clear" w:color="auto" w:fill="auto"/>
            <w:vAlign w:val="center"/>
          </w:tcPr>
          <w:p>
            <w:pPr>
              <w:jc w:val="center"/>
              <w:rPr>
                <w:rFonts w:ascii="Times New Roman" w:hAnsi="Times New Roman" w:eastAsia="宋体" w:cs="Times New Roman"/>
                <w:b/>
                <w:bCs/>
                <w:kern w:val="0"/>
                <w:sz w:val="18"/>
                <w:szCs w:val="22"/>
              </w:rPr>
            </w:pPr>
            <w:r>
              <w:rPr>
                <w:rFonts w:hint="eastAsia" w:ascii="Times New Roman" w:hAnsi="Times New Roman" w:eastAsia="宋体" w:cs="Times New Roman"/>
                <w:b/>
                <w:bCs/>
                <w:kern w:val="0"/>
                <w:sz w:val="18"/>
                <w:szCs w:val="22"/>
              </w:rPr>
              <w:t>总磷产生量（吨）</w:t>
            </w:r>
          </w:p>
        </w:tc>
        <w:tc>
          <w:tcPr>
            <w:tcW w:w="268" w:type="pct"/>
            <w:tcBorders>
              <w:top w:val="single" w:color="auto" w:sz="4" w:space="0"/>
              <w:left w:val="nil"/>
              <w:bottom w:val="single" w:color="auto" w:sz="4" w:space="0"/>
              <w:right w:val="single" w:color="auto" w:sz="4" w:space="0"/>
            </w:tcBorders>
            <w:shd w:val="clear" w:color="auto" w:fill="auto"/>
            <w:vAlign w:val="center"/>
          </w:tcPr>
          <w:p>
            <w:pPr>
              <w:jc w:val="center"/>
              <w:rPr>
                <w:rFonts w:ascii="Times New Roman" w:hAnsi="Times New Roman" w:eastAsia="宋体" w:cs="Times New Roman"/>
                <w:b/>
                <w:bCs/>
                <w:kern w:val="0"/>
                <w:sz w:val="18"/>
                <w:szCs w:val="22"/>
              </w:rPr>
            </w:pPr>
            <w:r>
              <w:rPr>
                <w:rFonts w:hint="eastAsia" w:ascii="Times New Roman" w:hAnsi="Times New Roman" w:eastAsia="宋体" w:cs="Times New Roman"/>
                <w:b/>
                <w:bCs/>
                <w:kern w:val="0"/>
                <w:sz w:val="18"/>
                <w:szCs w:val="22"/>
              </w:rPr>
              <w:t>总磷排放量（吨）</w:t>
            </w:r>
          </w:p>
        </w:tc>
      </w:tr>
      <w:tr>
        <w:tblPrEx>
          <w:tblCellMar>
            <w:top w:w="0" w:type="dxa"/>
            <w:left w:w="108" w:type="dxa"/>
            <w:bottom w:w="0" w:type="dxa"/>
            <w:right w:w="108" w:type="dxa"/>
          </w:tblCellMar>
        </w:tblPrEx>
        <w:trPr>
          <w:trHeight w:val="270" w:hRule="atLeast"/>
        </w:trPr>
        <w:tc>
          <w:tcPr>
            <w:tcW w:w="188" w:type="pct"/>
            <w:tcBorders>
              <w:top w:val="nil"/>
              <w:left w:val="single" w:color="auto" w:sz="4" w:space="0"/>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w:t>
            </w:r>
          </w:p>
        </w:tc>
        <w:tc>
          <w:tcPr>
            <w:tcW w:w="3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眉山市</w:t>
            </w:r>
          </w:p>
        </w:tc>
        <w:tc>
          <w:tcPr>
            <w:tcW w:w="3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25</w:t>
            </w:r>
          </w:p>
        </w:tc>
        <w:tc>
          <w:tcPr>
            <w:tcW w:w="4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1549988.54</w:t>
            </w:r>
          </w:p>
        </w:tc>
        <w:tc>
          <w:tcPr>
            <w:tcW w:w="5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959087.25</w:t>
            </w:r>
          </w:p>
        </w:tc>
        <w:tc>
          <w:tcPr>
            <w:tcW w:w="399"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590901.29</w:t>
            </w:r>
          </w:p>
        </w:tc>
        <w:tc>
          <w:tcPr>
            <w:tcW w:w="4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1532443.54</w:t>
            </w:r>
          </w:p>
        </w:tc>
        <w:tc>
          <w:tcPr>
            <w:tcW w:w="35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7611.46</w:t>
            </w:r>
          </w:p>
        </w:tc>
        <w:tc>
          <w:tcPr>
            <w:tcW w:w="35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455.64</w:t>
            </w:r>
          </w:p>
        </w:tc>
        <w:tc>
          <w:tcPr>
            <w:tcW w:w="35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769.90</w:t>
            </w:r>
          </w:p>
        </w:tc>
        <w:tc>
          <w:tcPr>
            <w:tcW w:w="366"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30.71</w:t>
            </w:r>
          </w:p>
        </w:tc>
        <w:tc>
          <w:tcPr>
            <w:tcW w:w="276"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788.24</w:t>
            </w:r>
          </w:p>
        </w:tc>
        <w:tc>
          <w:tcPr>
            <w:tcW w:w="276"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31.44</w:t>
            </w:r>
          </w:p>
        </w:tc>
        <w:tc>
          <w:tcPr>
            <w:tcW w:w="276"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363.63</w:t>
            </w:r>
          </w:p>
        </w:tc>
        <w:tc>
          <w:tcPr>
            <w:tcW w:w="268"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1.79</w:t>
            </w:r>
          </w:p>
        </w:tc>
      </w:tr>
      <w:tr>
        <w:tblPrEx>
          <w:tblCellMar>
            <w:top w:w="0" w:type="dxa"/>
            <w:left w:w="108" w:type="dxa"/>
            <w:bottom w:w="0" w:type="dxa"/>
            <w:right w:w="108" w:type="dxa"/>
          </w:tblCellMar>
        </w:tblPrEx>
        <w:trPr>
          <w:trHeight w:val="270" w:hRule="atLeast"/>
        </w:trPr>
        <w:tc>
          <w:tcPr>
            <w:tcW w:w="188" w:type="pct"/>
            <w:tcBorders>
              <w:top w:val="nil"/>
              <w:left w:val="single" w:color="auto" w:sz="4" w:space="0"/>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2</w:t>
            </w:r>
          </w:p>
        </w:tc>
        <w:tc>
          <w:tcPr>
            <w:tcW w:w="3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宜宾市</w:t>
            </w:r>
          </w:p>
        </w:tc>
        <w:tc>
          <w:tcPr>
            <w:tcW w:w="3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19</w:t>
            </w:r>
          </w:p>
        </w:tc>
        <w:tc>
          <w:tcPr>
            <w:tcW w:w="4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150422.00</w:t>
            </w:r>
          </w:p>
        </w:tc>
        <w:tc>
          <w:tcPr>
            <w:tcW w:w="5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145692.00</w:t>
            </w:r>
          </w:p>
        </w:tc>
        <w:tc>
          <w:tcPr>
            <w:tcW w:w="399"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4730.00</w:t>
            </w:r>
          </w:p>
        </w:tc>
        <w:tc>
          <w:tcPr>
            <w:tcW w:w="4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150422.00</w:t>
            </w:r>
          </w:p>
        </w:tc>
        <w:tc>
          <w:tcPr>
            <w:tcW w:w="35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360.87</w:t>
            </w:r>
          </w:p>
        </w:tc>
        <w:tc>
          <w:tcPr>
            <w:tcW w:w="35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29.16</w:t>
            </w:r>
          </w:p>
        </w:tc>
        <w:tc>
          <w:tcPr>
            <w:tcW w:w="35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34.65</w:t>
            </w:r>
          </w:p>
        </w:tc>
        <w:tc>
          <w:tcPr>
            <w:tcW w:w="366"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4.93</w:t>
            </w:r>
          </w:p>
        </w:tc>
        <w:tc>
          <w:tcPr>
            <w:tcW w:w="276"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44.28</w:t>
            </w:r>
          </w:p>
        </w:tc>
        <w:tc>
          <w:tcPr>
            <w:tcW w:w="276"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7.65</w:t>
            </w:r>
          </w:p>
        </w:tc>
        <w:tc>
          <w:tcPr>
            <w:tcW w:w="276"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3.30</w:t>
            </w:r>
          </w:p>
        </w:tc>
        <w:tc>
          <w:tcPr>
            <w:tcW w:w="268"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0.36</w:t>
            </w:r>
          </w:p>
        </w:tc>
      </w:tr>
      <w:tr>
        <w:tblPrEx>
          <w:tblCellMar>
            <w:top w:w="0" w:type="dxa"/>
            <w:left w:w="108" w:type="dxa"/>
            <w:bottom w:w="0" w:type="dxa"/>
            <w:right w:w="108" w:type="dxa"/>
          </w:tblCellMar>
        </w:tblPrEx>
        <w:trPr>
          <w:trHeight w:val="270" w:hRule="atLeast"/>
        </w:trPr>
        <w:tc>
          <w:tcPr>
            <w:tcW w:w="188" w:type="pct"/>
            <w:tcBorders>
              <w:top w:val="nil"/>
              <w:left w:val="single" w:color="auto" w:sz="4" w:space="0"/>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3</w:t>
            </w:r>
          </w:p>
        </w:tc>
        <w:tc>
          <w:tcPr>
            <w:tcW w:w="3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成都市</w:t>
            </w:r>
          </w:p>
        </w:tc>
        <w:tc>
          <w:tcPr>
            <w:tcW w:w="3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17</w:t>
            </w:r>
          </w:p>
        </w:tc>
        <w:tc>
          <w:tcPr>
            <w:tcW w:w="4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245896.68</w:t>
            </w:r>
          </w:p>
        </w:tc>
        <w:tc>
          <w:tcPr>
            <w:tcW w:w="5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173041.60</w:t>
            </w:r>
          </w:p>
        </w:tc>
        <w:tc>
          <w:tcPr>
            <w:tcW w:w="399"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72855.08</w:t>
            </w:r>
          </w:p>
        </w:tc>
        <w:tc>
          <w:tcPr>
            <w:tcW w:w="4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245896.68</w:t>
            </w:r>
          </w:p>
        </w:tc>
        <w:tc>
          <w:tcPr>
            <w:tcW w:w="35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440.53</w:t>
            </w:r>
          </w:p>
        </w:tc>
        <w:tc>
          <w:tcPr>
            <w:tcW w:w="35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31.73</w:t>
            </w:r>
          </w:p>
        </w:tc>
        <w:tc>
          <w:tcPr>
            <w:tcW w:w="35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15.40</w:t>
            </w:r>
          </w:p>
        </w:tc>
        <w:tc>
          <w:tcPr>
            <w:tcW w:w="366"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1.67</w:t>
            </w:r>
          </w:p>
        </w:tc>
        <w:tc>
          <w:tcPr>
            <w:tcW w:w="276"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16.75</w:t>
            </w:r>
          </w:p>
        </w:tc>
        <w:tc>
          <w:tcPr>
            <w:tcW w:w="276"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2.23</w:t>
            </w:r>
          </w:p>
        </w:tc>
        <w:tc>
          <w:tcPr>
            <w:tcW w:w="276"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0.50</w:t>
            </w:r>
          </w:p>
        </w:tc>
        <w:tc>
          <w:tcPr>
            <w:tcW w:w="268"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0.05</w:t>
            </w:r>
          </w:p>
        </w:tc>
      </w:tr>
      <w:tr>
        <w:tblPrEx>
          <w:tblCellMar>
            <w:top w:w="0" w:type="dxa"/>
            <w:left w:w="108" w:type="dxa"/>
            <w:bottom w:w="0" w:type="dxa"/>
            <w:right w:w="108" w:type="dxa"/>
          </w:tblCellMar>
        </w:tblPrEx>
        <w:trPr>
          <w:trHeight w:val="270" w:hRule="atLeast"/>
        </w:trPr>
        <w:tc>
          <w:tcPr>
            <w:tcW w:w="188" w:type="pct"/>
            <w:tcBorders>
              <w:top w:val="nil"/>
              <w:left w:val="single" w:color="auto" w:sz="4" w:space="0"/>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4</w:t>
            </w:r>
          </w:p>
        </w:tc>
        <w:tc>
          <w:tcPr>
            <w:tcW w:w="3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资阳市</w:t>
            </w:r>
          </w:p>
        </w:tc>
        <w:tc>
          <w:tcPr>
            <w:tcW w:w="3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16</w:t>
            </w:r>
          </w:p>
        </w:tc>
        <w:tc>
          <w:tcPr>
            <w:tcW w:w="4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68699.40</w:t>
            </w:r>
          </w:p>
        </w:tc>
        <w:tc>
          <w:tcPr>
            <w:tcW w:w="5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68699.40</w:t>
            </w:r>
          </w:p>
        </w:tc>
        <w:tc>
          <w:tcPr>
            <w:tcW w:w="399"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p>
        </w:tc>
        <w:tc>
          <w:tcPr>
            <w:tcW w:w="4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76002.30</w:t>
            </w:r>
          </w:p>
        </w:tc>
        <w:tc>
          <w:tcPr>
            <w:tcW w:w="35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689.29</w:t>
            </w:r>
          </w:p>
        </w:tc>
        <w:tc>
          <w:tcPr>
            <w:tcW w:w="35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38.33</w:t>
            </w:r>
          </w:p>
        </w:tc>
        <w:tc>
          <w:tcPr>
            <w:tcW w:w="35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p>
        </w:tc>
        <w:tc>
          <w:tcPr>
            <w:tcW w:w="366"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p>
        </w:tc>
        <w:tc>
          <w:tcPr>
            <w:tcW w:w="276"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p>
        </w:tc>
        <w:tc>
          <w:tcPr>
            <w:tcW w:w="276"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p>
        </w:tc>
        <w:tc>
          <w:tcPr>
            <w:tcW w:w="276"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p>
        </w:tc>
        <w:tc>
          <w:tcPr>
            <w:tcW w:w="268"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p>
        </w:tc>
      </w:tr>
      <w:tr>
        <w:tblPrEx>
          <w:tblCellMar>
            <w:top w:w="0" w:type="dxa"/>
            <w:left w:w="108" w:type="dxa"/>
            <w:bottom w:w="0" w:type="dxa"/>
            <w:right w:w="108" w:type="dxa"/>
          </w:tblCellMar>
        </w:tblPrEx>
        <w:trPr>
          <w:trHeight w:val="270" w:hRule="atLeast"/>
        </w:trPr>
        <w:tc>
          <w:tcPr>
            <w:tcW w:w="188" w:type="pct"/>
            <w:tcBorders>
              <w:top w:val="nil"/>
              <w:left w:val="single" w:color="auto" w:sz="4" w:space="0"/>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5</w:t>
            </w:r>
          </w:p>
        </w:tc>
        <w:tc>
          <w:tcPr>
            <w:tcW w:w="3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广元市</w:t>
            </w:r>
          </w:p>
        </w:tc>
        <w:tc>
          <w:tcPr>
            <w:tcW w:w="3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3</w:t>
            </w:r>
          </w:p>
        </w:tc>
        <w:tc>
          <w:tcPr>
            <w:tcW w:w="4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79985.00</w:t>
            </w:r>
          </w:p>
        </w:tc>
        <w:tc>
          <w:tcPr>
            <w:tcW w:w="5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75715.00</w:t>
            </w:r>
          </w:p>
        </w:tc>
        <w:tc>
          <w:tcPr>
            <w:tcW w:w="399"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4270.00</w:t>
            </w:r>
          </w:p>
        </w:tc>
        <w:tc>
          <w:tcPr>
            <w:tcW w:w="4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79670.00</w:t>
            </w:r>
          </w:p>
        </w:tc>
        <w:tc>
          <w:tcPr>
            <w:tcW w:w="35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437.04</w:t>
            </w:r>
          </w:p>
        </w:tc>
        <w:tc>
          <w:tcPr>
            <w:tcW w:w="35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27.38</w:t>
            </w:r>
          </w:p>
        </w:tc>
        <w:tc>
          <w:tcPr>
            <w:tcW w:w="35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18.26</w:t>
            </w:r>
          </w:p>
        </w:tc>
        <w:tc>
          <w:tcPr>
            <w:tcW w:w="366"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3.03</w:t>
            </w:r>
          </w:p>
        </w:tc>
        <w:tc>
          <w:tcPr>
            <w:tcW w:w="276"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18.26</w:t>
            </w:r>
          </w:p>
        </w:tc>
        <w:tc>
          <w:tcPr>
            <w:tcW w:w="276"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3.03</w:t>
            </w:r>
          </w:p>
        </w:tc>
        <w:tc>
          <w:tcPr>
            <w:tcW w:w="276"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p>
        </w:tc>
        <w:tc>
          <w:tcPr>
            <w:tcW w:w="268"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p>
        </w:tc>
      </w:tr>
      <w:tr>
        <w:tblPrEx>
          <w:tblCellMar>
            <w:top w:w="0" w:type="dxa"/>
            <w:left w:w="108" w:type="dxa"/>
            <w:bottom w:w="0" w:type="dxa"/>
            <w:right w:w="108" w:type="dxa"/>
          </w:tblCellMar>
        </w:tblPrEx>
        <w:trPr>
          <w:trHeight w:val="270" w:hRule="atLeast"/>
        </w:trPr>
        <w:tc>
          <w:tcPr>
            <w:tcW w:w="188" w:type="pct"/>
            <w:tcBorders>
              <w:top w:val="nil"/>
              <w:left w:val="single" w:color="auto" w:sz="4" w:space="0"/>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6</w:t>
            </w:r>
          </w:p>
        </w:tc>
        <w:tc>
          <w:tcPr>
            <w:tcW w:w="3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南充市</w:t>
            </w:r>
          </w:p>
        </w:tc>
        <w:tc>
          <w:tcPr>
            <w:tcW w:w="3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3</w:t>
            </w:r>
          </w:p>
        </w:tc>
        <w:tc>
          <w:tcPr>
            <w:tcW w:w="4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16702.85</w:t>
            </w:r>
          </w:p>
        </w:tc>
        <w:tc>
          <w:tcPr>
            <w:tcW w:w="5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p>
        </w:tc>
        <w:tc>
          <w:tcPr>
            <w:tcW w:w="399"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16702.85</w:t>
            </w:r>
          </w:p>
        </w:tc>
        <w:tc>
          <w:tcPr>
            <w:tcW w:w="4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16702.85</w:t>
            </w:r>
          </w:p>
        </w:tc>
        <w:tc>
          <w:tcPr>
            <w:tcW w:w="35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119.29</w:t>
            </w:r>
          </w:p>
        </w:tc>
        <w:tc>
          <w:tcPr>
            <w:tcW w:w="35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6.62</w:t>
            </w:r>
          </w:p>
        </w:tc>
        <w:tc>
          <w:tcPr>
            <w:tcW w:w="35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0.32</w:t>
            </w:r>
          </w:p>
        </w:tc>
        <w:tc>
          <w:tcPr>
            <w:tcW w:w="366"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0.25</w:t>
            </w:r>
          </w:p>
        </w:tc>
        <w:tc>
          <w:tcPr>
            <w:tcW w:w="276"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0.33</w:t>
            </w:r>
          </w:p>
        </w:tc>
        <w:tc>
          <w:tcPr>
            <w:tcW w:w="276"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0.26</w:t>
            </w:r>
          </w:p>
        </w:tc>
        <w:tc>
          <w:tcPr>
            <w:tcW w:w="276"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p>
        </w:tc>
        <w:tc>
          <w:tcPr>
            <w:tcW w:w="268"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p>
        </w:tc>
      </w:tr>
      <w:tr>
        <w:tblPrEx>
          <w:tblCellMar>
            <w:top w:w="0" w:type="dxa"/>
            <w:left w:w="108" w:type="dxa"/>
            <w:bottom w:w="0" w:type="dxa"/>
            <w:right w:w="108" w:type="dxa"/>
          </w:tblCellMar>
        </w:tblPrEx>
        <w:trPr>
          <w:trHeight w:val="270" w:hRule="atLeast"/>
        </w:trPr>
        <w:tc>
          <w:tcPr>
            <w:tcW w:w="188" w:type="pct"/>
            <w:tcBorders>
              <w:top w:val="nil"/>
              <w:left w:val="single" w:color="auto" w:sz="4" w:space="0"/>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7</w:t>
            </w:r>
          </w:p>
        </w:tc>
        <w:tc>
          <w:tcPr>
            <w:tcW w:w="3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内江市</w:t>
            </w:r>
          </w:p>
        </w:tc>
        <w:tc>
          <w:tcPr>
            <w:tcW w:w="3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3</w:t>
            </w:r>
          </w:p>
        </w:tc>
        <w:tc>
          <w:tcPr>
            <w:tcW w:w="4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18039.09</w:t>
            </w:r>
          </w:p>
        </w:tc>
        <w:tc>
          <w:tcPr>
            <w:tcW w:w="5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5460.00</w:t>
            </w:r>
          </w:p>
        </w:tc>
        <w:tc>
          <w:tcPr>
            <w:tcW w:w="399"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12579.09</w:t>
            </w:r>
          </w:p>
        </w:tc>
        <w:tc>
          <w:tcPr>
            <w:tcW w:w="4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18219.09</w:t>
            </w:r>
          </w:p>
        </w:tc>
        <w:tc>
          <w:tcPr>
            <w:tcW w:w="35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47.46</w:t>
            </w:r>
          </w:p>
        </w:tc>
        <w:tc>
          <w:tcPr>
            <w:tcW w:w="35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2.60</w:t>
            </w:r>
          </w:p>
        </w:tc>
        <w:tc>
          <w:tcPr>
            <w:tcW w:w="35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1.24</w:t>
            </w:r>
          </w:p>
        </w:tc>
        <w:tc>
          <w:tcPr>
            <w:tcW w:w="366"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0.43</w:t>
            </w:r>
          </w:p>
        </w:tc>
        <w:tc>
          <w:tcPr>
            <w:tcW w:w="276"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1.24</w:t>
            </w:r>
          </w:p>
        </w:tc>
        <w:tc>
          <w:tcPr>
            <w:tcW w:w="276"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0.43</w:t>
            </w:r>
          </w:p>
        </w:tc>
        <w:tc>
          <w:tcPr>
            <w:tcW w:w="276"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p>
        </w:tc>
        <w:tc>
          <w:tcPr>
            <w:tcW w:w="268"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p>
        </w:tc>
      </w:tr>
      <w:tr>
        <w:tblPrEx>
          <w:tblCellMar>
            <w:top w:w="0" w:type="dxa"/>
            <w:left w:w="108" w:type="dxa"/>
            <w:bottom w:w="0" w:type="dxa"/>
            <w:right w:w="108" w:type="dxa"/>
          </w:tblCellMar>
        </w:tblPrEx>
        <w:trPr>
          <w:trHeight w:val="270" w:hRule="atLeast"/>
        </w:trPr>
        <w:tc>
          <w:tcPr>
            <w:tcW w:w="188" w:type="pct"/>
            <w:tcBorders>
              <w:top w:val="nil"/>
              <w:left w:val="single" w:color="auto" w:sz="4" w:space="0"/>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8</w:t>
            </w:r>
          </w:p>
        </w:tc>
        <w:tc>
          <w:tcPr>
            <w:tcW w:w="3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巴中市</w:t>
            </w:r>
          </w:p>
        </w:tc>
        <w:tc>
          <w:tcPr>
            <w:tcW w:w="3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2</w:t>
            </w:r>
          </w:p>
        </w:tc>
        <w:tc>
          <w:tcPr>
            <w:tcW w:w="4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28000.00</w:t>
            </w:r>
          </w:p>
        </w:tc>
        <w:tc>
          <w:tcPr>
            <w:tcW w:w="5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28000.00</w:t>
            </w:r>
          </w:p>
        </w:tc>
        <w:tc>
          <w:tcPr>
            <w:tcW w:w="399"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p>
        </w:tc>
        <w:tc>
          <w:tcPr>
            <w:tcW w:w="4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p>
        </w:tc>
        <w:tc>
          <w:tcPr>
            <w:tcW w:w="35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16.78</w:t>
            </w:r>
          </w:p>
        </w:tc>
        <w:tc>
          <w:tcPr>
            <w:tcW w:w="35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16.78</w:t>
            </w:r>
          </w:p>
        </w:tc>
        <w:tc>
          <w:tcPr>
            <w:tcW w:w="35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p>
        </w:tc>
        <w:tc>
          <w:tcPr>
            <w:tcW w:w="366"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p>
        </w:tc>
        <w:tc>
          <w:tcPr>
            <w:tcW w:w="276"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p>
        </w:tc>
        <w:tc>
          <w:tcPr>
            <w:tcW w:w="276"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p>
        </w:tc>
        <w:tc>
          <w:tcPr>
            <w:tcW w:w="276"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p>
        </w:tc>
        <w:tc>
          <w:tcPr>
            <w:tcW w:w="268"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p>
        </w:tc>
      </w:tr>
      <w:tr>
        <w:tblPrEx>
          <w:tblCellMar>
            <w:top w:w="0" w:type="dxa"/>
            <w:left w:w="108" w:type="dxa"/>
            <w:bottom w:w="0" w:type="dxa"/>
            <w:right w:w="108" w:type="dxa"/>
          </w:tblCellMar>
        </w:tblPrEx>
        <w:trPr>
          <w:trHeight w:val="270" w:hRule="atLeast"/>
        </w:trPr>
        <w:tc>
          <w:tcPr>
            <w:tcW w:w="188" w:type="pct"/>
            <w:tcBorders>
              <w:top w:val="nil"/>
              <w:left w:val="single" w:color="auto" w:sz="4" w:space="0"/>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9</w:t>
            </w:r>
          </w:p>
        </w:tc>
        <w:tc>
          <w:tcPr>
            <w:tcW w:w="3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乐山市</w:t>
            </w:r>
          </w:p>
        </w:tc>
        <w:tc>
          <w:tcPr>
            <w:tcW w:w="3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2</w:t>
            </w:r>
          </w:p>
        </w:tc>
        <w:tc>
          <w:tcPr>
            <w:tcW w:w="4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20790.00</w:t>
            </w:r>
          </w:p>
        </w:tc>
        <w:tc>
          <w:tcPr>
            <w:tcW w:w="5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12240.00</w:t>
            </w:r>
          </w:p>
        </w:tc>
        <w:tc>
          <w:tcPr>
            <w:tcW w:w="399"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8550.00</w:t>
            </w:r>
          </w:p>
        </w:tc>
        <w:tc>
          <w:tcPr>
            <w:tcW w:w="4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21300.00</w:t>
            </w:r>
          </w:p>
        </w:tc>
        <w:tc>
          <w:tcPr>
            <w:tcW w:w="35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31.08</w:t>
            </w:r>
          </w:p>
        </w:tc>
        <w:tc>
          <w:tcPr>
            <w:tcW w:w="35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2.74</w:t>
            </w:r>
          </w:p>
        </w:tc>
        <w:tc>
          <w:tcPr>
            <w:tcW w:w="35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p>
        </w:tc>
        <w:tc>
          <w:tcPr>
            <w:tcW w:w="366"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p>
        </w:tc>
        <w:tc>
          <w:tcPr>
            <w:tcW w:w="276"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p>
        </w:tc>
        <w:tc>
          <w:tcPr>
            <w:tcW w:w="276"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p>
        </w:tc>
        <w:tc>
          <w:tcPr>
            <w:tcW w:w="276"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p>
        </w:tc>
        <w:tc>
          <w:tcPr>
            <w:tcW w:w="268"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p>
        </w:tc>
      </w:tr>
      <w:tr>
        <w:tblPrEx>
          <w:tblCellMar>
            <w:top w:w="0" w:type="dxa"/>
            <w:left w:w="108" w:type="dxa"/>
            <w:bottom w:w="0" w:type="dxa"/>
            <w:right w:w="108" w:type="dxa"/>
          </w:tblCellMar>
        </w:tblPrEx>
        <w:trPr>
          <w:trHeight w:val="270" w:hRule="atLeast"/>
        </w:trPr>
        <w:tc>
          <w:tcPr>
            <w:tcW w:w="188" w:type="pct"/>
            <w:tcBorders>
              <w:top w:val="nil"/>
              <w:left w:val="single" w:color="auto" w:sz="4" w:space="0"/>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10</w:t>
            </w:r>
          </w:p>
        </w:tc>
        <w:tc>
          <w:tcPr>
            <w:tcW w:w="3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泸州市</w:t>
            </w:r>
          </w:p>
        </w:tc>
        <w:tc>
          <w:tcPr>
            <w:tcW w:w="3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2</w:t>
            </w:r>
          </w:p>
        </w:tc>
        <w:tc>
          <w:tcPr>
            <w:tcW w:w="4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12793.50</w:t>
            </w:r>
          </w:p>
        </w:tc>
        <w:tc>
          <w:tcPr>
            <w:tcW w:w="5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43.50</w:t>
            </w:r>
          </w:p>
        </w:tc>
        <w:tc>
          <w:tcPr>
            <w:tcW w:w="399"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12750.00</w:t>
            </w:r>
          </w:p>
        </w:tc>
        <w:tc>
          <w:tcPr>
            <w:tcW w:w="4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12793.50</w:t>
            </w:r>
          </w:p>
        </w:tc>
        <w:tc>
          <w:tcPr>
            <w:tcW w:w="35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61.42</w:t>
            </w:r>
          </w:p>
        </w:tc>
        <w:tc>
          <w:tcPr>
            <w:tcW w:w="35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3.84</w:t>
            </w:r>
          </w:p>
        </w:tc>
        <w:tc>
          <w:tcPr>
            <w:tcW w:w="35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p>
        </w:tc>
        <w:tc>
          <w:tcPr>
            <w:tcW w:w="366"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p>
        </w:tc>
        <w:tc>
          <w:tcPr>
            <w:tcW w:w="276"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p>
        </w:tc>
        <w:tc>
          <w:tcPr>
            <w:tcW w:w="276"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p>
        </w:tc>
        <w:tc>
          <w:tcPr>
            <w:tcW w:w="276"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p>
        </w:tc>
        <w:tc>
          <w:tcPr>
            <w:tcW w:w="268"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p>
        </w:tc>
      </w:tr>
      <w:tr>
        <w:tblPrEx>
          <w:tblCellMar>
            <w:top w:w="0" w:type="dxa"/>
            <w:left w:w="108" w:type="dxa"/>
            <w:bottom w:w="0" w:type="dxa"/>
            <w:right w:w="108" w:type="dxa"/>
          </w:tblCellMar>
        </w:tblPrEx>
        <w:trPr>
          <w:trHeight w:val="270" w:hRule="atLeast"/>
        </w:trPr>
        <w:tc>
          <w:tcPr>
            <w:tcW w:w="188" w:type="pct"/>
            <w:tcBorders>
              <w:top w:val="nil"/>
              <w:left w:val="single" w:color="auto" w:sz="4" w:space="0"/>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11</w:t>
            </w:r>
          </w:p>
        </w:tc>
        <w:tc>
          <w:tcPr>
            <w:tcW w:w="3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绵阳市</w:t>
            </w:r>
          </w:p>
        </w:tc>
        <w:tc>
          <w:tcPr>
            <w:tcW w:w="3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2</w:t>
            </w:r>
          </w:p>
        </w:tc>
        <w:tc>
          <w:tcPr>
            <w:tcW w:w="4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5922.00</w:t>
            </w:r>
          </w:p>
        </w:tc>
        <w:tc>
          <w:tcPr>
            <w:tcW w:w="5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5922.00</w:t>
            </w:r>
          </w:p>
        </w:tc>
        <w:tc>
          <w:tcPr>
            <w:tcW w:w="399"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p>
        </w:tc>
        <w:tc>
          <w:tcPr>
            <w:tcW w:w="4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5922.00</w:t>
            </w:r>
          </w:p>
        </w:tc>
        <w:tc>
          <w:tcPr>
            <w:tcW w:w="35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12.59</w:t>
            </w:r>
          </w:p>
        </w:tc>
        <w:tc>
          <w:tcPr>
            <w:tcW w:w="35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1.10</w:t>
            </w:r>
          </w:p>
        </w:tc>
        <w:tc>
          <w:tcPr>
            <w:tcW w:w="35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0.28</w:t>
            </w:r>
          </w:p>
        </w:tc>
        <w:tc>
          <w:tcPr>
            <w:tcW w:w="366"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0.07</w:t>
            </w:r>
          </w:p>
        </w:tc>
        <w:tc>
          <w:tcPr>
            <w:tcW w:w="276"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0.35</w:t>
            </w:r>
          </w:p>
        </w:tc>
        <w:tc>
          <w:tcPr>
            <w:tcW w:w="276"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0.14</w:t>
            </w:r>
          </w:p>
        </w:tc>
        <w:tc>
          <w:tcPr>
            <w:tcW w:w="276"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p>
        </w:tc>
        <w:tc>
          <w:tcPr>
            <w:tcW w:w="268"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p>
        </w:tc>
      </w:tr>
      <w:tr>
        <w:tblPrEx>
          <w:tblCellMar>
            <w:top w:w="0" w:type="dxa"/>
            <w:left w:w="108" w:type="dxa"/>
            <w:bottom w:w="0" w:type="dxa"/>
            <w:right w:w="108" w:type="dxa"/>
          </w:tblCellMar>
        </w:tblPrEx>
        <w:trPr>
          <w:trHeight w:val="270" w:hRule="atLeast"/>
        </w:trPr>
        <w:tc>
          <w:tcPr>
            <w:tcW w:w="188" w:type="pct"/>
            <w:tcBorders>
              <w:top w:val="nil"/>
              <w:left w:val="single" w:color="auto" w:sz="4" w:space="0"/>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12</w:t>
            </w:r>
          </w:p>
        </w:tc>
        <w:tc>
          <w:tcPr>
            <w:tcW w:w="3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自贡市</w:t>
            </w:r>
          </w:p>
        </w:tc>
        <w:tc>
          <w:tcPr>
            <w:tcW w:w="3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2</w:t>
            </w:r>
          </w:p>
        </w:tc>
        <w:tc>
          <w:tcPr>
            <w:tcW w:w="4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16056.80</w:t>
            </w:r>
          </w:p>
        </w:tc>
        <w:tc>
          <w:tcPr>
            <w:tcW w:w="5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p>
        </w:tc>
        <w:tc>
          <w:tcPr>
            <w:tcW w:w="399"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16056.80</w:t>
            </w:r>
          </w:p>
        </w:tc>
        <w:tc>
          <w:tcPr>
            <w:tcW w:w="4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25600.80</w:t>
            </w:r>
          </w:p>
        </w:tc>
        <w:tc>
          <w:tcPr>
            <w:tcW w:w="35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67.26</w:t>
            </w:r>
          </w:p>
        </w:tc>
        <w:tc>
          <w:tcPr>
            <w:tcW w:w="35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3.50</w:t>
            </w:r>
          </w:p>
        </w:tc>
        <w:tc>
          <w:tcPr>
            <w:tcW w:w="35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0.83</w:t>
            </w:r>
          </w:p>
        </w:tc>
        <w:tc>
          <w:tcPr>
            <w:tcW w:w="366"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0.50</w:t>
            </w:r>
          </w:p>
        </w:tc>
        <w:tc>
          <w:tcPr>
            <w:tcW w:w="276"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9.00</w:t>
            </w:r>
          </w:p>
        </w:tc>
        <w:tc>
          <w:tcPr>
            <w:tcW w:w="276"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0.78</w:t>
            </w:r>
          </w:p>
        </w:tc>
        <w:tc>
          <w:tcPr>
            <w:tcW w:w="276"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p>
        </w:tc>
        <w:tc>
          <w:tcPr>
            <w:tcW w:w="268"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p>
        </w:tc>
      </w:tr>
      <w:tr>
        <w:tblPrEx>
          <w:tblCellMar>
            <w:top w:w="0" w:type="dxa"/>
            <w:left w:w="108" w:type="dxa"/>
            <w:bottom w:w="0" w:type="dxa"/>
            <w:right w:w="108" w:type="dxa"/>
          </w:tblCellMar>
        </w:tblPrEx>
        <w:trPr>
          <w:trHeight w:val="270" w:hRule="atLeast"/>
        </w:trPr>
        <w:tc>
          <w:tcPr>
            <w:tcW w:w="188" w:type="pct"/>
            <w:tcBorders>
              <w:top w:val="nil"/>
              <w:left w:val="single" w:color="auto" w:sz="4" w:space="0"/>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13</w:t>
            </w:r>
          </w:p>
        </w:tc>
        <w:tc>
          <w:tcPr>
            <w:tcW w:w="3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德阳市</w:t>
            </w:r>
          </w:p>
        </w:tc>
        <w:tc>
          <w:tcPr>
            <w:tcW w:w="3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w:t>
            </w:r>
          </w:p>
        </w:tc>
        <w:tc>
          <w:tcPr>
            <w:tcW w:w="4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7410.00</w:t>
            </w:r>
          </w:p>
        </w:tc>
        <w:tc>
          <w:tcPr>
            <w:tcW w:w="5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7410.00</w:t>
            </w:r>
          </w:p>
        </w:tc>
        <w:tc>
          <w:tcPr>
            <w:tcW w:w="399"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p>
        </w:tc>
        <w:tc>
          <w:tcPr>
            <w:tcW w:w="4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7410.00</w:t>
            </w:r>
          </w:p>
        </w:tc>
        <w:tc>
          <w:tcPr>
            <w:tcW w:w="35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4.10</w:t>
            </w:r>
          </w:p>
        </w:tc>
        <w:tc>
          <w:tcPr>
            <w:tcW w:w="35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2.57</w:t>
            </w:r>
          </w:p>
        </w:tc>
        <w:tc>
          <w:tcPr>
            <w:tcW w:w="35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0.34</w:t>
            </w:r>
          </w:p>
        </w:tc>
        <w:tc>
          <w:tcPr>
            <w:tcW w:w="366"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0.29</w:t>
            </w:r>
          </w:p>
        </w:tc>
        <w:tc>
          <w:tcPr>
            <w:tcW w:w="276"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0.46</w:t>
            </w:r>
          </w:p>
        </w:tc>
        <w:tc>
          <w:tcPr>
            <w:tcW w:w="276"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0.37</w:t>
            </w:r>
          </w:p>
        </w:tc>
        <w:tc>
          <w:tcPr>
            <w:tcW w:w="276"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p>
        </w:tc>
        <w:tc>
          <w:tcPr>
            <w:tcW w:w="268"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p>
        </w:tc>
      </w:tr>
      <w:tr>
        <w:tblPrEx>
          <w:tblCellMar>
            <w:top w:w="0" w:type="dxa"/>
            <w:left w:w="108" w:type="dxa"/>
            <w:bottom w:w="0" w:type="dxa"/>
            <w:right w:w="108" w:type="dxa"/>
          </w:tblCellMar>
        </w:tblPrEx>
        <w:trPr>
          <w:trHeight w:val="270" w:hRule="atLeast"/>
        </w:trPr>
        <w:tc>
          <w:tcPr>
            <w:tcW w:w="188" w:type="pct"/>
            <w:tcBorders>
              <w:top w:val="nil"/>
              <w:left w:val="single" w:color="auto" w:sz="4" w:space="0"/>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14</w:t>
            </w:r>
          </w:p>
        </w:tc>
        <w:tc>
          <w:tcPr>
            <w:tcW w:w="3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广安市</w:t>
            </w:r>
          </w:p>
        </w:tc>
        <w:tc>
          <w:tcPr>
            <w:tcW w:w="3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w:t>
            </w:r>
          </w:p>
        </w:tc>
        <w:tc>
          <w:tcPr>
            <w:tcW w:w="4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6090.00</w:t>
            </w:r>
          </w:p>
        </w:tc>
        <w:tc>
          <w:tcPr>
            <w:tcW w:w="5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p>
        </w:tc>
        <w:tc>
          <w:tcPr>
            <w:tcW w:w="399"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6090.00</w:t>
            </w:r>
          </w:p>
        </w:tc>
        <w:tc>
          <w:tcPr>
            <w:tcW w:w="4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6090.00</w:t>
            </w:r>
          </w:p>
        </w:tc>
        <w:tc>
          <w:tcPr>
            <w:tcW w:w="35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45.36</w:t>
            </w:r>
          </w:p>
        </w:tc>
        <w:tc>
          <w:tcPr>
            <w:tcW w:w="35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2.84</w:t>
            </w:r>
          </w:p>
        </w:tc>
        <w:tc>
          <w:tcPr>
            <w:tcW w:w="35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0.02</w:t>
            </w:r>
          </w:p>
        </w:tc>
        <w:tc>
          <w:tcPr>
            <w:tcW w:w="366"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0.02</w:t>
            </w:r>
          </w:p>
        </w:tc>
        <w:tc>
          <w:tcPr>
            <w:tcW w:w="276"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0.05</w:t>
            </w:r>
          </w:p>
        </w:tc>
        <w:tc>
          <w:tcPr>
            <w:tcW w:w="276"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0.05</w:t>
            </w:r>
          </w:p>
        </w:tc>
        <w:tc>
          <w:tcPr>
            <w:tcW w:w="276"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p>
        </w:tc>
        <w:tc>
          <w:tcPr>
            <w:tcW w:w="268"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p>
        </w:tc>
      </w:tr>
      <w:tr>
        <w:tblPrEx>
          <w:tblCellMar>
            <w:top w:w="0" w:type="dxa"/>
            <w:left w:w="108" w:type="dxa"/>
            <w:bottom w:w="0" w:type="dxa"/>
            <w:right w:w="108" w:type="dxa"/>
          </w:tblCellMar>
        </w:tblPrEx>
        <w:trPr>
          <w:trHeight w:val="270" w:hRule="atLeast"/>
        </w:trPr>
        <w:tc>
          <w:tcPr>
            <w:tcW w:w="188" w:type="pct"/>
            <w:tcBorders>
              <w:top w:val="nil"/>
              <w:left w:val="single" w:color="auto" w:sz="4" w:space="0"/>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15</w:t>
            </w:r>
          </w:p>
        </w:tc>
        <w:tc>
          <w:tcPr>
            <w:tcW w:w="3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凉山州</w:t>
            </w:r>
          </w:p>
        </w:tc>
        <w:tc>
          <w:tcPr>
            <w:tcW w:w="3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w:t>
            </w:r>
          </w:p>
        </w:tc>
        <w:tc>
          <w:tcPr>
            <w:tcW w:w="4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1540.00</w:t>
            </w:r>
          </w:p>
        </w:tc>
        <w:tc>
          <w:tcPr>
            <w:tcW w:w="5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1540.00</w:t>
            </w:r>
          </w:p>
        </w:tc>
        <w:tc>
          <w:tcPr>
            <w:tcW w:w="399"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p>
        </w:tc>
        <w:tc>
          <w:tcPr>
            <w:tcW w:w="4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1540.00</w:t>
            </w:r>
          </w:p>
        </w:tc>
        <w:tc>
          <w:tcPr>
            <w:tcW w:w="35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2.88</w:t>
            </w:r>
          </w:p>
        </w:tc>
        <w:tc>
          <w:tcPr>
            <w:tcW w:w="35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1.44</w:t>
            </w:r>
          </w:p>
        </w:tc>
        <w:tc>
          <w:tcPr>
            <w:tcW w:w="35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0.32</w:t>
            </w:r>
          </w:p>
        </w:tc>
        <w:tc>
          <w:tcPr>
            <w:tcW w:w="366"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0.32</w:t>
            </w:r>
          </w:p>
        </w:tc>
        <w:tc>
          <w:tcPr>
            <w:tcW w:w="276"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1.22</w:t>
            </w:r>
          </w:p>
        </w:tc>
        <w:tc>
          <w:tcPr>
            <w:tcW w:w="276"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1.22</w:t>
            </w:r>
          </w:p>
        </w:tc>
        <w:tc>
          <w:tcPr>
            <w:tcW w:w="276"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p>
        </w:tc>
        <w:tc>
          <w:tcPr>
            <w:tcW w:w="268"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p>
        </w:tc>
      </w:tr>
      <w:tr>
        <w:tblPrEx>
          <w:tblCellMar>
            <w:top w:w="0" w:type="dxa"/>
            <w:left w:w="108" w:type="dxa"/>
            <w:bottom w:w="0" w:type="dxa"/>
            <w:right w:w="108" w:type="dxa"/>
          </w:tblCellMar>
        </w:tblPrEx>
        <w:trPr>
          <w:trHeight w:val="270" w:hRule="atLeast"/>
        </w:trPr>
        <w:tc>
          <w:tcPr>
            <w:tcW w:w="489" w:type="pct"/>
            <w:gridSpan w:val="2"/>
            <w:tcBorders>
              <w:top w:val="nil"/>
              <w:left w:val="single" w:color="auto" w:sz="4" w:space="0"/>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合计</w:t>
            </w:r>
          </w:p>
        </w:tc>
        <w:tc>
          <w:tcPr>
            <w:tcW w:w="3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99</w:t>
            </w:r>
          </w:p>
        </w:tc>
        <w:tc>
          <w:tcPr>
            <w:tcW w:w="4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2228335.85</w:t>
            </w:r>
          </w:p>
        </w:tc>
        <w:tc>
          <w:tcPr>
            <w:tcW w:w="5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1482850.75</w:t>
            </w:r>
          </w:p>
        </w:tc>
        <w:tc>
          <w:tcPr>
            <w:tcW w:w="399"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745485.10</w:t>
            </w:r>
          </w:p>
        </w:tc>
        <w:tc>
          <w:tcPr>
            <w:tcW w:w="40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2200012.75</w:t>
            </w:r>
          </w:p>
        </w:tc>
        <w:tc>
          <w:tcPr>
            <w:tcW w:w="35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9947.40</w:t>
            </w:r>
          </w:p>
        </w:tc>
        <w:tc>
          <w:tcPr>
            <w:tcW w:w="35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626.25</w:t>
            </w:r>
          </w:p>
        </w:tc>
        <w:tc>
          <w:tcPr>
            <w:tcW w:w="350"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841.55</w:t>
            </w:r>
          </w:p>
        </w:tc>
        <w:tc>
          <w:tcPr>
            <w:tcW w:w="366"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42.22</w:t>
            </w:r>
          </w:p>
        </w:tc>
        <w:tc>
          <w:tcPr>
            <w:tcW w:w="276"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880.18</w:t>
            </w:r>
          </w:p>
        </w:tc>
        <w:tc>
          <w:tcPr>
            <w:tcW w:w="276"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47.61</w:t>
            </w:r>
          </w:p>
        </w:tc>
        <w:tc>
          <w:tcPr>
            <w:tcW w:w="276"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367.43</w:t>
            </w:r>
          </w:p>
        </w:tc>
        <w:tc>
          <w:tcPr>
            <w:tcW w:w="268" w:type="pct"/>
            <w:tcBorders>
              <w:top w:val="nil"/>
              <w:left w:val="nil"/>
              <w:bottom w:val="single" w:color="auto" w:sz="4" w:space="0"/>
              <w:right w:val="single" w:color="auto" w:sz="4" w:space="0"/>
            </w:tcBorders>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2.21</w:t>
            </w:r>
          </w:p>
        </w:tc>
      </w:tr>
    </w:tbl>
    <w:p>
      <w:pPr>
        <w:rPr>
          <w:rFonts w:ascii="Times New Roman" w:hAnsi="Times New Roman" w:eastAsia="宋体" w:cs="Times New Roman"/>
          <w:szCs w:val="22"/>
        </w:rPr>
        <w:sectPr>
          <w:pgSz w:w="16838" w:h="11906" w:orient="landscape"/>
          <w:pgMar w:top="1797" w:right="1440" w:bottom="1797" w:left="1440" w:header="851" w:footer="992" w:gutter="0"/>
          <w:cols w:space="425" w:num="1"/>
          <w:docGrid w:type="lines" w:linePitch="312" w:charSpace="0"/>
        </w:sectPr>
      </w:pPr>
    </w:p>
    <w:p>
      <w:pPr>
        <w:keepNext/>
        <w:keepLines/>
        <w:spacing w:before="190" w:beforeLines="50" w:after="190" w:afterLines="50" w:line="360" w:lineRule="auto"/>
        <w:jc w:val="left"/>
        <w:outlineLvl w:val="2"/>
        <w:rPr>
          <w:rFonts w:ascii="Times New Roman" w:hAnsi="Times New Roman" w:eastAsia="宋体" w:cs="Times New Roman"/>
          <w:b/>
          <w:bCs/>
          <w:sz w:val="24"/>
          <w:szCs w:val="32"/>
        </w:rPr>
      </w:pPr>
      <w:bookmarkStart w:id="19" w:name="_Toc76386097"/>
      <w:r>
        <w:rPr>
          <w:rFonts w:hint="eastAsia" w:ascii="Times New Roman" w:hAnsi="Times New Roman" w:eastAsia="宋体" w:cs="Times New Roman"/>
          <w:b/>
          <w:bCs/>
          <w:sz w:val="24"/>
          <w:szCs w:val="32"/>
        </w:rPr>
        <w:t>4.2.2 废水排放去向</w:t>
      </w:r>
      <w:bookmarkEnd w:id="19"/>
    </w:p>
    <w:p>
      <w:pPr>
        <w:spacing w:line="440" w:lineRule="exact"/>
        <w:ind w:firstLine="420" w:firstLineChars="200"/>
        <w:jc w:val="left"/>
        <w:rPr>
          <w:rFonts w:ascii="Times New Roman" w:hAnsi="Times New Roman" w:eastAsia="宋体" w:cs="Times New Roman"/>
          <w:szCs w:val="22"/>
        </w:rPr>
      </w:pPr>
      <w:r>
        <w:rPr>
          <w:rFonts w:ascii="Times New Roman" w:hAnsi="Times New Roman" w:eastAsia="宋体" w:cs="Times New Roman"/>
          <w:szCs w:val="22"/>
        </w:rPr>
        <w:t>根据《四川省环境统计》，201</w:t>
      </w:r>
      <w:r>
        <w:rPr>
          <w:rFonts w:hint="eastAsia" w:ascii="Times New Roman" w:hAnsi="Times New Roman" w:eastAsia="宋体" w:cs="Times New Roman"/>
          <w:szCs w:val="22"/>
        </w:rPr>
        <w:t>8</w:t>
      </w:r>
      <w:r>
        <w:rPr>
          <w:rFonts w:ascii="Times New Roman" w:hAnsi="Times New Roman" w:eastAsia="宋体" w:cs="Times New Roman"/>
          <w:szCs w:val="22"/>
        </w:rPr>
        <w:t>年四川省</w:t>
      </w:r>
      <w:r>
        <w:rPr>
          <w:rFonts w:hint="eastAsia" w:ascii="Times New Roman" w:hAnsi="Times New Roman" w:eastAsia="宋体" w:cs="Times New Roman"/>
          <w:szCs w:val="22"/>
        </w:rPr>
        <w:t>规模以上泡菜工业</w:t>
      </w:r>
      <w:r>
        <w:rPr>
          <w:rFonts w:ascii="Times New Roman" w:hAnsi="Times New Roman" w:eastAsia="宋体" w:cs="Times New Roman"/>
          <w:szCs w:val="22"/>
        </w:rPr>
        <w:t>企业共计</w:t>
      </w:r>
      <w:r>
        <w:rPr>
          <w:rFonts w:hint="eastAsia" w:ascii="Times New Roman" w:hAnsi="Times New Roman" w:eastAsia="宋体" w:cs="Times New Roman"/>
          <w:szCs w:val="22"/>
        </w:rPr>
        <w:t>99</w:t>
      </w:r>
      <w:r>
        <w:rPr>
          <w:rFonts w:ascii="Times New Roman" w:hAnsi="Times New Roman" w:eastAsia="宋体" w:cs="Times New Roman"/>
          <w:szCs w:val="22"/>
        </w:rPr>
        <w:t>家，其生产加工废水直接进入江河、湖、库等水环境有</w:t>
      </w:r>
      <w:r>
        <w:rPr>
          <w:rFonts w:hint="eastAsia" w:ascii="Times New Roman" w:hAnsi="Times New Roman" w:eastAsia="宋体" w:cs="Times New Roman"/>
          <w:szCs w:val="22"/>
        </w:rPr>
        <w:t>55</w:t>
      </w:r>
      <w:r>
        <w:rPr>
          <w:rFonts w:ascii="Times New Roman" w:hAnsi="Times New Roman" w:eastAsia="宋体" w:cs="Times New Roman"/>
          <w:szCs w:val="22"/>
        </w:rPr>
        <w:t>家，占比</w:t>
      </w:r>
      <w:r>
        <w:rPr>
          <w:rFonts w:hint="eastAsia" w:ascii="Times New Roman" w:hAnsi="Times New Roman" w:eastAsia="宋体" w:cs="Times New Roman"/>
          <w:szCs w:val="22"/>
        </w:rPr>
        <w:t>55.56</w:t>
      </w:r>
      <w:r>
        <w:rPr>
          <w:rFonts w:ascii="Times New Roman" w:hAnsi="Times New Roman" w:eastAsia="宋体" w:cs="Times New Roman"/>
          <w:szCs w:val="22"/>
        </w:rPr>
        <w:t>%；进入城市污水处理厂9家，占比</w:t>
      </w:r>
      <w:r>
        <w:rPr>
          <w:rFonts w:hint="eastAsia" w:ascii="Times New Roman" w:hAnsi="Times New Roman" w:eastAsia="宋体" w:cs="Times New Roman"/>
          <w:szCs w:val="22"/>
        </w:rPr>
        <w:t>9.09</w:t>
      </w:r>
      <w:r>
        <w:rPr>
          <w:rFonts w:ascii="Times New Roman" w:hAnsi="Times New Roman" w:eastAsia="宋体" w:cs="Times New Roman"/>
          <w:szCs w:val="22"/>
        </w:rPr>
        <w:t>%；</w:t>
      </w:r>
      <w:r>
        <w:rPr>
          <w:rFonts w:hint="eastAsia" w:ascii="Times New Roman" w:hAnsi="Times New Roman" w:eastAsia="宋体" w:cs="Times New Roman"/>
          <w:szCs w:val="22"/>
        </w:rPr>
        <w:t>进入其它单位（非集中式污水处理厂）2家，占比2.02%；</w:t>
      </w:r>
      <w:r>
        <w:rPr>
          <w:rFonts w:ascii="Times New Roman" w:hAnsi="Times New Roman" w:eastAsia="宋体" w:cs="Times New Roman"/>
          <w:szCs w:val="22"/>
        </w:rPr>
        <w:t>进入工业废水集中处理厂</w:t>
      </w:r>
      <w:r>
        <w:rPr>
          <w:rFonts w:hint="eastAsia" w:ascii="Times New Roman" w:hAnsi="Times New Roman" w:eastAsia="宋体" w:cs="Times New Roman"/>
          <w:szCs w:val="22"/>
        </w:rPr>
        <w:t>1</w:t>
      </w:r>
      <w:r>
        <w:rPr>
          <w:rFonts w:ascii="Times New Roman" w:hAnsi="Times New Roman" w:eastAsia="宋体" w:cs="Times New Roman"/>
          <w:szCs w:val="22"/>
        </w:rPr>
        <w:t>5家</w:t>
      </w:r>
      <w:r>
        <w:rPr>
          <w:rFonts w:hint="eastAsia" w:ascii="Times New Roman" w:hAnsi="Times New Roman" w:eastAsia="宋体" w:cs="Times New Roman"/>
          <w:szCs w:val="22"/>
        </w:rPr>
        <w:t>，</w:t>
      </w:r>
      <w:r>
        <w:rPr>
          <w:rFonts w:ascii="Times New Roman" w:hAnsi="Times New Roman" w:eastAsia="宋体" w:cs="Times New Roman"/>
          <w:szCs w:val="22"/>
        </w:rPr>
        <w:t>占比</w:t>
      </w:r>
      <w:r>
        <w:rPr>
          <w:rFonts w:hint="eastAsia" w:ascii="Times New Roman" w:hAnsi="Times New Roman" w:eastAsia="宋体" w:cs="Times New Roman"/>
          <w:szCs w:val="22"/>
        </w:rPr>
        <w:t>15.15</w:t>
      </w:r>
      <w:r>
        <w:rPr>
          <w:rFonts w:ascii="Times New Roman" w:hAnsi="Times New Roman" w:eastAsia="宋体" w:cs="Times New Roman"/>
          <w:szCs w:val="22"/>
        </w:rPr>
        <w:t>%；</w:t>
      </w:r>
      <w:r>
        <w:rPr>
          <w:rFonts w:hint="eastAsia" w:ascii="Times New Roman" w:hAnsi="Times New Roman" w:eastAsia="宋体" w:cs="Times New Roman"/>
          <w:szCs w:val="22"/>
        </w:rPr>
        <w:t>直接进入污灌农田2家，占比2.02%；</w:t>
      </w:r>
      <w:r>
        <w:rPr>
          <w:rFonts w:ascii="Times New Roman" w:hAnsi="Times New Roman" w:eastAsia="宋体" w:cs="Times New Roman"/>
          <w:szCs w:val="22"/>
        </w:rPr>
        <w:t>其它去向</w:t>
      </w:r>
      <w:r>
        <w:rPr>
          <w:rFonts w:hint="eastAsia" w:ascii="Times New Roman" w:hAnsi="Times New Roman" w:eastAsia="宋体" w:cs="Times New Roman"/>
          <w:szCs w:val="22"/>
        </w:rPr>
        <w:t>16</w:t>
      </w:r>
      <w:r>
        <w:rPr>
          <w:rFonts w:ascii="Times New Roman" w:hAnsi="Times New Roman" w:eastAsia="宋体" w:cs="Times New Roman"/>
          <w:szCs w:val="22"/>
        </w:rPr>
        <w:t>家，占比</w:t>
      </w:r>
      <w:r>
        <w:rPr>
          <w:rFonts w:hint="eastAsia" w:ascii="Times New Roman" w:hAnsi="Times New Roman" w:eastAsia="宋体" w:cs="Times New Roman"/>
          <w:szCs w:val="22"/>
        </w:rPr>
        <w:t>16.16</w:t>
      </w:r>
      <w:r>
        <w:rPr>
          <w:rFonts w:ascii="Times New Roman" w:hAnsi="Times New Roman" w:eastAsia="宋体" w:cs="Times New Roman"/>
          <w:szCs w:val="22"/>
        </w:rPr>
        <w:t>%。全省</w:t>
      </w:r>
      <w:r>
        <w:rPr>
          <w:rFonts w:hint="eastAsia" w:ascii="Times New Roman" w:hAnsi="Times New Roman" w:eastAsia="宋体" w:cs="Times New Roman"/>
          <w:szCs w:val="22"/>
        </w:rPr>
        <w:t>99</w:t>
      </w:r>
      <w:r>
        <w:rPr>
          <w:rFonts w:ascii="Times New Roman" w:hAnsi="Times New Roman" w:eastAsia="宋体" w:cs="Times New Roman"/>
          <w:szCs w:val="22"/>
        </w:rPr>
        <w:t>家</w:t>
      </w:r>
      <w:r>
        <w:rPr>
          <w:rFonts w:hint="eastAsia" w:ascii="Times New Roman" w:hAnsi="Times New Roman" w:eastAsia="宋体" w:cs="Times New Roman"/>
          <w:szCs w:val="22"/>
        </w:rPr>
        <w:t>泡菜工业</w:t>
      </w:r>
      <w:r>
        <w:rPr>
          <w:rFonts w:ascii="Times New Roman" w:hAnsi="Times New Roman" w:eastAsia="宋体" w:cs="Times New Roman"/>
          <w:szCs w:val="22"/>
        </w:rPr>
        <w:t>企业废水排放去向所占比例如图</w:t>
      </w:r>
      <w:r>
        <w:rPr>
          <w:rFonts w:hint="eastAsia" w:ascii="Times New Roman" w:hAnsi="Times New Roman" w:eastAsia="宋体" w:cs="Times New Roman"/>
          <w:szCs w:val="22"/>
        </w:rPr>
        <w:t>4</w:t>
      </w:r>
      <w:r>
        <w:rPr>
          <w:rFonts w:ascii="Times New Roman" w:hAnsi="Times New Roman" w:eastAsia="宋体" w:cs="Times New Roman"/>
          <w:szCs w:val="22"/>
        </w:rPr>
        <w:t>-</w:t>
      </w:r>
      <w:r>
        <w:rPr>
          <w:rFonts w:hint="eastAsia" w:ascii="Times New Roman" w:hAnsi="Times New Roman" w:eastAsia="宋体" w:cs="Times New Roman"/>
          <w:szCs w:val="22"/>
        </w:rPr>
        <w:t>4</w:t>
      </w:r>
      <w:r>
        <w:rPr>
          <w:rFonts w:ascii="Times New Roman" w:hAnsi="Times New Roman" w:eastAsia="宋体" w:cs="Times New Roman"/>
          <w:szCs w:val="22"/>
        </w:rPr>
        <w:t>。</w:t>
      </w:r>
    </w:p>
    <w:p>
      <w:pPr>
        <w:ind w:firstLine="420"/>
        <w:jc w:val="center"/>
      </w:pPr>
      <w:r>
        <w:drawing>
          <wp:anchor distT="0" distB="0" distL="114300" distR="114300" simplePos="0" relativeHeight="251661312" behindDoc="0" locked="0" layoutInCell="1" allowOverlap="1">
            <wp:simplePos x="0" y="0"/>
            <wp:positionH relativeFrom="column">
              <wp:posOffset>438785</wp:posOffset>
            </wp:positionH>
            <wp:positionV relativeFrom="paragraph">
              <wp:posOffset>80010</wp:posOffset>
            </wp:positionV>
            <wp:extent cx="4391025" cy="2609850"/>
            <wp:effectExtent l="0" t="0" r="0" b="0"/>
            <wp:wrapSquare wrapText="bothSides"/>
            <wp:docPr id="15" name="图表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anchor>
        </w:drawing>
      </w:r>
    </w:p>
    <w:p>
      <w:pPr>
        <w:ind w:firstLine="480"/>
        <w:jc w:val="center"/>
        <w:rPr>
          <w:rFonts w:ascii="Times New Roman" w:hAnsi="Times New Roman" w:eastAsia="宋体" w:cs="Times New Roman"/>
          <w:b/>
        </w:rPr>
      </w:pPr>
      <w:r>
        <w:rPr>
          <w:rFonts w:ascii="Times New Roman" w:hAnsi="Times New Roman" w:eastAsia="宋体" w:cs="Times New Roman"/>
          <w:b/>
        </w:rPr>
        <w:t>图</w:t>
      </w:r>
      <w:r>
        <w:rPr>
          <w:rFonts w:hint="eastAsia" w:ascii="Times New Roman" w:hAnsi="Times New Roman" w:eastAsia="宋体" w:cs="Times New Roman"/>
          <w:b/>
        </w:rPr>
        <w:t>4-4 四川省泡菜工业企业生产废水排放去向</w:t>
      </w:r>
    </w:p>
    <w:p>
      <w:pPr>
        <w:keepNext/>
        <w:keepLines/>
        <w:spacing w:before="190" w:beforeLines="50" w:after="190" w:afterLines="50" w:line="360" w:lineRule="auto"/>
        <w:jc w:val="left"/>
        <w:outlineLvl w:val="2"/>
        <w:rPr>
          <w:rFonts w:ascii="Times New Roman" w:hAnsi="Times New Roman" w:eastAsia="宋体" w:cs="Times New Roman"/>
          <w:b/>
          <w:bCs/>
          <w:sz w:val="24"/>
          <w:szCs w:val="32"/>
        </w:rPr>
      </w:pPr>
      <w:bookmarkStart w:id="20" w:name="_Toc76386098"/>
      <w:r>
        <w:rPr>
          <w:rFonts w:hint="eastAsia" w:ascii="Times New Roman" w:hAnsi="Times New Roman" w:eastAsia="宋体" w:cs="Times New Roman"/>
          <w:b/>
          <w:bCs/>
          <w:sz w:val="24"/>
          <w:szCs w:val="32"/>
        </w:rPr>
        <w:t>4.2.3 废水水质分析</w:t>
      </w:r>
      <w:bookmarkEnd w:id="20"/>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四川泡菜的原料和生产工艺决定了泡菜生产废水的显著特点，一般情况下泡菜生产中盐渍、清洗、脱盐、脱水工段是废水产生的主要环节，盐渍和清洗脱盐废水的悬浮物、COD、氮、磷含量较高，同时氯离子的浓度也非常高，盐度约为2%</w:t>
      </w:r>
      <w:r>
        <w:rPr>
          <w:rFonts w:ascii="Times New Roman" w:hAnsi="Times New Roman" w:eastAsia="宋体" w:cs="Times New Roman"/>
          <w:szCs w:val="22"/>
        </w:rPr>
        <w:t>~</w:t>
      </w:r>
      <w:r>
        <w:rPr>
          <w:rFonts w:hint="eastAsia" w:ascii="Times New Roman" w:hAnsi="Times New Roman" w:eastAsia="宋体" w:cs="Times New Roman"/>
          <w:szCs w:val="22"/>
        </w:rPr>
        <w:t>15%。根据项目组检测，不同工段废水水质特征见表4-3至4-6，其中综合废水盐度约为0</w:t>
      </w:r>
      <w:r>
        <w:rPr>
          <w:rFonts w:ascii="Times New Roman" w:hAnsi="Times New Roman" w:eastAsia="宋体" w:cs="Times New Roman"/>
          <w:szCs w:val="22"/>
        </w:rPr>
        <w:t>.8</w:t>
      </w:r>
      <w:r>
        <w:rPr>
          <w:rFonts w:hint="eastAsia" w:ascii="Times New Roman" w:hAnsi="Times New Roman" w:eastAsia="宋体" w:cs="Times New Roman"/>
          <w:szCs w:val="22"/>
        </w:rPr>
        <w:t>%~</w:t>
      </w:r>
      <w:r>
        <w:rPr>
          <w:rFonts w:ascii="Times New Roman" w:hAnsi="Times New Roman" w:eastAsia="宋体" w:cs="Times New Roman"/>
          <w:szCs w:val="22"/>
        </w:rPr>
        <w:t>1</w:t>
      </w:r>
      <w:r>
        <w:rPr>
          <w:rFonts w:hint="eastAsia" w:ascii="Times New Roman" w:hAnsi="Times New Roman" w:eastAsia="宋体" w:cs="Times New Roman"/>
          <w:szCs w:val="22"/>
        </w:rPr>
        <w:t>%（氯离子浓度约4</w:t>
      </w:r>
      <w:r>
        <w:rPr>
          <w:rFonts w:ascii="Times New Roman" w:hAnsi="Times New Roman" w:eastAsia="宋体" w:cs="Times New Roman"/>
          <w:szCs w:val="22"/>
        </w:rPr>
        <w:t>800mg/L</w:t>
      </w:r>
      <w:r>
        <w:rPr>
          <w:rFonts w:hint="eastAsia" w:ascii="Times New Roman" w:hAnsi="Times New Roman" w:eastAsia="宋体" w:cs="Times New Roman"/>
          <w:szCs w:val="22"/>
        </w:rPr>
        <w:t>~</w:t>
      </w:r>
      <w:r>
        <w:rPr>
          <w:rFonts w:ascii="Times New Roman" w:hAnsi="Times New Roman" w:eastAsia="宋体" w:cs="Times New Roman"/>
          <w:szCs w:val="22"/>
        </w:rPr>
        <w:t xml:space="preserve"> 7200mg</w:t>
      </w:r>
      <w:r>
        <w:rPr>
          <w:rFonts w:hint="eastAsia" w:ascii="Times New Roman" w:hAnsi="Times New Roman" w:eastAsia="宋体" w:cs="Times New Roman"/>
          <w:szCs w:val="22"/>
        </w:rPr>
        <w:t>/</w:t>
      </w:r>
      <w:r>
        <w:rPr>
          <w:rFonts w:ascii="Times New Roman" w:hAnsi="Times New Roman" w:eastAsia="宋体" w:cs="Times New Roman"/>
          <w:szCs w:val="22"/>
        </w:rPr>
        <w:t>L</w:t>
      </w:r>
      <w:r>
        <w:rPr>
          <w:rFonts w:hint="eastAsia" w:ascii="Times New Roman" w:hAnsi="Times New Roman" w:eastAsia="宋体" w:cs="Times New Roman"/>
          <w:szCs w:val="22"/>
        </w:rPr>
        <w:t>）。</w:t>
      </w:r>
    </w:p>
    <w:p>
      <w:pPr>
        <w:spacing w:line="440" w:lineRule="exact"/>
        <w:jc w:val="center"/>
        <w:rPr>
          <w:rFonts w:ascii="Times New Roman" w:hAnsi="Times New Roman" w:eastAsia="宋体" w:cs="Times New Roman"/>
          <w:b/>
        </w:rPr>
      </w:pPr>
      <w:r>
        <w:rPr>
          <w:rFonts w:ascii="Times New Roman" w:hAnsi="Times New Roman" w:eastAsia="宋体" w:cs="Times New Roman"/>
          <w:b/>
        </w:rPr>
        <w:t>表</w:t>
      </w:r>
      <w:r>
        <w:rPr>
          <w:rFonts w:hint="eastAsia" w:ascii="Times New Roman" w:hAnsi="Times New Roman" w:eastAsia="宋体" w:cs="Times New Roman"/>
          <w:b/>
        </w:rPr>
        <w:t>4</w:t>
      </w:r>
      <w:r>
        <w:rPr>
          <w:rFonts w:ascii="Times New Roman" w:hAnsi="Times New Roman" w:eastAsia="宋体" w:cs="Times New Roman"/>
          <w:b/>
        </w:rPr>
        <w:t>-</w:t>
      </w:r>
      <w:r>
        <w:rPr>
          <w:rFonts w:hint="eastAsia" w:ascii="Times New Roman" w:hAnsi="Times New Roman" w:eastAsia="宋体" w:cs="Times New Roman"/>
          <w:b/>
        </w:rPr>
        <w:t>3 盐渍工段</w:t>
      </w:r>
      <w:r>
        <w:rPr>
          <w:rFonts w:ascii="Times New Roman" w:hAnsi="Times New Roman" w:eastAsia="宋体" w:cs="Times New Roman"/>
          <w:b/>
        </w:rPr>
        <w:t>废水水质特征</w:t>
      </w:r>
    </w:p>
    <w:tbl>
      <w:tblPr>
        <w:tblStyle w:val="25"/>
        <w:tblW w:w="835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27"/>
        <w:gridCol w:w="1321"/>
        <w:gridCol w:w="1127"/>
        <w:gridCol w:w="1046"/>
        <w:gridCol w:w="1427"/>
        <w:gridCol w:w="1107"/>
        <w:gridCol w:w="119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8" w:hRule="atLeast"/>
        </w:trPr>
        <w:tc>
          <w:tcPr>
            <w:tcW w:w="1284" w:type="dxa"/>
            <w:vAlign w:val="center"/>
          </w:tcPr>
          <w:p>
            <w:pPr>
              <w:jc w:val="center"/>
              <w:rPr>
                <w:rFonts w:ascii="Times New Roman" w:hAnsi="Times New Roman" w:eastAsia="宋体" w:cs="Times New Roman"/>
                <w:b/>
                <w:sz w:val="18"/>
                <w:szCs w:val="22"/>
              </w:rPr>
            </w:pPr>
            <w:r>
              <w:rPr>
                <w:rFonts w:ascii="Times New Roman" w:hAnsi="Times New Roman" w:eastAsia="宋体" w:cs="Times New Roman"/>
                <w:b/>
                <w:sz w:val="18"/>
                <w:szCs w:val="22"/>
              </w:rPr>
              <w:t>项目</w:t>
            </w:r>
          </w:p>
        </w:tc>
        <w:tc>
          <w:tcPr>
            <w:tcW w:w="1397" w:type="dxa"/>
            <w:vAlign w:val="center"/>
          </w:tcPr>
          <w:p>
            <w:pPr>
              <w:jc w:val="center"/>
              <w:rPr>
                <w:rFonts w:ascii="Times New Roman" w:hAnsi="Times New Roman" w:eastAsia="宋体" w:cs="Times New Roman"/>
                <w:b/>
                <w:sz w:val="18"/>
                <w:szCs w:val="22"/>
              </w:rPr>
            </w:pPr>
            <w:r>
              <w:rPr>
                <w:rFonts w:ascii="Times New Roman" w:hAnsi="Times New Roman" w:eastAsia="宋体" w:cs="Times New Roman"/>
                <w:b/>
                <w:sz w:val="18"/>
                <w:szCs w:val="22"/>
              </w:rPr>
              <w:t>SS</w:t>
            </w:r>
          </w:p>
          <w:p>
            <w:pPr>
              <w:jc w:val="center"/>
              <w:rPr>
                <w:rFonts w:ascii="Times New Roman" w:hAnsi="Times New Roman" w:eastAsia="宋体" w:cs="Times New Roman"/>
                <w:b/>
                <w:sz w:val="18"/>
                <w:szCs w:val="22"/>
              </w:rPr>
            </w:pPr>
            <w:r>
              <w:rPr>
                <w:rFonts w:ascii="Times New Roman" w:hAnsi="Times New Roman" w:eastAsia="宋体" w:cs="Times New Roman"/>
                <w:b/>
                <w:sz w:val="18"/>
                <w:szCs w:val="22"/>
              </w:rPr>
              <w:t>(</w:t>
            </w:r>
            <w:r>
              <w:rPr>
                <w:rFonts w:hint="eastAsia" w:ascii="Times New Roman" w:hAnsi="Times New Roman" w:eastAsia="宋体" w:cs="Times New Roman"/>
                <w:b/>
                <w:sz w:val="18"/>
                <w:szCs w:val="22"/>
              </w:rPr>
              <w:t>m</w:t>
            </w:r>
            <w:r>
              <w:rPr>
                <w:rFonts w:ascii="Times New Roman" w:hAnsi="Times New Roman" w:eastAsia="宋体" w:cs="Times New Roman"/>
                <w:b/>
                <w:sz w:val="18"/>
                <w:szCs w:val="22"/>
              </w:rPr>
              <w:t>g/L)</w:t>
            </w:r>
          </w:p>
        </w:tc>
        <w:tc>
          <w:tcPr>
            <w:tcW w:w="1137" w:type="dxa"/>
            <w:vAlign w:val="center"/>
          </w:tcPr>
          <w:p>
            <w:pPr>
              <w:jc w:val="center"/>
              <w:rPr>
                <w:rFonts w:ascii="Times New Roman" w:hAnsi="Times New Roman" w:eastAsia="宋体" w:cs="Times New Roman"/>
                <w:b/>
                <w:sz w:val="18"/>
                <w:szCs w:val="22"/>
              </w:rPr>
            </w:pPr>
            <w:r>
              <w:rPr>
                <w:rFonts w:hint="eastAsia" w:ascii="Times New Roman" w:hAnsi="Times New Roman" w:eastAsia="宋体" w:cs="Times New Roman"/>
                <w:b/>
                <w:sz w:val="18"/>
                <w:szCs w:val="22"/>
              </w:rPr>
              <w:t>NH</w:t>
            </w:r>
            <w:r>
              <w:rPr>
                <w:rFonts w:hint="eastAsia" w:ascii="Times New Roman" w:hAnsi="Times New Roman" w:eastAsia="宋体" w:cs="Times New Roman"/>
                <w:b/>
                <w:sz w:val="18"/>
                <w:szCs w:val="22"/>
                <w:vertAlign w:val="subscript"/>
              </w:rPr>
              <w:t>3</w:t>
            </w:r>
            <w:r>
              <w:rPr>
                <w:rFonts w:hint="eastAsia" w:ascii="Times New Roman" w:hAnsi="Times New Roman" w:eastAsia="宋体" w:cs="Times New Roman"/>
                <w:b/>
                <w:sz w:val="18"/>
                <w:szCs w:val="22"/>
              </w:rPr>
              <w:t>-N</w:t>
            </w:r>
          </w:p>
          <w:p>
            <w:pPr>
              <w:jc w:val="center"/>
              <w:rPr>
                <w:rFonts w:ascii="Times New Roman" w:hAnsi="Times New Roman" w:eastAsia="宋体" w:cs="Times New Roman"/>
                <w:b/>
                <w:sz w:val="18"/>
                <w:szCs w:val="22"/>
              </w:rPr>
            </w:pPr>
            <w:r>
              <w:rPr>
                <w:rFonts w:hint="eastAsia" w:ascii="Times New Roman" w:hAnsi="Times New Roman" w:eastAsia="宋体" w:cs="Times New Roman"/>
                <w:b/>
                <w:sz w:val="18"/>
                <w:szCs w:val="22"/>
              </w:rPr>
              <w:t>(mg/L)</w:t>
            </w:r>
          </w:p>
        </w:tc>
        <w:tc>
          <w:tcPr>
            <w:tcW w:w="1125" w:type="dxa"/>
            <w:vAlign w:val="center"/>
          </w:tcPr>
          <w:p>
            <w:pPr>
              <w:jc w:val="center"/>
              <w:rPr>
                <w:rFonts w:ascii="Times New Roman" w:hAnsi="Times New Roman" w:eastAsia="宋体" w:cs="Times New Roman"/>
                <w:b/>
                <w:sz w:val="18"/>
                <w:szCs w:val="22"/>
              </w:rPr>
            </w:pPr>
            <w:r>
              <w:rPr>
                <w:rFonts w:hint="eastAsia" w:ascii="Times New Roman" w:hAnsi="Times New Roman" w:eastAsia="宋体" w:cs="Times New Roman"/>
                <w:b/>
                <w:sz w:val="18"/>
                <w:szCs w:val="22"/>
              </w:rPr>
              <w:t>NaCl</w:t>
            </w:r>
          </w:p>
          <w:p>
            <w:pPr>
              <w:jc w:val="center"/>
              <w:rPr>
                <w:rFonts w:ascii="Times New Roman" w:hAnsi="Times New Roman" w:eastAsia="宋体" w:cs="Times New Roman"/>
                <w:b/>
                <w:sz w:val="18"/>
                <w:szCs w:val="22"/>
              </w:rPr>
            </w:pPr>
            <w:r>
              <w:rPr>
                <w:rFonts w:hint="eastAsia" w:ascii="Times New Roman" w:hAnsi="Times New Roman" w:eastAsia="宋体" w:cs="Times New Roman"/>
                <w:b/>
                <w:sz w:val="18"/>
                <w:szCs w:val="22"/>
              </w:rPr>
              <w:t>(%)</w:t>
            </w:r>
          </w:p>
        </w:tc>
        <w:tc>
          <w:tcPr>
            <w:tcW w:w="1137" w:type="dxa"/>
            <w:vAlign w:val="center"/>
          </w:tcPr>
          <w:p>
            <w:pPr>
              <w:jc w:val="center"/>
              <w:rPr>
                <w:rFonts w:ascii="Times New Roman" w:hAnsi="Times New Roman" w:eastAsia="宋体" w:cs="Times New Roman"/>
                <w:b/>
                <w:sz w:val="18"/>
                <w:szCs w:val="22"/>
              </w:rPr>
            </w:pPr>
            <w:r>
              <w:rPr>
                <w:rFonts w:hint="eastAsia" w:ascii="Times New Roman" w:hAnsi="Times New Roman" w:eastAsia="宋体" w:cs="Times New Roman"/>
                <w:b/>
                <w:sz w:val="18"/>
                <w:szCs w:val="22"/>
              </w:rPr>
              <w:t>COD</w:t>
            </w:r>
          </w:p>
          <w:p>
            <w:pPr>
              <w:jc w:val="center"/>
              <w:rPr>
                <w:rFonts w:ascii="Times New Roman" w:hAnsi="Times New Roman" w:eastAsia="宋体" w:cs="Times New Roman"/>
                <w:b/>
                <w:sz w:val="18"/>
                <w:szCs w:val="22"/>
              </w:rPr>
            </w:pPr>
            <w:r>
              <w:rPr>
                <w:rFonts w:hint="eastAsia" w:ascii="Times New Roman" w:hAnsi="Times New Roman" w:eastAsia="宋体" w:cs="Times New Roman"/>
                <w:b/>
                <w:sz w:val="18"/>
                <w:szCs w:val="22"/>
              </w:rPr>
              <w:t>(mg/L)</w:t>
            </w:r>
          </w:p>
        </w:tc>
        <w:tc>
          <w:tcPr>
            <w:tcW w:w="1137" w:type="dxa"/>
            <w:vAlign w:val="center"/>
          </w:tcPr>
          <w:p>
            <w:pPr>
              <w:jc w:val="center"/>
              <w:rPr>
                <w:rFonts w:ascii="Times New Roman" w:hAnsi="Times New Roman" w:eastAsia="宋体" w:cs="Times New Roman"/>
                <w:b/>
                <w:sz w:val="18"/>
                <w:szCs w:val="22"/>
              </w:rPr>
            </w:pPr>
            <w:r>
              <w:rPr>
                <w:rFonts w:hint="eastAsia" w:ascii="Times New Roman" w:hAnsi="Times New Roman" w:eastAsia="宋体" w:cs="Times New Roman"/>
                <w:b/>
                <w:sz w:val="18"/>
                <w:szCs w:val="22"/>
              </w:rPr>
              <w:t>TP</w:t>
            </w:r>
          </w:p>
          <w:p>
            <w:pPr>
              <w:jc w:val="center"/>
              <w:rPr>
                <w:rFonts w:ascii="Times New Roman" w:hAnsi="Times New Roman" w:eastAsia="宋体" w:cs="Times New Roman"/>
                <w:b/>
                <w:sz w:val="18"/>
                <w:szCs w:val="22"/>
              </w:rPr>
            </w:pPr>
            <w:r>
              <w:rPr>
                <w:rFonts w:hint="eastAsia" w:ascii="Times New Roman" w:hAnsi="Times New Roman" w:eastAsia="宋体" w:cs="Times New Roman"/>
                <w:b/>
                <w:sz w:val="18"/>
                <w:szCs w:val="22"/>
              </w:rPr>
              <w:t>(mg/L)</w:t>
            </w:r>
          </w:p>
        </w:tc>
        <w:tc>
          <w:tcPr>
            <w:tcW w:w="1137" w:type="dxa"/>
            <w:vAlign w:val="center"/>
          </w:tcPr>
          <w:p>
            <w:pPr>
              <w:jc w:val="center"/>
              <w:rPr>
                <w:rFonts w:ascii="Times New Roman" w:hAnsi="Times New Roman" w:eastAsia="宋体" w:cs="Times New Roman"/>
                <w:b/>
                <w:sz w:val="18"/>
                <w:szCs w:val="22"/>
              </w:rPr>
            </w:pPr>
            <w:r>
              <w:rPr>
                <w:rFonts w:hint="eastAsia" w:ascii="Times New Roman" w:hAnsi="Times New Roman" w:eastAsia="宋体" w:cs="Times New Roman"/>
                <w:b/>
                <w:sz w:val="18"/>
                <w:szCs w:val="22"/>
              </w:rPr>
              <w:t>TN</w:t>
            </w:r>
          </w:p>
          <w:p>
            <w:pPr>
              <w:jc w:val="center"/>
              <w:rPr>
                <w:rFonts w:ascii="Times New Roman" w:hAnsi="Times New Roman" w:eastAsia="宋体" w:cs="Times New Roman"/>
                <w:b/>
                <w:sz w:val="18"/>
                <w:szCs w:val="22"/>
              </w:rPr>
            </w:pPr>
            <w:r>
              <w:rPr>
                <w:rFonts w:hint="eastAsia" w:ascii="Times New Roman" w:hAnsi="Times New Roman" w:eastAsia="宋体" w:cs="Times New Roman"/>
                <w:b/>
                <w:sz w:val="18"/>
                <w:szCs w:val="22"/>
              </w:rPr>
              <w:t>(mg/L)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7" w:hRule="atLeast"/>
        </w:trPr>
        <w:tc>
          <w:tcPr>
            <w:tcW w:w="1284" w:type="dxa"/>
            <w:vAlign w:val="center"/>
          </w:tcPr>
          <w:p>
            <w:pPr>
              <w:jc w:val="center"/>
              <w:rPr>
                <w:rFonts w:ascii="Times New Roman" w:hAnsi="Times New Roman" w:eastAsia="宋体" w:cs="Times New Roman"/>
                <w:b/>
                <w:sz w:val="18"/>
                <w:szCs w:val="22"/>
              </w:rPr>
            </w:pPr>
            <w:r>
              <w:rPr>
                <w:rFonts w:ascii="Times New Roman" w:hAnsi="Times New Roman" w:eastAsia="宋体" w:cs="Times New Roman"/>
                <w:b/>
                <w:sz w:val="18"/>
                <w:szCs w:val="22"/>
              </w:rPr>
              <w:t>数值</w:t>
            </w:r>
          </w:p>
        </w:tc>
        <w:tc>
          <w:tcPr>
            <w:tcW w:w="1397" w:type="dxa"/>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180-800</w:t>
            </w:r>
          </w:p>
        </w:tc>
        <w:tc>
          <w:tcPr>
            <w:tcW w:w="1137" w:type="dxa"/>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500-1000</w:t>
            </w:r>
          </w:p>
        </w:tc>
        <w:tc>
          <w:tcPr>
            <w:tcW w:w="1125" w:type="dxa"/>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6-18</w:t>
            </w:r>
          </w:p>
        </w:tc>
        <w:tc>
          <w:tcPr>
            <w:tcW w:w="1137" w:type="dxa"/>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42000-60000</w:t>
            </w:r>
          </w:p>
        </w:tc>
        <w:tc>
          <w:tcPr>
            <w:tcW w:w="1137" w:type="dxa"/>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190-350</w:t>
            </w:r>
          </w:p>
        </w:tc>
        <w:tc>
          <w:tcPr>
            <w:tcW w:w="1137" w:type="dxa"/>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2000-2800</w:t>
            </w:r>
          </w:p>
        </w:tc>
      </w:tr>
    </w:tbl>
    <w:p>
      <w:pPr>
        <w:spacing w:line="440" w:lineRule="exact"/>
        <w:jc w:val="center"/>
        <w:rPr>
          <w:rFonts w:ascii="Times New Roman" w:hAnsi="Times New Roman" w:eastAsia="宋体" w:cs="Times New Roman"/>
          <w:b/>
        </w:rPr>
      </w:pPr>
      <w:r>
        <w:rPr>
          <w:rFonts w:ascii="Times New Roman" w:hAnsi="Times New Roman" w:eastAsia="宋体" w:cs="Times New Roman"/>
          <w:b/>
        </w:rPr>
        <w:t>表</w:t>
      </w:r>
      <w:r>
        <w:rPr>
          <w:rFonts w:hint="eastAsia" w:ascii="Times New Roman" w:hAnsi="Times New Roman" w:eastAsia="宋体" w:cs="Times New Roman"/>
          <w:b/>
        </w:rPr>
        <w:t>4</w:t>
      </w:r>
      <w:r>
        <w:rPr>
          <w:rFonts w:ascii="Times New Roman" w:hAnsi="Times New Roman" w:eastAsia="宋体" w:cs="Times New Roman"/>
          <w:b/>
        </w:rPr>
        <w:t>-</w:t>
      </w:r>
      <w:r>
        <w:rPr>
          <w:rFonts w:hint="eastAsia" w:ascii="Times New Roman" w:hAnsi="Times New Roman" w:eastAsia="宋体" w:cs="Times New Roman"/>
          <w:b/>
        </w:rPr>
        <w:t>4 清洗工段</w:t>
      </w:r>
      <w:r>
        <w:rPr>
          <w:rFonts w:ascii="Times New Roman" w:hAnsi="Times New Roman" w:eastAsia="宋体" w:cs="Times New Roman"/>
          <w:b/>
        </w:rPr>
        <w:t>废水水质特征</w:t>
      </w:r>
    </w:p>
    <w:tbl>
      <w:tblPr>
        <w:tblStyle w:val="25"/>
        <w:tblW w:w="835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62"/>
        <w:gridCol w:w="1385"/>
        <w:gridCol w:w="1131"/>
        <w:gridCol w:w="1114"/>
        <w:gridCol w:w="1198"/>
        <w:gridCol w:w="1131"/>
        <w:gridCol w:w="113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8" w:hRule="atLeast"/>
        </w:trPr>
        <w:tc>
          <w:tcPr>
            <w:tcW w:w="1284" w:type="dxa"/>
            <w:vAlign w:val="center"/>
          </w:tcPr>
          <w:p>
            <w:pPr>
              <w:jc w:val="center"/>
              <w:rPr>
                <w:rFonts w:ascii="Times New Roman" w:hAnsi="Times New Roman" w:eastAsia="宋体" w:cs="Times New Roman"/>
                <w:b/>
                <w:sz w:val="18"/>
                <w:szCs w:val="22"/>
              </w:rPr>
            </w:pPr>
            <w:r>
              <w:rPr>
                <w:rFonts w:ascii="Times New Roman" w:hAnsi="Times New Roman" w:eastAsia="宋体" w:cs="Times New Roman"/>
                <w:b/>
                <w:sz w:val="18"/>
                <w:szCs w:val="22"/>
              </w:rPr>
              <w:t>项目</w:t>
            </w:r>
          </w:p>
        </w:tc>
        <w:tc>
          <w:tcPr>
            <w:tcW w:w="1397" w:type="dxa"/>
            <w:vAlign w:val="center"/>
          </w:tcPr>
          <w:p>
            <w:pPr>
              <w:jc w:val="center"/>
              <w:rPr>
                <w:rFonts w:ascii="Times New Roman" w:hAnsi="Times New Roman" w:eastAsia="宋体" w:cs="Times New Roman"/>
                <w:b/>
                <w:sz w:val="18"/>
                <w:szCs w:val="22"/>
              </w:rPr>
            </w:pPr>
            <w:r>
              <w:rPr>
                <w:rFonts w:ascii="Times New Roman" w:hAnsi="Times New Roman" w:eastAsia="宋体" w:cs="Times New Roman"/>
                <w:b/>
                <w:sz w:val="18"/>
                <w:szCs w:val="22"/>
              </w:rPr>
              <w:t>SS</w:t>
            </w:r>
          </w:p>
          <w:p>
            <w:pPr>
              <w:jc w:val="center"/>
              <w:rPr>
                <w:rFonts w:ascii="Times New Roman" w:hAnsi="Times New Roman" w:eastAsia="宋体" w:cs="Times New Roman"/>
                <w:b/>
                <w:sz w:val="18"/>
                <w:szCs w:val="22"/>
              </w:rPr>
            </w:pPr>
            <w:r>
              <w:rPr>
                <w:rFonts w:ascii="Times New Roman" w:hAnsi="Times New Roman" w:eastAsia="宋体" w:cs="Times New Roman"/>
                <w:b/>
                <w:sz w:val="18"/>
                <w:szCs w:val="22"/>
              </w:rPr>
              <w:t>(</w:t>
            </w:r>
            <w:r>
              <w:rPr>
                <w:rFonts w:hint="eastAsia" w:ascii="Times New Roman" w:hAnsi="Times New Roman" w:eastAsia="宋体" w:cs="Times New Roman"/>
                <w:b/>
                <w:sz w:val="18"/>
                <w:szCs w:val="22"/>
              </w:rPr>
              <w:t>m</w:t>
            </w:r>
            <w:r>
              <w:rPr>
                <w:rFonts w:ascii="Times New Roman" w:hAnsi="Times New Roman" w:eastAsia="宋体" w:cs="Times New Roman"/>
                <w:b/>
                <w:sz w:val="18"/>
                <w:szCs w:val="22"/>
              </w:rPr>
              <w:t>g/L)</w:t>
            </w:r>
          </w:p>
        </w:tc>
        <w:tc>
          <w:tcPr>
            <w:tcW w:w="1137" w:type="dxa"/>
            <w:vAlign w:val="center"/>
          </w:tcPr>
          <w:p>
            <w:pPr>
              <w:jc w:val="center"/>
              <w:rPr>
                <w:rFonts w:ascii="Times New Roman" w:hAnsi="Times New Roman" w:eastAsia="宋体" w:cs="Times New Roman"/>
                <w:b/>
                <w:sz w:val="18"/>
                <w:szCs w:val="22"/>
              </w:rPr>
            </w:pPr>
            <w:r>
              <w:rPr>
                <w:rFonts w:hint="eastAsia" w:ascii="Times New Roman" w:hAnsi="Times New Roman" w:eastAsia="宋体" w:cs="Times New Roman"/>
                <w:b/>
                <w:sz w:val="18"/>
                <w:szCs w:val="22"/>
              </w:rPr>
              <w:t>NH</w:t>
            </w:r>
            <w:r>
              <w:rPr>
                <w:rFonts w:hint="eastAsia" w:ascii="Times New Roman" w:hAnsi="Times New Roman" w:eastAsia="宋体" w:cs="Times New Roman"/>
                <w:b/>
                <w:sz w:val="18"/>
                <w:szCs w:val="22"/>
                <w:vertAlign w:val="subscript"/>
              </w:rPr>
              <w:t>3</w:t>
            </w:r>
            <w:r>
              <w:rPr>
                <w:rFonts w:hint="eastAsia" w:ascii="Times New Roman" w:hAnsi="Times New Roman" w:eastAsia="宋体" w:cs="Times New Roman"/>
                <w:b/>
                <w:sz w:val="18"/>
                <w:szCs w:val="22"/>
              </w:rPr>
              <w:t>-N</w:t>
            </w:r>
          </w:p>
          <w:p>
            <w:pPr>
              <w:jc w:val="center"/>
              <w:rPr>
                <w:rFonts w:ascii="Times New Roman" w:hAnsi="Times New Roman" w:eastAsia="宋体" w:cs="Times New Roman"/>
                <w:b/>
                <w:sz w:val="18"/>
                <w:szCs w:val="22"/>
              </w:rPr>
            </w:pPr>
            <w:r>
              <w:rPr>
                <w:rFonts w:hint="eastAsia" w:ascii="Times New Roman" w:hAnsi="Times New Roman" w:eastAsia="宋体" w:cs="Times New Roman"/>
                <w:b/>
                <w:sz w:val="18"/>
                <w:szCs w:val="22"/>
              </w:rPr>
              <w:t>(mg/L)</w:t>
            </w:r>
          </w:p>
        </w:tc>
        <w:tc>
          <w:tcPr>
            <w:tcW w:w="1125" w:type="dxa"/>
            <w:vAlign w:val="center"/>
          </w:tcPr>
          <w:p>
            <w:pPr>
              <w:jc w:val="center"/>
              <w:rPr>
                <w:rFonts w:ascii="Times New Roman" w:hAnsi="Times New Roman" w:eastAsia="宋体" w:cs="Times New Roman"/>
                <w:b/>
                <w:sz w:val="18"/>
                <w:szCs w:val="22"/>
              </w:rPr>
            </w:pPr>
            <w:r>
              <w:rPr>
                <w:rFonts w:hint="eastAsia" w:ascii="Times New Roman" w:hAnsi="Times New Roman" w:eastAsia="宋体" w:cs="Times New Roman"/>
                <w:b/>
                <w:sz w:val="18"/>
                <w:szCs w:val="22"/>
              </w:rPr>
              <w:t>NaCl</w:t>
            </w:r>
          </w:p>
          <w:p>
            <w:pPr>
              <w:jc w:val="center"/>
              <w:rPr>
                <w:rFonts w:ascii="Times New Roman" w:hAnsi="Times New Roman" w:eastAsia="宋体" w:cs="Times New Roman"/>
                <w:b/>
                <w:sz w:val="18"/>
                <w:szCs w:val="22"/>
              </w:rPr>
            </w:pPr>
            <w:r>
              <w:rPr>
                <w:rFonts w:hint="eastAsia" w:ascii="Times New Roman" w:hAnsi="Times New Roman" w:eastAsia="宋体" w:cs="Times New Roman"/>
                <w:b/>
                <w:sz w:val="18"/>
                <w:szCs w:val="22"/>
              </w:rPr>
              <w:t>(%)</w:t>
            </w:r>
          </w:p>
        </w:tc>
        <w:tc>
          <w:tcPr>
            <w:tcW w:w="1137" w:type="dxa"/>
            <w:vAlign w:val="center"/>
          </w:tcPr>
          <w:p>
            <w:pPr>
              <w:jc w:val="center"/>
              <w:rPr>
                <w:rFonts w:ascii="Times New Roman" w:hAnsi="Times New Roman" w:eastAsia="宋体" w:cs="Times New Roman"/>
                <w:b/>
                <w:sz w:val="18"/>
                <w:szCs w:val="22"/>
              </w:rPr>
            </w:pPr>
            <w:r>
              <w:rPr>
                <w:rFonts w:hint="eastAsia" w:ascii="Times New Roman" w:hAnsi="Times New Roman" w:eastAsia="宋体" w:cs="Times New Roman"/>
                <w:b/>
                <w:sz w:val="18"/>
                <w:szCs w:val="22"/>
              </w:rPr>
              <w:t>COD</w:t>
            </w:r>
          </w:p>
          <w:p>
            <w:pPr>
              <w:jc w:val="center"/>
              <w:rPr>
                <w:rFonts w:ascii="Times New Roman" w:hAnsi="Times New Roman" w:eastAsia="宋体" w:cs="Times New Roman"/>
                <w:b/>
                <w:sz w:val="18"/>
                <w:szCs w:val="22"/>
              </w:rPr>
            </w:pPr>
            <w:r>
              <w:rPr>
                <w:rFonts w:hint="eastAsia" w:ascii="Times New Roman" w:hAnsi="Times New Roman" w:eastAsia="宋体" w:cs="Times New Roman"/>
                <w:b/>
                <w:sz w:val="18"/>
                <w:szCs w:val="22"/>
              </w:rPr>
              <w:t>(mg/L)</w:t>
            </w:r>
          </w:p>
        </w:tc>
        <w:tc>
          <w:tcPr>
            <w:tcW w:w="1137" w:type="dxa"/>
            <w:vAlign w:val="center"/>
          </w:tcPr>
          <w:p>
            <w:pPr>
              <w:jc w:val="center"/>
              <w:rPr>
                <w:rFonts w:ascii="Times New Roman" w:hAnsi="Times New Roman" w:eastAsia="宋体" w:cs="Times New Roman"/>
                <w:b/>
                <w:sz w:val="18"/>
                <w:szCs w:val="22"/>
              </w:rPr>
            </w:pPr>
            <w:r>
              <w:rPr>
                <w:rFonts w:hint="eastAsia" w:ascii="Times New Roman" w:hAnsi="Times New Roman" w:eastAsia="宋体" w:cs="Times New Roman"/>
                <w:b/>
                <w:sz w:val="18"/>
                <w:szCs w:val="22"/>
              </w:rPr>
              <w:t>TP</w:t>
            </w:r>
          </w:p>
          <w:p>
            <w:pPr>
              <w:jc w:val="center"/>
              <w:rPr>
                <w:rFonts w:ascii="Times New Roman" w:hAnsi="Times New Roman" w:eastAsia="宋体" w:cs="Times New Roman"/>
                <w:b/>
                <w:sz w:val="18"/>
                <w:szCs w:val="22"/>
              </w:rPr>
            </w:pPr>
            <w:r>
              <w:rPr>
                <w:rFonts w:hint="eastAsia" w:ascii="Times New Roman" w:hAnsi="Times New Roman" w:eastAsia="宋体" w:cs="Times New Roman"/>
                <w:b/>
                <w:sz w:val="18"/>
                <w:szCs w:val="22"/>
              </w:rPr>
              <w:t>(mg/L)</w:t>
            </w:r>
          </w:p>
        </w:tc>
        <w:tc>
          <w:tcPr>
            <w:tcW w:w="1137" w:type="dxa"/>
            <w:vAlign w:val="center"/>
          </w:tcPr>
          <w:p>
            <w:pPr>
              <w:jc w:val="center"/>
              <w:rPr>
                <w:rFonts w:ascii="Times New Roman" w:hAnsi="Times New Roman" w:eastAsia="宋体" w:cs="Times New Roman"/>
                <w:b/>
                <w:sz w:val="18"/>
                <w:szCs w:val="22"/>
              </w:rPr>
            </w:pPr>
            <w:r>
              <w:rPr>
                <w:rFonts w:hint="eastAsia" w:ascii="Times New Roman" w:hAnsi="Times New Roman" w:eastAsia="宋体" w:cs="Times New Roman"/>
                <w:b/>
                <w:sz w:val="18"/>
                <w:szCs w:val="22"/>
              </w:rPr>
              <w:t>TN</w:t>
            </w:r>
          </w:p>
          <w:p>
            <w:pPr>
              <w:jc w:val="center"/>
              <w:rPr>
                <w:rFonts w:ascii="Times New Roman" w:hAnsi="Times New Roman" w:eastAsia="宋体" w:cs="Times New Roman"/>
                <w:b/>
                <w:sz w:val="18"/>
                <w:szCs w:val="22"/>
              </w:rPr>
            </w:pPr>
            <w:r>
              <w:rPr>
                <w:rFonts w:hint="eastAsia" w:ascii="Times New Roman" w:hAnsi="Times New Roman" w:eastAsia="宋体" w:cs="Times New Roman"/>
                <w:b/>
                <w:sz w:val="18"/>
                <w:szCs w:val="22"/>
              </w:rPr>
              <w:t>(mg/L)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7" w:hRule="atLeast"/>
        </w:trPr>
        <w:tc>
          <w:tcPr>
            <w:tcW w:w="1284" w:type="dxa"/>
            <w:vAlign w:val="center"/>
          </w:tcPr>
          <w:p>
            <w:pPr>
              <w:jc w:val="center"/>
              <w:rPr>
                <w:rFonts w:ascii="Times New Roman" w:hAnsi="Times New Roman" w:eastAsia="宋体" w:cs="Times New Roman"/>
                <w:b/>
                <w:sz w:val="18"/>
                <w:szCs w:val="22"/>
              </w:rPr>
            </w:pPr>
            <w:r>
              <w:rPr>
                <w:rFonts w:ascii="Times New Roman" w:hAnsi="Times New Roman" w:eastAsia="宋体" w:cs="Times New Roman"/>
                <w:b/>
                <w:sz w:val="18"/>
                <w:szCs w:val="22"/>
              </w:rPr>
              <w:t>数值</w:t>
            </w:r>
          </w:p>
        </w:tc>
        <w:tc>
          <w:tcPr>
            <w:tcW w:w="1397" w:type="dxa"/>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80-130</w:t>
            </w:r>
          </w:p>
        </w:tc>
        <w:tc>
          <w:tcPr>
            <w:tcW w:w="1137" w:type="dxa"/>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50-65</w:t>
            </w:r>
          </w:p>
        </w:tc>
        <w:tc>
          <w:tcPr>
            <w:tcW w:w="1125" w:type="dxa"/>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0.5-1</w:t>
            </w:r>
          </w:p>
        </w:tc>
        <w:tc>
          <w:tcPr>
            <w:tcW w:w="1137" w:type="dxa"/>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1700-3500</w:t>
            </w:r>
          </w:p>
        </w:tc>
        <w:tc>
          <w:tcPr>
            <w:tcW w:w="1137" w:type="dxa"/>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9-12</w:t>
            </w:r>
          </w:p>
        </w:tc>
        <w:tc>
          <w:tcPr>
            <w:tcW w:w="1137" w:type="dxa"/>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100-250</w:t>
            </w:r>
          </w:p>
        </w:tc>
      </w:tr>
    </w:tbl>
    <w:p>
      <w:pPr>
        <w:spacing w:line="440" w:lineRule="exact"/>
        <w:jc w:val="center"/>
        <w:rPr>
          <w:rFonts w:ascii="Times New Roman" w:hAnsi="Times New Roman" w:eastAsia="宋体" w:cs="Times New Roman"/>
          <w:b/>
        </w:rPr>
      </w:pPr>
    </w:p>
    <w:p>
      <w:pPr>
        <w:spacing w:line="440" w:lineRule="exact"/>
        <w:jc w:val="center"/>
        <w:rPr>
          <w:rFonts w:ascii="Times New Roman" w:hAnsi="Times New Roman" w:eastAsia="宋体" w:cs="Times New Roman"/>
          <w:b/>
        </w:rPr>
      </w:pPr>
      <w:r>
        <w:rPr>
          <w:rFonts w:ascii="Times New Roman" w:hAnsi="Times New Roman" w:eastAsia="宋体" w:cs="Times New Roman"/>
          <w:b/>
        </w:rPr>
        <w:t>表</w:t>
      </w:r>
      <w:r>
        <w:rPr>
          <w:rFonts w:hint="eastAsia" w:ascii="Times New Roman" w:hAnsi="Times New Roman" w:eastAsia="宋体" w:cs="Times New Roman"/>
          <w:b/>
        </w:rPr>
        <w:t>4</w:t>
      </w:r>
      <w:r>
        <w:rPr>
          <w:rFonts w:ascii="Times New Roman" w:hAnsi="Times New Roman" w:eastAsia="宋体" w:cs="Times New Roman"/>
          <w:b/>
        </w:rPr>
        <w:t>-</w:t>
      </w:r>
      <w:r>
        <w:rPr>
          <w:rFonts w:hint="eastAsia" w:ascii="Times New Roman" w:hAnsi="Times New Roman" w:eastAsia="宋体" w:cs="Times New Roman"/>
          <w:b/>
        </w:rPr>
        <w:t>5 脱盐工段</w:t>
      </w:r>
      <w:r>
        <w:rPr>
          <w:rFonts w:ascii="Times New Roman" w:hAnsi="Times New Roman" w:eastAsia="宋体" w:cs="Times New Roman"/>
          <w:b/>
        </w:rPr>
        <w:t>废水水质特征</w:t>
      </w:r>
    </w:p>
    <w:tbl>
      <w:tblPr>
        <w:tblStyle w:val="25"/>
        <w:tblW w:w="835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35"/>
        <w:gridCol w:w="1325"/>
        <w:gridCol w:w="1109"/>
        <w:gridCol w:w="1051"/>
        <w:gridCol w:w="1427"/>
        <w:gridCol w:w="1109"/>
        <w:gridCol w:w="119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5" w:hRule="atLeast"/>
        </w:trPr>
        <w:tc>
          <w:tcPr>
            <w:tcW w:w="1284" w:type="dxa"/>
            <w:vAlign w:val="center"/>
          </w:tcPr>
          <w:p>
            <w:pPr>
              <w:jc w:val="center"/>
              <w:rPr>
                <w:rFonts w:ascii="Times New Roman" w:hAnsi="Times New Roman" w:eastAsia="宋体" w:cs="Times New Roman"/>
                <w:b/>
                <w:sz w:val="18"/>
                <w:szCs w:val="22"/>
              </w:rPr>
            </w:pPr>
            <w:r>
              <w:rPr>
                <w:rFonts w:ascii="Times New Roman" w:hAnsi="Times New Roman" w:eastAsia="宋体" w:cs="Times New Roman"/>
                <w:b/>
                <w:sz w:val="18"/>
                <w:szCs w:val="22"/>
              </w:rPr>
              <w:t>项目</w:t>
            </w:r>
          </w:p>
        </w:tc>
        <w:tc>
          <w:tcPr>
            <w:tcW w:w="1397" w:type="dxa"/>
            <w:vAlign w:val="center"/>
          </w:tcPr>
          <w:p>
            <w:pPr>
              <w:jc w:val="center"/>
              <w:rPr>
                <w:rFonts w:ascii="Times New Roman" w:hAnsi="Times New Roman" w:eastAsia="宋体" w:cs="Times New Roman"/>
                <w:b/>
                <w:sz w:val="18"/>
                <w:szCs w:val="22"/>
              </w:rPr>
            </w:pPr>
            <w:r>
              <w:rPr>
                <w:rFonts w:ascii="Times New Roman" w:hAnsi="Times New Roman" w:eastAsia="宋体" w:cs="Times New Roman"/>
                <w:b/>
                <w:sz w:val="18"/>
                <w:szCs w:val="22"/>
              </w:rPr>
              <w:t>SS</w:t>
            </w:r>
          </w:p>
          <w:p>
            <w:pPr>
              <w:jc w:val="center"/>
              <w:rPr>
                <w:rFonts w:ascii="Times New Roman" w:hAnsi="Times New Roman" w:eastAsia="宋体" w:cs="Times New Roman"/>
                <w:b/>
                <w:sz w:val="18"/>
                <w:szCs w:val="22"/>
              </w:rPr>
            </w:pPr>
            <w:r>
              <w:rPr>
                <w:rFonts w:ascii="Times New Roman" w:hAnsi="Times New Roman" w:eastAsia="宋体" w:cs="Times New Roman"/>
                <w:b/>
                <w:sz w:val="18"/>
                <w:szCs w:val="22"/>
              </w:rPr>
              <w:t>(</w:t>
            </w:r>
            <w:r>
              <w:rPr>
                <w:rFonts w:hint="eastAsia" w:ascii="Times New Roman" w:hAnsi="Times New Roman" w:eastAsia="宋体" w:cs="Times New Roman"/>
                <w:b/>
                <w:sz w:val="18"/>
                <w:szCs w:val="22"/>
              </w:rPr>
              <w:t>m</w:t>
            </w:r>
            <w:r>
              <w:rPr>
                <w:rFonts w:ascii="Times New Roman" w:hAnsi="Times New Roman" w:eastAsia="宋体" w:cs="Times New Roman"/>
                <w:b/>
                <w:sz w:val="18"/>
                <w:szCs w:val="22"/>
              </w:rPr>
              <w:t>g/L)</w:t>
            </w:r>
          </w:p>
        </w:tc>
        <w:tc>
          <w:tcPr>
            <w:tcW w:w="1137" w:type="dxa"/>
            <w:vAlign w:val="center"/>
          </w:tcPr>
          <w:p>
            <w:pPr>
              <w:jc w:val="center"/>
              <w:rPr>
                <w:rFonts w:ascii="Times New Roman" w:hAnsi="Times New Roman" w:eastAsia="宋体" w:cs="Times New Roman"/>
                <w:b/>
                <w:sz w:val="18"/>
                <w:szCs w:val="22"/>
              </w:rPr>
            </w:pPr>
            <w:r>
              <w:rPr>
                <w:rFonts w:hint="eastAsia" w:ascii="Times New Roman" w:hAnsi="Times New Roman" w:eastAsia="宋体" w:cs="Times New Roman"/>
                <w:b/>
                <w:sz w:val="18"/>
                <w:szCs w:val="22"/>
              </w:rPr>
              <w:t>NH</w:t>
            </w:r>
            <w:r>
              <w:rPr>
                <w:rFonts w:hint="eastAsia" w:ascii="Times New Roman" w:hAnsi="Times New Roman" w:eastAsia="宋体" w:cs="Times New Roman"/>
                <w:b/>
                <w:sz w:val="18"/>
                <w:szCs w:val="22"/>
                <w:vertAlign w:val="subscript"/>
              </w:rPr>
              <w:t>3</w:t>
            </w:r>
            <w:r>
              <w:rPr>
                <w:rFonts w:hint="eastAsia" w:ascii="Times New Roman" w:hAnsi="Times New Roman" w:eastAsia="宋体" w:cs="Times New Roman"/>
                <w:b/>
                <w:sz w:val="18"/>
                <w:szCs w:val="22"/>
              </w:rPr>
              <w:t>-N</w:t>
            </w:r>
          </w:p>
          <w:p>
            <w:pPr>
              <w:jc w:val="center"/>
              <w:rPr>
                <w:rFonts w:ascii="Times New Roman" w:hAnsi="Times New Roman" w:eastAsia="宋体" w:cs="Times New Roman"/>
                <w:b/>
                <w:sz w:val="18"/>
                <w:szCs w:val="22"/>
              </w:rPr>
            </w:pPr>
            <w:r>
              <w:rPr>
                <w:rFonts w:hint="eastAsia" w:ascii="Times New Roman" w:hAnsi="Times New Roman" w:eastAsia="宋体" w:cs="Times New Roman"/>
                <w:b/>
                <w:sz w:val="18"/>
                <w:szCs w:val="22"/>
              </w:rPr>
              <w:t>(mg/L)</w:t>
            </w:r>
          </w:p>
        </w:tc>
        <w:tc>
          <w:tcPr>
            <w:tcW w:w="1125" w:type="dxa"/>
            <w:vAlign w:val="center"/>
          </w:tcPr>
          <w:p>
            <w:pPr>
              <w:jc w:val="center"/>
              <w:rPr>
                <w:rFonts w:ascii="Times New Roman" w:hAnsi="Times New Roman" w:eastAsia="宋体" w:cs="Times New Roman"/>
                <w:b/>
                <w:sz w:val="18"/>
                <w:szCs w:val="22"/>
              </w:rPr>
            </w:pPr>
            <w:r>
              <w:rPr>
                <w:rFonts w:hint="eastAsia" w:ascii="Times New Roman" w:hAnsi="Times New Roman" w:eastAsia="宋体" w:cs="Times New Roman"/>
                <w:b/>
                <w:sz w:val="18"/>
                <w:szCs w:val="22"/>
              </w:rPr>
              <w:t>NaCl</w:t>
            </w:r>
          </w:p>
          <w:p>
            <w:pPr>
              <w:jc w:val="center"/>
              <w:rPr>
                <w:rFonts w:ascii="Times New Roman" w:hAnsi="Times New Roman" w:eastAsia="宋体" w:cs="Times New Roman"/>
                <w:b/>
                <w:sz w:val="18"/>
                <w:szCs w:val="22"/>
              </w:rPr>
            </w:pPr>
            <w:r>
              <w:rPr>
                <w:rFonts w:hint="eastAsia" w:ascii="Times New Roman" w:hAnsi="Times New Roman" w:eastAsia="宋体" w:cs="Times New Roman"/>
                <w:b/>
                <w:sz w:val="18"/>
                <w:szCs w:val="22"/>
              </w:rPr>
              <w:t>(%)</w:t>
            </w:r>
          </w:p>
        </w:tc>
        <w:tc>
          <w:tcPr>
            <w:tcW w:w="1137" w:type="dxa"/>
            <w:vAlign w:val="center"/>
          </w:tcPr>
          <w:p>
            <w:pPr>
              <w:jc w:val="center"/>
              <w:rPr>
                <w:rFonts w:ascii="Times New Roman" w:hAnsi="Times New Roman" w:eastAsia="宋体" w:cs="Times New Roman"/>
                <w:b/>
                <w:sz w:val="18"/>
                <w:szCs w:val="22"/>
              </w:rPr>
            </w:pPr>
            <w:r>
              <w:rPr>
                <w:rFonts w:hint="eastAsia" w:ascii="Times New Roman" w:hAnsi="Times New Roman" w:eastAsia="宋体" w:cs="Times New Roman"/>
                <w:b/>
                <w:sz w:val="18"/>
                <w:szCs w:val="22"/>
              </w:rPr>
              <w:t>COD</w:t>
            </w:r>
          </w:p>
          <w:p>
            <w:pPr>
              <w:jc w:val="center"/>
              <w:rPr>
                <w:rFonts w:ascii="Times New Roman" w:hAnsi="Times New Roman" w:eastAsia="宋体" w:cs="Times New Roman"/>
                <w:b/>
                <w:sz w:val="18"/>
                <w:szCs w:val="22"/>
              </w:rPr>
            </w:pPr>
            <w:r>
              <w:rPr>
                <w:rFonts w:hint="eastAsia" w:ascii="Times New Roman" w:hAnsi="Times New Roman" w:eastAsia="宋体" w:cs="Times New Roman"/>
                <w:b/>
                <w:sz w:val="18"/>
                <w:szCs w:val="22"/>
              </w:rPr>
              <w:t>(mg/L)</w:t>
            </w:r>
          </w:p>
        </w:tc>
        <w:tc>
          <w:tcPr>
            <w:tcW w:w="1137" w:type="dxa"/>
            <w:vAlign w:val="center"/>
          </w:tcPr>
          <w:p>
            <w:pPr>
              <w:jc w:val="center"/>
              <w:rPr>
                <w:rFonts w:ascii="Times New Roman" w:hAnsi="Times New Roman" w:eastAsia="宋体" w:cs="Times New Roman"/>
                <w:b/>
                <w:sz w:val="18"/>
                <w:szCs w:val="22"/>
              </w:rPr>
            </w:pPr>
            <w:r>
              <w:rPr>
                <w:rFonts w:hint="eastAsia" w:ascii="Times New Roman" w:hAnsi="Times New Roman" w:eastAsia="宋体" w:cs="Times New Roman"/>
                <w:b/>
                <w:sz w:val="18"/>
                <w:szCs w:val="22"/>
              </w:rPr>
              <w:t>TP</w:t>
            </w:r>
          </w:p>
          <w:p>
            <w:pPr>
              <w:jc w:val="center"/>
              <w:rPr>
                <w:rFonts w:ascii="Times New Roman" w:hAnsi="Times New Roman" w:eastAsia="宋体" w:cs="Times New Roman"/>
                <w:b/>
                <w:sz w:val="18"/>
                <w:szCs w:val="22"/>
              </w:rPr>
            </w:pPr>
            <w:r>
              <w:rPr>
                <w:rFonts w:hint="eastAsia" w:ascii="Times New Roman" w:hAnsi="Times New Roman" w:eastAsia="宋体" w:cs="Times New Roman"/>
                <w:b/>
                <w:sz w:val="18"/>
                <w:szCs w:val="22"/>
              </w:rPr>
              <w:t>(mg/L)</w:t>
            </w:r>
          </w:p>
        </w:tc>
        <w:tc>
          <w:tcPr>
            <w:tcW w:w="1137" w:type="dxa"/>
            <w:vAlign w:val="center"/>
          </w:tcPr>
          <w:p>
            <w:pPr>
              <w:jc w:val="center"/>
              <w:rPr>
                <w:rFonts w:ascii="Times New Roman" w:hAnsi="Times New Roman" w:eastAsia="宋体" w:cs="Times New Roman"/>
                <w:b/>
                <w:sz w:val="18"/>
                <w:szCs w:val="22"/>
              </w:rPr>
            </w:pPr>
            <w:r>
              <w:rPr>
                <w:rFonts w:hint="eastAsia" w:ascii="Times New Roman" w:hAnsi="Times New Roman" w:eastAsia="宋体" w:cs="Times New Roman"/>
                <w:b/>
                <w:sz w:val="18"/>
                <w:szCs w:val="22"/>
              </w:rPr>
              <w:t>TN</w:t>
            </w:r>
          </w:p>
          <w:p>
            <w:pPr>
              <w:jc w:val="center"/>
              <w:rPr>
                <w:rFonts w:ascii="Times New Roman" w:hAnsi="Times New Roman" w:eastAsia="宋体" w:cs="Times New Roman"/>
                <w:b/>
                <w:sz w:val="18"/>
                <w:szCs w:val="22"/>
              </w:rPr>
            </w:pPr>
            <w:r>
              <w:rPr>
                <w:rFonts w:hint="eastAsia" w:ascii="Times New Roman" w:hAnsi="Times New Roman" w:eastAsia="宋体" w:cs="Times New Roman"/>
                <w:b/>
                <w:sz w:val="18"/>
                <w:szCs w:val="22"/>
              </w:rPr>
              <w:t>(mg/L)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7" w:hRule="atLeast"/>
        </w:trPr>
        <w:tc>
          <w:tcPr>
            <w:tcW w:w="1284" w:type="dxa"/>
            <w:vAlign w:val="center"/>
          </w:tcPr>
          <w:p>
            <w:pPr>
              <w:jc w:val="center"/>
              <w:rPr>
                <w:rFonts w:ascii="Times New Roman" w:hAnsi="Times New Roman" w:eastAsia="宋体" w:cs="Times New Roman"/>
                <w:b/>
                <w:sz w:val="18"/>
                <w:szCs w:val="22"/>
              </w:rPr>
            </w:pPr>
            <w:r>
              <w:rPr>
                <w:rFonts w:ascii="Times New Roman" w:hAnsi="Times New Roman" w:eastAsia="宋体" w:cs="Times New Roman"/>
                <w:b/>
                <w:sz w:val="18"/>
                <w:szCs w:val="22"/>
              </w:rPr>
              <w:t>数值</w:t>
            </w:r>
          </w:p>
        </w:tc>
        <w:tc>
          <w:tcPr>
            <w:tcW w:w="1397" w:type="dxa"/>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100-300</w:t>
            </w:r>
          </w:p>
        </w:tc>
        <w:tc>
          <w:tcPr>
            <w:tcW w:w="1137" w:type="dxa"/>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240-420</w:t>
            </w:r>
          </w:p>
        </w:tc>
        <w:tc>
          <w:tcPr>
            <w:tcW w:w="1125" w:type="dxa"/>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2-3</w:t>
            </w:r>
          </w:p>
        </w:tc>
        <w:tc>
          <w:tcPr>
            <w:tcW w:w="1137" w:type="dxa"/>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15000-18000</w:t>
            </w:r>
          </w:p>
        </w:tc>
        <w:tc>
          <w:tcPr>
            <w:tcW w:w="1137" w:type="dxa"/>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120-180</w:t>
            </w:r>
          </w:p>
        </w:tc>
        <w:tc>
          <w:tcPr>
            <w:tcW w:w="1137" w:type="dxa"/>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1200-2000</w:t>
            </w:r>
          </w:p>
        </w:tc>
      </w:tr>
    </w:tbl>
    <w:p>
      <w:pPr>
        <w:spacing w:line="440" w:lineRule="exact"/>
        <w:jc w:val="center"/>
        <w:rPr>
          <w:rFonts w:ascii="Times New Roman" w:hAnsi="Times New Roman" w:eastAsia="宋体" w:cs="Times New Roman"/>
          <w:b/>
        </w:rPr>
      </w:pPr>
      <w:r>
        <w:rPr>
          <w:rFonts w:ascii="Times New Roman" w:hAnsi="Times New Roman" w:eastAsia="宋体" w:cs="Times New Roman"/>
          <w:b/>
        </w:rPr>
        <w:t>表</w:t>
      </w:r>
      <w:r>
        <w:rPr>
          <w:rFonts w:hint="eastAsia" w:ascii="Times New Roman" w:hAnsi="Times New Roman" w:eastAsia="宋体" w:cs="Times New Roman"/>
          <w:b/>
        </w:rPr>
        <w:t>4</w:t>
      </w:r>
      <w:r>
        <w:rPr>
          <w:rFonts w:ascii="Times New Roman" w:hAnsi="Times New Roman" w:eastAsia="宋体" w:cs="Times New Roman"/>
          <w:b/>
        </w:rPr>
        <w:t>-</w:t>
      </w:r>
      <w:r>
        <w:rPr>
          <w:rFonts w:hint="eastAsia" w:ascii="Times New Roman" w:hAnsi="Times New Roman" w:eastAsia="宋体" w:cs="Times New Roman"/>
          <w:b/>
        </w:rPr>
        <w:t>6 综合</w:t>
      </w:r>
      <w:r>
        <w:rPr>
          <w:rFonts w:ascii="Times New Roman" w:hAnsi="Times New Roman" w:eastAsia="宋体" w:cs="Times New Roman"/>
          <w:b/>
        </w:rPr>
        <w:t>废水水质特征（未加盐渍水）</w:t>
      </w:r>
    </w:p>
    <w:tbl>
      <w:tblPr>
        <w:tblStyle w:val="25"/>
        <w:tblW w:w="5111"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604"/>
        <w:gridCol w:w="473"/>
        <w:gridCol w:w="587"/>
        <w:gridCol w:w="840"/>
        <w:gridCol w:w="1036"/>
        <w:gridCol w:w="907"/>
        <w:gridCol w:w="848"/>
        <w:gridCol w:w="850"/>
        <w:gridCol w:w="850"/>
        <w:gridCol w:w="994"/>
        <w:gridCol w:w="616"/>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43" w:hRule="atLeast"/>
          <w:jc w:val="center"/>
        </w:trPr>
        <w:tc>
          <w:tcPr>
            <w:tcW w:w="350" w:type="pct"/>
            <w:shd w:val="clear" w:color="auto" w:fill="auto"/>
            <w:tcMar>
              <w:top w:w="9" w:type="dxa"/>
              <w:left w:w="108" w:type="dxa"/>
              <w:bottom w:w="0" w:type="dxa"/>
              <w:right w:w="108" w:type="dxa"/>
            </w:tcMar>
            <w:vAlign w:val="center"/>
          </w:tcPr>
          <w:p>
            <w:pPr>
              <w:jc w:val="center"/>
              <w:rPr>
                <w:rFonts w:ascii="Times New Roman" w:hAnsi="Times New Roman" w:eastAsia="宋体" w:cs="Times New Roman"/>
                <w:b/>
                <w:sz w:val="18"/>
                <w:szCs w:val="22"/>
              </w:rPr>
            </w:pPr>
            <w:r>
              <w:rPr>
                <w:rFonts w:hint="eastAsia" w:ascii="Times New Roman" w:hAnsi="Times New Roman" w:eastAsia="宋体" w:cs="Times New Roman"/>
                <w:b/>
                <w:sz w:val="18"/>
                <w:szCs w:val="22"/>
              </w:rPr>
              <w:t>项目</w:t>
            </w:r>
          </w:p>
        </w:tc>
        <w:tc>
          <w:tcPr>
            <w:tcW w:w="275" w:type="pct"/>
            <w:tcMar>
              <w:top w:w="9" w:type="dxa"/>
              <w:left w:w="108" w:type="dxa"/>
              <w:bottom w:w="0" w:type="dxa"/>
              <w:right w:w="108" w:type="dxa"/>
            </w:tcMar>
            <w:vAlign w:val="center"/>
          </w:tcPr>
          <w:p>
            <w:pPr>
              <w:jc w:val="center"/>
              <w:rPr>
                <w:rFonts w:ascii="Times New Roman" w:hAnsi="Times New Roman" w:eastAsia="宋体" w:cs="Times New Roman"/>
                <w:b/>
                <w:sz w:val="18"/>
                <w:szCs w:val="22"/>
              </w:rPr>
            </w:pPr>
            <w:r>
              <w:rPr>
                <w:rFonts w:ascii="Times New Roman" w:hAnsi="Times New Roman" w:eastAsia="宋体" w:cs="Times New Roman"/>
                <w:b/>
                <w:sz w:val="18"/>
                <w:szCs w:val="22"/>
              </w:rPr>
              <w:t>pH</w:t>
            </w:r>
          </w:p>
        </w:tc>
        <w:tc>
          <w:tcPr>
            <w:tcW w:w="341" w:type="pct"/>
            <w:tcMar>
              <w:top w:w="9" w:type="dxa"/>
              <w:left w:w="108" w:type="dxa"/>
              <w:bottom w:w="0" w:type="dxa"/>
              <w:right w:w="108" w:type="dxa"/>
            </w:tcMar>
            <w:vAlign w:val="center"/>
          </w:tcPr>
          <w:p>
            <w:pPr>
              <w:jc w:val="center"/>
              <w:rPr>
                <w:rFonts w:ascii="Times New Roman" w:hAnsi="Times New Roman" w:eastAsia="宋体" w:cs="Times New Roman"/>
                <w:b/>
                <w:sz w:val="18"/>
                <w:szCs w:val="22"/>
              </w:rPr>
            </w:pPr>
            <w:r>
              <w:rPr>
                <w:rFonts w:hint="eastAsia" w:ascii="Times New Roman" w:hAnsi="Times New Roman" w:eastAsia="宋体" w:cs="Times New Roman"/>
                <w:b/>
                <w:sz w:val="18"/>
                <w:szCs w:val="22"/>
              </w:rPr>
              <w:t>色度</w:t>
            </w:r>
          </w:p>
        </w:tc>
        <w:tc>
          <w:tcPr>
            <w:tcW w:w="488" w:type="pct"/>
            <w:tcMar>
              <w:top w:w="9" w:type="dxa"/>
              <w:left w:w="108" w:type="dxa"/>
              <w:bottom w:w="0" w:type="dxa"/>
              <w:right w:w="108" w:type="dxa"/>
            </w:tcMar>
            <w:vAlign w:val="center"/>
          </w:tcPr>
          <w:p>
            <w:pPr>
              <w:jc w:val="center"/>
              <w:rPr>
                <w:rFonts w:ascii="Times New Roman" w:hAnsi="Times New Roman" w:eastAsia="宋体" w:cs="Times New Roman"/>
                <w:b/>
                <w:sz w:val="18"/>
                <w:szCs w:val="22"/>
              </w:rPr>
            </w:pPr>
            <w:r>
              <w:rPr>
                <w:rFonts w:ascii="Times New Roman" w:hAnsi="Times New Roman" w:eastAsia="宋体" w:cs="Times New Roman"/>
                <w:b/>
                <w:sz w:val="18"/>
                <w:szCs w:val="22"/>
              </w:rPr>
              <w:t>SS</w:t>
            </w:r>
          </w:p>
          <w:p>
            <w:pPr>
              <w:jc w:val="center"/>
              <w:rPr>
                <w:rFonts w:ascii="Times New Roman" w:hAnsi="Times New Roman" w:eastAsia="宋体" w:cs="Times New Roman"/>
                <w:b/>
                <w:sz w:val="18"/>
                <w:szCs w:val="22"/>
              </w:rPr>
            </w:pPr>
            <w:r>
              <w:rPr>
                <w:rFonts w:ascii="Times New Roman" w:hAnsi="Times New Roman" w:eastAsia="宋体" w:cs="Times New Roman"/>
                <w:b/>
                <w:sz w:val="18"/>
                <w:szCs w:val="22"/>
              </w:rPr>
              <w:t>(mg/L)</w:t>
            </w:r>
          </w:p>
        </w:tc>
        <w:tc>
          <w:tcPr>
            <w:tcW w:w="602" w:type="pct"/>
            <w:tcMar>
              <w:top w:w="9" w:type="dxa"/>
              <w:left w:w="108" w:type="dxa"/>
              <w:bottom w:w="0" w:type="dxa"/>
              <w:right w:w="108" w:type="dxa"/>
            </w:tcMar>
            <w:vAlign w:val="center"/>
          </w:tcPr>
          <w:p>
            <w:pPr>
              <w:jc w:val="center"/>
              <w:rPr>
                <w:rFonts w:ascii="Times New Roman" w:hAnsi="Times New Roman" w:eastAsia="宋体" w:cs="Times New Roman"/>
                <w:b/>
                <w:sz w:val="18"/>
                <w:szCs w:val="22"/>
              </w:rPr>
            </w:pPr>
            <w:r>
              <w:rPr>
                <w:rFonts w:ascii="Times New Roman" w:hAnsi="Times New Roman" w:eastAsia="宋体" w:cs="Times New Roman"/>
                <w:b/>
                <w:sz w:val="18"/>
                <w:szCs w:val="22"/>
              </w:rPr>
              <w:t>COD</w:t>
            </w:r>
            <w:r>
              <w:rPr>
                <w:rFonts w:hint="eastAsia" w:ascii="Times New Roman" w:hAnsi="Times New Roman" w:eastAsia="宋体" w:cs="Times New Roman"/>
                <w:b/>
                <w:sz w:val="18"/>
                <w:szCs w:val="22"/>
                <w:vertAlign w:val="subscript"/>
              </w:rPr>
              <w:t>Cr</w:t>
            </w:r>
          </w:p>
          <w:p>
            <w:pPr>
              <w:jc w:val="center"/>
              <w:rPr>
                <w:rFonts w:ascii="Times New Roman" w:hAnsi="Times New Roman" w:eastAsia="宋体" w:cs="Times New Roman"/>
                <w:b/>
                <w:sz w:val="18"/>
                <w:szCs w:val="22"/>
              </w:rPr>
            </w:pPr>
            <w:r>
              <w:rPr>
                <w:rFonts w:ascii="Times New Roman" w:hAnsi="Times New Roman" w:eastAsia="宋体" w:cs="Times New Roman"/>
                <w:b/>
                <w:sz w:val="18"/>
                <w:szCs w:val="22"/>
              </w:rPr>
              <w:t>(mg/L)</w:t>
            </w:r>
          </w:p>
        </w:tc>
        <w:tc>
          <w:tcPr>
            <w:tcW w:w="527" w:type="pct"/>
            <w:tcMar>
              <w:top w:w="9" w:type="dxa"/>
              <w:left w:w="108" w:type="dxa"/>
              <w:bottom w:w="0" w:type="dxa"/>
              <w:right w:w="108" w:type="dxa"/>
            </w:tcMar>
            <w:vAlign w:val="center"/>
          </w:tcPr>
          <w:p>
            <w:pPr>
              <w:jc w:val="center"/>
              <w:rPr>
                <w:rFonts w:ascii="Times New Roman" w:hAnsi="Times New Roman" w:eastAsia="宋体" w:cs="Times New Roman"/>
                <w:b/>
                <w:sz w:val="18"/>
                <w:szCs w:val="22"/>
              </w:rPr>
            </w:pPr>
            <w:r>
              <w:rPr>
                <w:rFonts w:hint="eastAsia" w:ascii="Times New Roman" w:hAnsi="Times New Roman" w:eastAsia="宋体" w:cs="Times New Roman"/>
                <w:b/>
                <w:sz w:val="18"/>
                <w:szCs w:val="22"/>
              </w:rPr>
              <w:t>BOD</w:t>
            </w:r>
            <w:r>
              <w:rPr>
                <w:rFonts w:hint="eastAsia" w:ascii="Times New Roman" w:hAnsi="Times New Roman" w:eastAsia="宋体" w:cs="Times New Roman"/>
                <w:b/>
                <w:sz w:val="18"/>
                <w:szCs w:val="22"/>
                <w:vertAlign w:val="subscript"/>
              </w:rPr>
              <w:t>5</w:t>
            </w:r>
          </w:p>
        </w:tc>
        <w:tc>
          <w:tcPr>
            <w:tcW w:w="493" w:type="pct"/>
            <w:shd w:val="clear" w:color="auto" w:fill="auto"/>
            <w:tcMar>
              <w:top w:w="9" w:type="dxa"/>
              <w:left w:w="108" w:type="dxa"/>
              <w:bottom w:w="0" w:type="dxa"/>
              <w:right w:w="108" w:type="dxa"/>
            </w:tcMar>
            <w:vAlign w:val="center"/>
          </w:tcPr>
          <w:p>
            <w:pPr>
              <w:jc w:val="center"/>
              <w:rPr>
                <w:rFonts w:ascii="Times New Roman" w:hAnsi="Times New Roman" w:eastAsia="宋体" w:cs="Times New Roman"/>
                <w:b/>
                <w:sz w:val="18"/>
                <w:szCs w:val="22"/>
              </w:rPr>
            </w:pPr>
            <w:r>
              <w:rPr>
                <w:rFonts w:ascii="Times New Roman" w:hAnsi="Times New Roman" w:eastAsia="宋体" w:cs="Times New Roman"/>
                <w:b/>
                <w:sz w:val="18"/>
                <w:szCs w:val="22"/>
              </w:rPr>
              <w:t>NH</w:t>
            </w:r>
            <w:r>
              <w:rPr>
                <w:rFonts w:ascii="Times New Roman" w:hAnsi="Times New Roman" w:eastAsia="宋体" w:cs="Times New Roman"/>
                <w:b/>
                <w:sz w:val="18"/>
                <w:szCs w:val="22"/>
                <w:vertAlign w:val="subscript"/>
              </w:rPr>
              <w:t>3</w:t>
            </w:r>
            <w:r>
              <w:rPr>
                <w:rFonts w:ascii="Times New Roman" w:hAnsi="Times New Roman" w:eastAsia="宋体" w:cs="Times New Roman"/>
                <w:b/>
                <w:sz w:val="18"/>
                <w:szCs w:val="22"/>
              </w:rPr>
              <w:t>-N</w:t>
            </w:r>
          </w:p>
          <w:p>
            <w:pPr>
              <w:jc w:val="center"/>
              <w:rPr>
                <w:rFonts w:ascii="Times New Roman" w:hAnsi="Times New Roman" w:eastAsia="宋体" w:cs="Times New Roman"/>
                <w:b/>
                <w:sz w:val="18"/>
                <w:szCs w:val="22"/>
              </w:rPr>
            </w:pPr>
            <w:r>
              <w:rPr>
                <w:rFonts w:ascii="Times New Roman" w:hAnsi="Times New Roman" w:eastAsia="宋体" w:cs="Times New Roman"/>
                <w:b/>
                <w:sz w:val="18"/>
                <w:szCs w:val="22"/>
              </w:rPr>
              <w:t>(mg/L)</w:t>
            </w:r>
          </w:p>
        </w:tc>
        <w:tc>
          <w:tcPr>
            <w:tcW w:w="494" w:type="pct"/>
            <w:tcMar>
              <w:top w:w="9" w:type="dxa"/>
              <w:left w:w="108" w:type="dxa"/>
              <w:bottom w:w="0" w:type="dxa"/>
              <w:right w:w="108" w:type="dxa"/>
            </w:tcMar>
            <w:vAlign w:val="center"/>
          </w:tcPr>
          <w:p>
            <w:pPr>
              <w:jc w:val="center"/>
              <w:rPr>
                <w:rFonts w:ascii="Times New Roman" w:hAnsi="Times New Roman" w:eastAsia="宋体" w:cs="Times New Roman"/>
                <w:b/>
                <w:sz w:val="18"/>
                <w:szCs w:val="22"/>
              </w:rPr>
            </w:pPr>
            <w:r>
              <w:rPr>
                <w:rFonts w:ascii="Times New Roman" w:hAnsi="Times New Roman" w:eastAsia="宋体" w:cs="Times New Roman"/>
                <w:b/>
                <w:sz w:val="18"/>
                <w:szCs w:val="22"/>
              </w:rPr>
              <w:t>TN</w:t>
            </w:r>
          </w:p>
          <w:p>
            <w:pPr>
              <w:jc w:val="center"/>
              <w:rPr>
                <w:rFonts w:ascii="Times New Roman" w:hAnsi="Times New Roman" w:eastAsia="宋体" w:cs="Times New Roman"/>
                <w:b/>
                <w:sz w:val="18"/>
                <w:szCs w:val="22"/>
              </w:rPr>
            </w:pPr>
            <w:r>
              <w:rPr>
                <w:rFonts w:ascii="Times New Roman" w:hAnsi="Times New Roman" w:eastAsia="宋体" w:cs="Times New Roman"/>
                <w:b/>
                <w:sz w:val="18"/>
                <w:szCs w:val="22"/>
              </w:rPr>
              <w:t>(mg/L)</w:t>
            </w:r>
          </w:p>
        </w:tc>
        <w:tc>
          <w:tcPr>
            <w:tcW w:w="494" w:type="pct"/>
            <w:tcMar>
              <w:top w:w="9" w:type="dxa"/>
              <w:left w:w="108" w:type="dxa"/>
              <w:bottom w:w="0" w:type="dxa"/>
              <w:right w:w="108" w:type="dxa"/>
            </w:tcMar>
            <w:vAlign w:val="center"/>
          </w:tcPr>
          <w:p>
            <w:pPr>
              <w:jc w:val="center"/>
              <w:rPr>
                <w:rFonts w:ascii="Times New Roman" w:hAnsi="Times New Roman" w:eastAsia="宋体" w:cs="Times New Roman"/>
                <w:b/>
                <w:sz w:val="18"/>
                <w:szCs w:val="22"/>
              </w:rPr>
            </w:pPr>
            <w:r>
              <w:rPr>
                <w:rFonts w:ascii="Times New Roman" w:hAnsi="Times New Roman" w:eastAsia="宋体" w:cs="Times New Roman"/>
                <w:b/>
                <w:sz w:val="18"/>
                <w:szCs w:val="22"/>
              </w:rPr>
              <w:t>TP</w:t>
            </w:r>
          </w:p>
          <w:p>
            <w:pPr>
              <w:jc w:val="center"/>
              <w:rPr>
                <w:rFonts w:ascii="Times New Roman" w:hAnsi="Times New Roman" w:eastAsia="宋体" w:cs="Times New Roman"/>
                <w:b/>
                <w:sz w:val="18"/>
                <w:szCs w:val="22"/>
              </w:rPr>
            </w:pPr>
            <w:r>
              <w:rPr>
                <w:rFonts w:ascii="Times New Roman" w:hAnsi="Times New Roman" w:eastAsia="宋体" w:cs="Times New Roman"/>
                <w:b/>
                <w:sz w:val="18"/>
                <w:szCs w:val="22"/>
              </w:rPr>
              <w:t>(mg/L)</w:t>
            </w:r>
          </w:p>
        </w:tc>
        <w:tc>
          <w:tcPr>
            <w:tcW w:w="577" w:type="pct"/>
            <w:tcMar>
              <w:top w:w="9" w:type="dxa"/>
              <w:left w:w="108" w:type="dxa"/>
              <w:bottom w:w="0" w:type="dxa"/>
              <w:right w:w="108" w:type="dxa"/>
            </w:tcMar>
            <w:vAlign w:val="center"/>
          </w:tcPr>
          <w:p>
            <w:pPr>
              <w:jc w:val="center"/>
              <w:rPr>
                <w:rFonts w:ascii="Times New Roman" w:hAnsi="Times New Roman" w:eastAsia="宋体" w:cs="Times New Roman"/>
                <w:b/>
                <w:sz w:val="18"/>
                <w:szCs w:val="22"/>
              </w:rPr>
            </w:pPr>
            <w:r>
              <w:rPr>
                <w:rFonts w:hint="eastAsia" w:ascii="Times New Roman" w:hAnsi="Times New Roman" w:eastAsia="宋体" w:cs="Times New Roman"/>
                <w:b/>
                <w:sz w:val="18"/>
                <w:szCs w:val="22"/>
              </w:rPr>
              <w:t>动植物油</w:t>
            </w:r>
          </w:p>
          <w:p>
            <w:pPr>
              <w:jc w:val="center"/>
              <w:rPr>
                <w:rFonts w:ascii="Times New Roman" w:hAnsi="Times New Roman" w:eastAsia="宋体" w:cs="Times New Roman"/>
                <w:b/>
                <w:sz w:val="18"/>
                <w:szCs w:val="22"/>
              </w:rPr>
            </w:pPr>
            <w:r>
              <w:rPr>
                <w:rFonts w:ascii="Times New Roman" w:hAnsi="Times New Roman" w:eastAsia="宋体" w:cs="Times New Roman"/>
                <w:b/>
                <w:sz w:val="18"/>
                <w:szCs w:val="22"/>
              </w:rPr>
              <w:t>(mg/L)</w:t>
            </w:r>
          </w:p>
        </w:tc>
        <w:tc>
          <w:tcPr>
            <w:tcW w:w="358" w:type="pct"/>
            <w:vAlign w:val="center"/>
          </w:tcPr>
          <w:p>
            <w:pPr>
              <w:jc w:val="center"/>
              <w:rPr>
                <w:rFonts w:ascii="Times New Roman" w:hAnsi="Times New Roman" w:eastAsia="宋体" w:cs="Times New Roman"/>
                <w:b/>
                <w:sz w:val="18"/>
                <w:szCs w:val="22"/>
              </w:rPr>
            </w:pPr>
            <w:r>
              <w:rPr>
                <w:rFonts w:hint="eastAsia" w:ascii="Times New Roman" w:hAnsi="Times New Roman" w:eastAsia="宋体" w:cs="Times New Roman"/>
                <w:b/>
                <w:sz w:val="18"/>
                <w:szCs w:val="22"/>
              </w:rPr>
              <w:t>NaCl</w:t>
            </w:r>
          </w:p>
          <w:p>
            <w:pPr>
              <w:jc w:val="center"/>
              <w:rPr>
                <w:rFonts w:ascii="Times New Roman" w:hAnsi="Times New Roman" w:eastAsia="宋体" w:cs="Times New Roman"/>
                <w:b/>
                <w:sz w:val="18"/>
                <w:szCs w:val="22"/>
              </w:rPr>
            </w:pPr>
            <w:r>
              <w:rPr>
                <w:rFonts w:hint="eastAsia" w:ascii="Times New Roman" w:hAnsi="Times New Roman" w:eastAsia="宋体" w:cs="Times New Roman"/>
                <w:b/>
                <w:sz w:val="18"/>
                <w:szCs w:val="22"/>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39" w:hRule="atLeast"/>
          <w:jc w:val="center"/>
        </w:trPr>
        <w:tc>
          <w:tcPr>
            <w:tcW w:w="350" w:type="pct"/>
            <w:shd w:val="clear" w:color="auto" w:fill="auto"/>
            <w:tcMar>
              <w:top w:w="9" w:type="dxa"/>
              <w:left w:w="108" w:type="dxa"/>
              <w:bottom w:w="0" w:type="dxa"/>
              <w:right w:w="108" w:type="dxa"/>
            </w:tcMar>
            <w:vAlign w:val="center"/>
          </w:tcPr>
          <w:p>
            <w:pPr>
              <w:jc w:val="center"/>
              <w:rPr>
                <w:rFonts w:ascii="Times New Roman" w:hAnsi="Times New Roman" w:eastAsia="宋体" w:cs="Times New Roman"/>
                <w:b/>
                <w:sz w:val="18"/>
                <w:szCs w:val="22"/>
              </w:rPr>
            </w:pPr>
            <w:r>
              <w:rPr>
                <w:rFonts w:hint="eastAsia" w:ascii="Times New Roman" w:hAnsi="Times New Roman" w:eastAsia="宋体" w:cs="Times New Roman"/>
                <w:b/>
                <w:sz w:val="18"/>
                <w:szCs w:val="22"/>
              </w:rPr>
              <w:t>数值</w:t>
            </w:r>
          </w:p>
        </w:tc>
        <w:tc>
          <w:tcPr>
            <w:tcW w:w="275" w:type="pct"/>
            <w:tcMar>
              <w:top w:w="9" w:type="dxa"/>
              <w:left w:w="108" w:type="dxa"/>
              <w:bottom w:w="0" w:type="dxa"/>
              <w:right w:w="108" w:type="dxa"/>
            </w:tcMar>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5-6</w:t>
            </w:r>
          </w:p>
        </w:tc>
        <w:tc>
          <w:tcPr>
            <w:tcW w:w="341" w:type="pct"/>
            <w:tcMar>
              <w:top w:w="9" w:type="dxa"/>
              <w:left w:w="108" w:type="dxa"/>
              <w:bottom w:w="0" w:type="dxa"/>
              <w:right w:w="108" w:type="dxa"/>
            </w:tcMar>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8-64</w:t>
            </w:r>
          </w:p>
        </w:tc>
        <w:tc>
          <w:tcPr>
            <w:tcW w:w="488" w:type="pct"/>
            <w:tcMar>
              <w:top w:w="9" w:type="dxa"/>
              <w:left w:w="108" w:type="dxa"/>
              <w:bottom w:w="0" w:type="dxa"/>
              <w:right w:w="108" w:type="dxa"/>
            </w:tcMar>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140-260</w:t>
            </w:r>
          </w:p>
        </w:tc>
        <w:tc>
          <w:tcPr>
            <w:tcW w:w="602" w:type="pct"/>
            <w:tcMar>
              <w:top w:w="9" w:type="dxa"/>
              <w:left w:w="108" w:type="dxa"/>
              <w:bottom w:w="0" w:type="dxa"/>
              <w:right w:w="108" w:type="dxa"/>
            </w:tcMar>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1600-3100</w:t>
            </w:r>
          </w:p>
        </w:tc>
        <w:tc>
          <w:tcPr>
            <w:tcW w:w="527" w:type="pct"/>
            <w:tcMar>
              <w:top w:w="9" w:type="dxa"/>
              <w:left w:w="108" w:type="dxa"/>
              <w:bottom w:w="0" w:type="dxa"/>
              <w:right w:w="108" w:type="dxa"/>
            </w:tcMar>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778-1820</w:t>
            </w:r>
          </w:p>
        </w:tc>
        <w:tc>
          <w:tcPr>
            <w:tcW w:w="493" w:type="pct"/>
            <w:shd w:val="clear" w:color="auto" w:fill="auto"/>
            <w:tcMar>
              <w:top w:w="9" w:type="dxa"/>
              <w:left w:w="108" w:type="dxa"/>
              <w:bottom w:w="0" w:type="dxa"/>
              <w:right w:w="108" w:type="dxa"/>
            </w:tcMar>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50-120</w:t>
            </w:r>
          </w:p>
        </w:tc>
        <w:tc>
          <w:tcPr>
            <w:tcW w:w="494" w:type="pct"/>
            <w:tcMar>
              <w:top w:w="9" w:type="dxa"/>
              <w:left w:w="108" w:type="dxa"/>
              <w:bottom w:w="0" w:type="dxa"/>
              <w:right w:w="108" w:type="dxa"/>
            </w:tcMar>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200-430</w:t>
            </w:r>
          </w:p>
        </w:tc>
        <w:tc>
          <w:tcPr>
            <w:tcW w:w="494" w:type="pct"/>
            <w:tcMar>
              <w:top w:w="9" w:type="dxa"/>
              <w:left w:w="108" w:type="dxa"/>
              <w:bottom w:w="0" w:type="dxa"/>
              <w:right w:w="108" w:type="dxa"/>
            </w:tcMar>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10-25</w:t>
            </w:r>
          </w:p>
        </w:tc>
        <w:tc>
          <w:tcPr>
            <w:tcW w:w="577" w:type="pct"/>
            <w:tcMar>
              <w:top w:w="9" w:type="dxa"/>
              <w:left w:w="108" w:type="dxa"/>
              <w:bottom w:w="0" w:type="dxa"/>
              <w:right w:w="108" w:type="dxa"/>
            </w:tcMar>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0.45-140（6.41）</w:t>
            </w:r>
          </w:p>
        </w:tc>
        <w:tc>
          <w:tcPr>
            <w:tcW w:w="358" w:type="pct"/>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0.8-1.2</w:t>
            </w:r>
          </w:p>
        </w:tc>
      </w:tr>
    </w:tbl>
    <w:p>
      <w:pPr>
        <w:keepNext/>
        <w:keepLines/>
        <w:spacing w:before="120" w:after="120" w:line="415" w:lineRule="auto"/>
        <w:jc w:val="left"/>
        <w:outlineLvl w:val="1"/>
        <w:rPr>
          <w:rFonts w:ascii="Times New Roman" w:hAnsi="Times New Roman" w:eastAsia="宋体" w:cs="Times New Roman"/>
          <w:b/>
          <w:bCs/>
          <w:sz w:val="30"/>
          <w:szCs w:val="32"/>
        </w:rPr>
      </w:pPr>
      <w:bookmarkStart w:id="21" w:name="_Toc76386099"/>
      <w:r>
        <w:rPr>
          <w:rFonts w:hint="eastAsia" w:ascii="Times New Roman" w:hAnsi="Times New Roman" w:eastAsia="宋体" w:cs="Times New Roman"/>
          <w:b/>
          <w:bCs/>
          <w:sz w:val="30"/>
          <w:szCs w:val="32"/>
        </w:rPr>
        <w:t>4.3现有污染防治技术及企业排水水质达标分析</w:t>
      </w:r>
      <w:bookmarkEnd w:id="21"/>
    </w:p>
    <w:p>
      <w:pPr>
        <w:spacing w:line="440" w:lineRule="exact"/>
        <w:ind w:firstLine="420" w:firstLineChars="200"/>
        <w:jc w:val="left"/>
        <w:rPr>
          <w:rFonts w:ascii="Times New Roman" w:hAnsi="Times New Roman" w:eastAsia="宋体" w:cs="Times New Roman"/>
          <w:szCs w:val="22"/>
        </w:rPr>
      </w:pPr>
      <w:r>
        <w:rPr>
          <w:rFonts w:ascii="Times New Roman" w:hAnsi="Times New Roman" w:eastAsia="宋体" w:cs="Times New Roman"/>
          <w:szCs w:val="22"/>
        </w:rPr>
        <w:t>泡菜废水属于高盐高有机物废水，对高盐有机废水的处理方法主要有物理（机械）法、化学法和生</w:t>
      </w:r>
      <w:r>
        <w:rPr>
          <w:rFonts w:hint="eastAsia" w:ascii="Times New Roman" w:hAnsi="Times New Roman" w:eastAsia="宋体" w:cs="Times New Roman"/>
          <w:szCs w:val="22"/>
        </w:rPr>
        <w:t>物法</w:t>
      </w:r>
      <w:r>
        <w:rPr>
          <w:rFonts w:ascii="Times New Roman" w:hAnsi="Times New Roman" w:eastAsia="宋体" w:cs="Times New Roman"/>
          <w:szCs w:val="22"/>
        </w:rPr>
        <w:t>三大类。其中物理处理包括筛滤截留、重力分离、离心分离等；化学处理包括化学混凝、中和等；生物处理包括活性污泥法（氧化沟、SBR）、生物膜法（生物滤池、生物转盘、接触氧化、流化床）、厌氧</w:t>
      </w:r>
      <w:r>
        <w:rPr>
          <w:rFonts w:ascii="宋体" w:hAnsi="宋体" w:eastAsia="宋体" w:cs="Times New Roman"/>
          <w:szCs w:val="22"/>
        </w:rPr>
        <w:t>/</w:t>
      </w:r>
      <w:r>
        <w:rPr>
          <w:rFonts w:ascii="Times New Roman" w:hAnsi="Times New Roman" w:eastAsia="宋体" w:cs="Times New Roman"/>
          <w:szCs w:val="22"/>
        </w:rPr>
        <w:t>好氧等。四川泡菜</w:t>
      </w:r>
      <w:r>
        <w:rPr>
          <w:rFonts w:hint="eastAsia" w:ascii="Times New Roman" w:hAnsi="Times New Roman" w:eastAsia="宋体" w:cs="Times New Roman"/>
          <w:szCs w:val="22"/>
        </w:rPr>
        <w:t>工业</w:t>
      </w:r>
      <w:r>
        <w:rPr>
          <w:rFonts w:ascii="Times New Roman" w:hAnsi="Times New Roman" w:eastAsia="宋体" w:cs="Times New Roman"/>
          <w:szCs w:val="22"/>
        </w:rPr>
        <w:t>企业采用的废水处理工艺主要为生化处理工艺和生化处理工艺+脱盐工艺两种类型</w:t>
      </w:r>
      <w:r>
        <w:rPr>
          <w:rFonts w:hint="eastAsia" w:ascii="Times New Roman" w:hAnsi="Times New Roman" w:eastAsia="宋体" w:cs="Times New Roman"/>
          <w:szCs w:val="22"/>
        </w:rPr>
        <w:t>，</w:t>
      </w:r>
      <w:r>
        <w:rPr>
          <w:rFonts w:ascii="Times New Roman" w:hAnsi="Times New Roman" w:eastAsia="宋体" w:cs="Times New Roman"/>
          <w:szCs w:val="22"/>
        </w:rPr>
        <w:t>生化处理工艺主要有：UASB+ A/O+曝气生物滤池处理系统、ABR+A/O处理系统、IC反应器+SBR+植物氧化塘处理系统等；生化处理工艺+脱盐工艺主要有：生化处理+</w:t>
      </w:r>
      <w:r>
        <w:rPr>
          <w:rFonts w:hint="eastAsia" w:ascii="Times New Roman" w:hAnsi="Times New Roman" w:eastAsia="宋体" w:cs="Times New Roman"/>
          <w:szCs w:val="22"/>
        </w:rPr>
        <w:t>多级RO处理系统和预处理+M</w:t>
      </w:r>
      <w:r>
        <w:rPr>
          <w:rFonts w:ascii="Times New Roman" w:hAnsi="Times New Roman" w:eastAsia="宋体" w:cs="Times New Roman"/>
          <w:szCs w:val="22"/>
        </w:rPr>
        <w:t>VR</w:t>
      </w:r>
      <w:r>
        <w:rPr>
          <w:rFonts w:hint="eastAsia" w:ascii="Times New Roman" w:hAnsi="Times New Roman" w:eastAsia="宋体" w:cs="Times New Roman"/>
          <w:szCs w:val="22"/>
        </w:rPr>
        <w:t>处理系统。</w:t>
      </w:r>
    </w:p>
    <w:p>
      <w:pPr>
        <w:keepNext/>
        <w:keepLines/>
        <w:spacing w:before="190" w:beforeLines="50" w:after="190" w:afterLines="50" w:line="360" w:lineRule="auto"/>
        <w:jc w:val="left"/>
        <w:outlineLvl w:val="2"/>
        <w:rPr>
          <w:rFonts w:ascii="Times New Roman" w:hAnsi="Times New Roman" w:eastAsia="宋体" w:cs="Times New Roman"/>
          <w:b/>
          <w:bCs/>
          <w:sz w:val="24"/>
          <w:szCs w:val="32"/>
        </w:rPr>
      </w:pPr>
      <w:bookmarkStart w:id="22" w:name="_Toc76386100"/>
      <w:r>
        <w:rPr>
          <w:rFonts w:hint="eastAsia" w:ascii="Times New Roman" w:hAnsi="Times New Roman" w:eastAsia="宋体" w:cs="Times New Roman"/>
          <w:b/>
          <w:bCs/>
          <w:sz w:val="24"/>
          <w:szCs w:val="32"/>
        </w:rPr>
        <w:t>4.3.1盐渍泡菜企业污染防治技术</w:t>
      </w:r>
      <w:bookmarkEnd w:id="22"/>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（1）</w:t>
      </w:r>
      <w:r>
        <w:rPr>
          <w:rFonts w:ascii="Times New Roman" w:hAnsi="Times New Roman" w:eastAsia="宋体" w:cs="Times New Roman"/>
          <w:szCs w:val="22"/>
        </w:rPr>
        <w:t>UASB+A/O+曝气生物滤池处理系统</w:t>
      </w:r>
      <w:r>
        <w:rPr>
          <w:rFonts w:hint="eastAsia" w:ascii="Times New Roman" w:hAnsi="Times New Roman" w:eastAsia="宋体" w:cs="Times New Roman"/>
          <w:szCs w:val="22"/>
        </w:rPr>
        <w:t>：</w:t>
      </w:r>
      <w:r>
        <w:rPr>
          <w:rFonts w:ascii="Times New Roman" w:hAnsi="Times New Roman" w:eastAsia="宋体" w:cs="Times New Roman"/>
          <w:szCs w:val="22"/>
        </w:rPr>
        <w:t>主要是利用微生物的吸附、代谢、氧化作用除去泡菜废水中的有机物以及营养物质。首先含高浓度有机物的泡菜废水进入UASB反应器，在UASB反应器中高浓度的兼性菌和厌氧菌通过一系列的厌氧分解作用将废水中的有机物转化成沼气从而降低废水中的有机物浓度，然后将经过处理的废水排入A/O反应池和曝气生物滤池进行深度处理进一步去除废水中的有机物和营养物质。UASB+A/O+曝气生物滤池处理系统的工艺路线如图</w:t>
      </w:r>
      <w:r>
        <w:rPr>
          <w:rFonts w:hint="eastAsia" w:ascii="Times New Roman" w:hAnsi="Times New Roman" w:eastAsia="宋体" w:cs="Times New Roman"/>
          <w:szCs w:val="22"/>
        </w:rPr>
        <w:t>4-5</w:t>
      </w:r>
      <w:r>
        <w:rPr>
          <w:rFonts w:ascii="Times New Roman" w:hAnsi="Times New Roman" w:eastAsia="宋体" w:cs="Times New Roman"/>
          <w:szCs w:val="22"/>
        </w:rPr>
        <w:t>所示。</w:t>
      </w:r>
    </w:p>
    <w:p>
      <w:pPr>
        <w:jc w:val="center"/>
        <w:rPr>
          <w:rFonts w:ascii="Times New Roman" w:hAnsi="Times New Roman" w:eastAsia="宋体" w:cs="Times New Roman"/>
          <w:szCs w:val="22"/>
        </w:rPr>
      </w:pPr>
      <w:r>
        <w:rPr>
          <w:rFonts w:ascii="Times New Roman" w:hAnsi="Times New Roman" w:eastAsia="宋体" w:cs="Times New Roman"/>
          <w:szCs w:val="22"/>
        </w:rPr>
        <w:drawing>
          <wp:inline distT="0" distB="0" distL="0" distR="0">
            <wp:extent cx="5010150" cy="2176780"/>
            <wp:effectExtent l="19050" t="0" r="0" b="0"/>
            <wp:docPr id="31" name="图片 237"/>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1" name="图片 237"/>
                    <pic:cNvPicPr>
                      <a:picLocks noChangeAspect="true"/>
                    </pic:cNvPicPr>
                  </pic:nvPicPr>
                  <pic:blipFill>
                    <a:blip r:embed="rId16" cstate="print">
                      <a:extLst>
                        <a:ext uri="{28A0092B-C50C-407E-A947-70E740481C1C}">
                          <a14:useLocalDpi xmlns:a14="http://schemas.microsoft.com/office/drawing/2010/main" val="false"/>
                        </a:ext>
                      </a:extLst>
                    </a:blip>
                    <a:stretch>
                      <a:fillRect/>
                    </a:stretch>
                  </pic:blipFill>
                  <pic:spPr>
                    <a:xfrm>
                      <a:off x="0" y="0"/>
                      <a:ext cx="5010150" cy="2177072"/>
                    </a:xfrm>
                    <a:prstGeom prst="rect">
                      <a:avLst/>
                    </a:prstGeom>
                  </pic:spPr>
                </pic:pic>
              </a:graphicData>
            </a:graphic>
          </wp:inline>
        </w:drawing>
      </w:r>
    </w:p>
    <w:p>
      <w:pPr>
        <w:spacing w:line="440" w:lineRule="exact"/>
        <w:jc w:val="center"/>
        <w:rPr>
          <w:rFonts w:ascii="Times New Roman" w:hAnsi="Times New Roman" w:eastAsia="宋体" w:cs="Times New Roman"/>
          <w:b/>
        </w:rPr>
      </w:pPr>
      <w:r>
        <w:rPr>
          <w:rFonts w:ascii="Times New Roman" w:hAnsi="Times New Roman" w:eastAsia="宋体" w:cs="Times New Roman"/>
          <w:b/>
        </w:rPr>
        <w:t>图</w:t>
      </w:r>
      <w:r>
        <w:rPr>
          <w:rFonts w:hint="eastAsia" w:ascii="Times New Roman" w:hAnsi="Times New Roman" w:eastAsia="宋体" w:cs="Times New Roman"/>
          <w:b/>
        </w:rPr>
        <w:t xml:space="preserve">4-5 </w:t>
      </w:r>
      <w:r>
        <w:rPr>
          <w:rFonts w:ascii="Times New Roman" w:hAnsi="Times New Roman" w:eastAsia="宋体" w:cs="Times New Roman"/>
          <w:b/>
        </w:rPr>
        <w:t>UASB+A/O+曝气生物滤池处理系统工艺流程图</w:t>
      </w:r>
    </w:p>
    <w:p>
      <w:pPr>
        <w:spacing w:line="440" w:lineRule="exact"/>
        <w:ind w:firstLine="420" w:firstLineChars="200"/>
        <w:jc w:val="left"/>
        <w:rPr>
          <w:rFonts w:ascii="Times New Roman" w:hAnsi="Times New Roman" w:eastAsia="宋体" w:cs="Times New Roman"/>
          <w:szCs w:val="22"/>
        </w:rPr>
      </w:pPr>
      <w:r>
        <w:rPr>
          <w:rFonts w:ascii="Times New Roman" w:hAnsi="Times New Roman" w:eastAsia="宋体" w:cs="Times New Roman"/>
          <w:szCs w:val="22"/>
        </w:rPr>
        <w:t>采用UASB+A/O+曝气生物滤池处理系统处理泡菜废水有如下特点：三种处理工艺联合使用可以有效地降低泡菜废水中不可降解的部分有机物，废水再经过厌氧、好氧生化处理，可以使泡菜废水中的有机物和营养物质得到有效去除；污泥发生量少，且污泥易处理，脱水性能好，可实现部分废物的资源化利用。</w:t>
      </w:r>
    </w:p>
    <w:p>
      <w:pPr>
        <w:spacing w:line="440" w:lineRule="exact"/>
        <w:ind w:firstLine="420" w:firstLineChars="200"/>
        <w:jc w:val="left"/>
        <w:rPr>
          <w:rFonts w:ascii="Times New Roman" w:hAnsi="Times New Roman" w:eastAsia="宋体" w:cs="Times New Roman"/>
          <w:szCs w:val="22"/>
        </w:rPr>
      </w:pPr>
      <w:r>
        <w:rPr>
          <w:rFonts w:ascii="Times New Roman" w:hAnsi="Times New Roman" w:eastAsia="宋体" w:cs="Times New Roman"/>
          <w:szCs w:val="22"/>
        </w:rPr>
        <w:t>该工艺对泡菜废水处理效果见表</w:t>
      </w:r>
      <w:r>
        <w:rPr>
          <w:rFonts w:hint="eastAsia" w:ascii="Times New Roman" w:hAnsi="Times New Roman" w:eastAsia="宋体" w:cs="Times New Roman"/>
          <w:szCs w:val="22"/>
        </w:rPr>
        <w:t>4-7</w:t>
      </w:r>
      <w:r>
        <w:rPr>
          <w:rFonts w:ascii="Times New Roman" w:hAnsi="Times New Roman" w:eastAsia="宋体" w:cs="Times New Roman"/>
          <w:szCs w:val="22"/>
        </w:rPr>
        <w:t>。</w:t>
      </w:r>
    </w:p>
    <w:p>
      <w:pPr>
        <w:spacing w:line="440" w:lineRule="exact"/>
        <w:jc w:val="center"/>
        <w:rPr>
          <w:rFonts w:ascii="Times New Roman" w:hAnsi="Times New Roman" w:eastAsia="宋体" w:cs="Times New Roman"/>
          <w:b/>
        </w:rPr>
      </w:pPr>
      <w:r>
        <w:rPr>
          <w:rFonts w:ascii="Times New Roman" w:hAnsi="Times New Roman" w:eastAsia="宋体" w:cs="Times New Roman"/>
          <w:b/>
        </w:rPr>
        <w:t>表</w:t>
      </w:r>
      <w:r>
        <w:rPr>
          <w:rFonts w:hint="eastAsia" w:ascii="Times New Roman" w:hAnsi="Times New Roman" w:eastAsia="宋体" w:cs="Times New Roman"/>
          <w:b/>
        </w:rPr>
        <w:t xml:space="preserve">4-7 </w:t>
      </w:r>
      <w:r>
        <w:rPr>
          <w:rFonts w:ascii="Times New Roman" w:hAnsi="Times New Roman" w:eastAsia="宋体" w:cs="Times New Roman"/>
          <w:b/>
        </w:rPr>
        <w:t>某泡菜</w:t>
      </w:r>
      <w:r>
        <w:rPr>
          <w:rFonts w:hint="eastAsia" w:ascii="Times New Roman" w:hAnsi="Times New Roman" w:eastAsia="宋体" w:cs="Times New Roman"/>
          <w:b/>
        </w:rPr>
        <w:t>工业</w:t>
      </w:r>
      <w:r>
        <w:rPr>
          <w:rFonts w:ascii="Times New Roman" w:hAnsi="Times New Roman" w:eastAsia="宋体" w:cs="Times New Roman"/>
          <w:b/>
        </w:rPr>
        <w:t>企业UASB+A/O+曝气生物滤池处理系统进出水水质</w:t>
      </w:r>
    </w:p>
    <w:tbl>
      <w:tblPr>
        <w:tblStyle w:val="2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20"/>
        <w:gridCol w:w="1420"/>
        <w:gridCol w:w="1420"/>
        <w:gridCol w:w="1420"/>
        <w:gridCol w:w="1421"/>
        <w:gridCol w:w="142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Align w:val="center"/>
          </w:tcPr>
          <w:p>
            <w:pPr>
              <w:jc w:val="center"/>
              <w:rPr>
                <w:rFonts w:ascii="Times New Roman" w:hAnsi="Times New Roman" w:eastAsia="宋体" w:cs="Times New Roman"/>
                <w:b/>
                <w:bCs/>
                <w:sz w:val="18"/>
                <w:szCs w:val="32"/>
              </w:rPr>
            </w:pPr>
            <w:r>
              <w:rPr>
                <w:rFonts w:ascii="Times New Roman" w:hAnsi="Times New Roman" w:eastAsia="宋体" w:cs="Times New Roman"/>
                <w:b/>
                <w:bCs/>
                <w:sz w:val="18"/>
                <w:szCs w:val="32"/>
              </w:rPr>
              <w:t>指标</w:t>
            </w:r>
          </w:p>
        </w:tc>
        <w:tc>
          <w:tcPr>
            <w:tcW w:w="1420" w:type="dxa"/>
            <w:vAlign w:val="center"/>
          </w:tcPr>
          <w:p>
            <w:pPr>
              <w:jc w:val="center"/>
              <w:rPr>
                <w:rFonts w:ascii="Times New Roman" w:hAnsi="Times New Roman" w:eastAsia="宋体" w:cs="Times New Roman"/>
                <w:b/>
                <w:bCs/>
                <w:sz w:val="18"/>
                <w:szCs w:val="32"/>
              </w:rPr>
            </w:pPr>
            <w:r>
              <w:rPr>
                <w:rFonts w:hint="eastAsia" w:ascii="Times New Roman" w:hAnsi="Times New Roman" w:eastAsia="宋体" w:cs="Times New Roman"/>
                <w:b/>
                <w:bCs/>
                <w:sz w:val="18"/>
                <w:szCs w:val="32"/>
              </w:rPr>
              <w:t>p</w:t>
            </w:r>
            <w:r>
              <w:rPr>
                <w:rFonts w:ascii="Times New Roman" w:hAnsi="Times New Roman" w:eastAsia="宋体" w:cs="Times New Roman"/>
                <w:b/>
                <w:bCs/>
                <w:sz w:val="18"/>
                <w:szCs w:val="32"/>
              </w:rPr>
              <w:t>H</w:t>
            </w:r>
            <w:r>
              <w:rPr>
                <w:rFonts w:hint="eastAsia" w:ascii="Times New Roman" w:hAnsi="Times New Roman" w:eastAsia="宋体" w:cs="Times New Roman"/>
                <w:b/>
                <w:bCs/>
                <w:sz w:val="18"/>
                <w:szCs w:val="32"/>
              </w:rPr>
              <w:t>值</w:t>
            </w:r>
          </w:p>
        </w:tc>
        <w:tc>
          <w:tcPr>
            <w:tcW w:w="1420" w:type="dxa"/>
            <w:vAlign w:val="center"/>
          </w:tcPr>
          <w:p>
            <w:pPr>
              <w:jc w:val="center"/>
              <w:rPr>
                <w:rFonts w:ascii="Times New Roman" w:hAnsi="Times New Roman" w:eastAsia="宋体" w:cs="Times New Roman"/>
                <w:b/>
                <w:bCs/>
                <w:sz w:val="18"/>
                <w:szCs w:val="32"/>
                <w:vertAlign w:val="subscript"/>
              </w:rPr>
            </w:pPr>
            <w:r>
              <w:rPr>
                <w:rFonts w:ascii="Times New Roman" w:hAnsi="Times New Roman" w:eastAsia="宋体" w:cs="Times New Roman"/>
                <w:b/>
                <w:bCs/>
                <w:sz w:val="18"/>
                <w:szCs w:val="32"/>
              </w:rPr>
              <w:t>COD</w:t>
            </w:r>
            <w:r>
              <w:rPr>
                <w:rFonts w:ascii="Times New Roman" w:hAnsi="Times New Roman" w:eastAsia="宋体" w:cs="Times New Roman"/>
                <w:b/>
                <w:bCs/>
                <w:sz w:val="18"/>
                <w:szCs w:val="32"/>
                <w:vertAlign w:val="subscript"/>
              </w:rPr>
              <w:t>cr</w:t>
            </w:r>
          </w:p>
          <w:p>
            <w:pPr>
              <w:jc w:val="center"/>
              <w:rPr>
                <w:rFonts w:ascii="Times New Roman" w:hAnsi="Times New Roman" w:eastAsia="宋体" w:cs="Times New Roman"/>
                <w:b/>
                <w:bCs/>
                <w:sz w:val="18"/>
                <w:szCs w:val="32"/>
              </w:rPr>
            </w:pPr>
            <w:r>
              <w:rPr>
                <w:rFonts w:ascii="Times New Roman" w:hAnsi="Times New Roman" w:eastAsia="宋体" w:cs="Times New Roman"/>
                <w:b/>
                <w:bCs/>
                <w:sz w:val="18"/>
                <w:szCs w:val="32"/>
              </w:rPr>
              <w:t>（mg/L）</w:t>
            </w:r>
          </w:p>
        </w:tc>
        <w:tc>
          <w:tcPr>
            <w:tcW w:w="1420" w:type="dxa"/>
            <w:vAlign w:val="center"/>
          </w:tcPr>
          <w:p>
            <w:pPr>
              <w:jc w:val="center"/>
              <w:rPr>
                <w:rFonts w:ascii="Times New Roman" w:hAnsi="Times New Roman" w:eastAsia="宋体" w:cs="Times New Roman"/>
                <w:b/>
                <w:bCs/>
                <w:sz w:val="18"/>
                <w:szCs w:val="32"/>
              </w:rPr>
            </w:pPr>
            <w:r>
              <w:rPr>
                <w:rFonts w:ascii="Times New Roman" w:hAnsi="Times New Roman" w:eastAsia="宋体" w:cs="Times New Roman"/>
                <w:b/>
                <w:bCs/>
                <w:sz w:val="18"/>
                <w:szCs w:val="32"/>
              </w:rPr>
              <w:t>氨氮</w:t>
            </w:r>
          </w:p>
          <w:p>
            <w:pPr>
              <w:jc w:val="center"/>
              <w:rPr>
                <w:rFonts w:ascii="Times New Roman" w:hAnsi="Times New Roman" w:eastAsia="宋体" w:cs="Times New Roman"/>
                <w:b/>
                <w:bCs/>
                <w:sz w:val="18"/>
                <w:szCs w:val="32"/>
              </w:rPr>
            </w:pPr>
            <w:r>
              <w:rPr>
                <w:rFonts w:ascii="Times New Roman" w:hAnsi="Times New Roman" w:eastAsia="宋体" w:cs="Times New Roman"/>
                <w:b/>
                <w:bCs/>
                <w:sz w:val="18"/>
                <w:szCs w:val="32"/>
              </w:rPr>
              <w:t>（mg/L）</w:t>
            </w:r>
          </w:p>
        </w:tc>
        <w:tc>
          <w:tcPr>
            <w:tcW w:w="1421" w:type="dxa"/>
            <w:vAlign w:val="center"/>
          </w:tcPr>
          <w:p>
            <w:pPr>
              <w:jc w:val="center"/>
              <w:rPr>
                <w:rFonts w:ascii="Times New Roman" w:hAnsi="Times New Roman" w:eastAsia="宋体" w:cs="Times New Roman"/>
                <w:b/>
                <w:bCs/>
                <w:sz w:val="18"/>
                <w:szCs w:val="32"/>
              </w:rPr>
            </w:pPr>
            <w:r>
              <w:rPr>
                <w:rFonts w:ascii="Times New Roman" w:hAnsi="Times New Roman" w:eastAsia="宋体" w:cs="Times New Roman"/>
                <w:b/>
                <w:bCs/>
                <w:sz w:val="18"/>
                <w:szCs w:val="32"/>
              </w:rPr>
              <w:t>总磷</w:t>
            </w:r>
          </w:p>
          <w:p>
            <w:pPr>
              <w:jc w:val="center"/>
              <w:rPr>
                <w:rFonts w:ascii="Times New Roman" w:hAnsi="Times New Roman" w:eastAsia="宋体" w:cs="Times New Roman"/>
                <w:b/>
                <w:bCs/>
                <w:sz w:val="18"/>
                <w:szCs w:val="32"/>
              </w:rPr>
            </w:pPr>
            <w:r>
              <w:rPr>
                <w:rFonts w:ascii="Times New Roman" w:hAnsi="Times New Roman" w:eastAsia="宋体" w:cs="Times New Roman"/>
                <w:b/>
                <w:bCs/>
                <w:sz w:val="18"/>
                <w:szCs w:val="32"/>
              </w:rPr>
              <w:t>（mg/L）</w:t>
            </w:r>
          </w:p>
        </w:tc>
        <w:tc>
          <w:tcPr>
            <w:tcW w:w="1421" w:type="dxa"/>
            <w:vAlign w:val="center"/>
          </w:tcPr>
          <w:p>
            <w:pPr>
              <w:jc w:val="center"/>
              <w:rPr>
                <w:rFonts w:ascii="Times New Roman" w:hAnsi="Times New Roman" w:eastAsia="宋体" w:cs="Times New Roman"/>
                <w:b/>
                <w:bCs/>
                <w:sz w:val="18"/>
                <w:szCs w:val="32"/>
              </w:rPr>
            </w:pPr>
            <w:r>
              <w:rPr>
                <w:rFonts w:ascii="Times New Roman" w:hAnsi="Times New Roman" w:eastAsia="宋体" w:cs="Times New Roman"/>
                <w:b/>
                <w:bCs/>
                <w:sz w:val="18"/>
                <w:szCs w:val="32"/>
              </w:rPr>
              <w:t>氯化物</w:t>
            </w:r>
          </w:p>
          <w:p>
            <w:pPr>
              <w:jc w:val="center"/>
              <w:rPr>
                <w:rFonts w:ascii="Times New Roman" w:hAnsi="Times New Roman" w:eastAsia="宋体" w:cs="Times New Roman"/>
                <w:b/>
                <w:bCs/>
                <w:sz w:val="18"/>
                <w:szCs w:val="32"/>
              </w:rPr>
            </w:pPr>
            <w:r>
              <w:rPr>
                <w:rFonts w:ascii="Times New Roman" w:hAnsi="Times New Roman" w:eastAsia="宋体" w:cs="Times New Roman"/>
                <w:b/>
                <w:bCs/>
                <w:sz w:val="18"/>
                <w:szCs w:val="32"/>
              </w:rPr>
              <w:t>（mg/L）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Align w:val="center"/>
          </w:tcPr>
          <w:p>
            <w:pPr>
              <w:jc w:val="center"/>
              <w:rPr>
                <w:rFonts w:ascii="Times New Roman" w:hAnsi="Times New Roman" w:eastAsia="宋体" w:cs="Times New Roman"/>
                <w:b/>
                <w:bCs/>
                <w:sz w:val="18"/>
                <w:szCs w:val="32"/>
              </w:rPr>
            </w:pPr>
            <w:r>
              <w:rPr>
                <w:rFonts w:ascii="Times New Roman" w:hAnsi="Times New Roman" w:eastAsia="宋体" w:cs="Times New Roman"/>
                <w:b/>
                <w:bCs/>
                <w:sz w:val="18"/>
                <w:szCs w:val="32"/>
              </w:rPr>
              <w:t>进水浓度</w:t>
            </w:r>
          </w:p>
        </w:tc>
        <w:tc>
          <w:tcPr>
            <w:tcW w:w="1420" w:type="dxa"/>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6.5</w:t>
            </w:r>
          </w:p>
        </w:tc>
        <w:tc>
          <w:tcPr>
            <w:tcW w:w="1420" w:type="dxa"/>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4000</w:t>
            </w:r>
          </w:p>
        </w:tc>
        <w:tc>
          <w:tcPr>
            <w:tcW w:w="1420" w:type="dxa"/>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150</w:t>
            </w:r>
          </w:p>
        </w:tc>
        <w:tc>
          <w:tcPr>
            <w:tcW w:w="1421" w:type="dxa"/>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80</w:t>
            </w:r>
          </w:p>
        </w:tc>
        <w:tc>
          <w:tcPr>
            <w:tcW w:w="1421" w:type="dxa"/>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7000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Align w:val="center"/>
          </w:tcPr>
          <w:p>
            <w:pPr>
              <w:jc w:val="center"/>
              <w:rPr>
                <w:rFonts w:ascii="Times New Roman" w:hAnsi="Times New Roman" w:eastAsia="宋体" w:cs="Times New Roman"/>
                <w:b/>
                <w:bCs/>
                <w:sz w:val="18"/>
                <w:szCs w:val="32"/>
              </w:rPr>
            </w:pPr>
            <w:r>
              <w:rPr>
                <w:rFonts w:ascii="Times New Roman" w:hAnsi="Times New Roman" w:eastAsia="宋体" w:cs="Times New Roman"/>
                <w:b/>
                <w:bCs/>
                <w:sz w:val="18"/>
                <w:szCs w:val="32"/>
              </w:rPr>
              <w:t>出水浓度</w:t>
            </w:r>
          </w:p>
        </w:tc>
        <w:tc>
          <w:tcPr>
            <w:tcW w:w="1420" w:type="dxa"/>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6.8</w:t>
            </w:r>
          </w:p>
        </w:tc>
        <w:tc>
          <w:tcPr>
            <w:tcW w:w="1420" w:type="dxa"/>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80</w:t>
            </w:r>
          </w:p>
        </w:tc>
        <w:tc>
          <w:tcPr>
            <w:tcW w:w="1420" w:type="dxa"/>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8</w:t>
            </w:r>
          </w:p>
        </w:tc>
        <w:tc>
          <w:tcPr>
            <w:tcW w:w="1421" w:type="dxa"/>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0.4</w:t>
            </w:r>
          </w:p>
        </w:tc>
        <w:tc>
          <w:tcPr>
            <w:tcW w:w="1421" w:type="dxa"/>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6510</w:t>
            </w:r>
          </w:p>
        </w:tc>
      </w:tr>
    </w:tbl>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（2）</w:t>
      </w:r>
      <w:r>
        <w:rPr>
          <w:rFonts w:ascii="Times New Roman" w:hAnsi="Times New Roman" w:eastAsia="宋体" w:cs="Times New Roman"/>
          <w:szCs w:val="22"/>
        </w:rPr>
        <w:t>ABR+A/O+植物稳定塘处理系统</w:t>
      </w:r>
      <w:r>
        <w:rPr>
          <w:rFonts w:hint="eastAsia" w:ascii="Times New Roman" w:hAnsi="Times New Roman" w:eastAsia="宋体" w:cs="Times New Roman"/>
          <w:szCs w:val="22"/>
        </w:rPr>
        <w:t>：</w:t>
      </w:r>
      <w:r>
        <w:rPr>
          <w:rFonts w:ascii="Times New Roman" w:hAnsi="Times New Roman" w:eastAsia="宋体" w:cs="Times New Roman"/>
          <w:szCs w:val="22"/>
        </w:rPr>
        <w:t>是将高效新型的厌氧生物处理技术、前置反硝化生物脱氮工艺和植物吸附稳定技术相结合对泡菜废水中的有机物和营养物质进行有效去除。其工艺流程如图</w:t>
      </w:r>
      <w:r>
        <w:rPr>
          <w:rFonts w:hint="eastAsia" w:ascii="Times New Roman" w:hAnsi="Times New Roman" w:eastAsia="宋体" w:cs="Times New Roman"/>
          <w:szCs w:val="22"/>
        </w:rPr>
        <w:t>4-6</w:t>
      </w:r>
      <w:r>
        <w:rPr>
          <w:rFonts w:ascii="Times New Roman" w:hAnsi="Times New Roman" w:eastAsia="宋体" w:cs="Times New Roman"/>
          <w:szCs w:val="22"/>
        </w:rPr>
        <w:t>所示。</w:t>
      </w:r>
    </w:p>
    <w:p>
      <w:pPr>
        <w:jc w:val="center"/>
        <w:rPr>
          <w:rFonts w:ascii="Times New Roman" w:hAnsi="Times New Roman" w:eastAsia="宋体" w:cs="Times New Roman"/>
          <w:szCs w:val="22"/>
        </w:rPr>
      </w:pPr>
      <w:r>
        <w:rPr>
          <w:rFonts w:ascii="Times New Roman" w:hAnsi="Times New Roman" w:eastAsia="宋体" w:cs="Times New Roman"/>
          <w:szCs w:val="22"/>
        </w:rPr>
        <w:drawing>
          <wp:inline distT="0" distB="0" distL="0" distR="0">
            <wp:extent cx="4724400" cy="1840865"/>
            <wp:effectExtent l="19050" t="0" r="0" b="0"/>
            <wp:docPr id="32" name="图片 37"/>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2" name="图片 37"/>
                    <pic:cNvPicPr>
                      <a:picLocks noChangeAspect="true"/>
                    </pic:cNvPicPr>
                  </pic:nvPicPr>
                  <pic:blipFill>
                    <a:blip r:embed="rId17" cstate="print">
                      <a:extLst>
                        <a:ext uri="{28A0092B-C50C-407E-A947-70E740481C1C}">
                          <a14:useLocalDpi xmlns:a14="http://schemas.microsoft.com/office/drawing/2010/main" val="false"/>
                        </a:ext>
                      </a:extLst>
                    </a:blip>
                    <a:stretch>
                      <a:fillRect/>
                    </a:stretch>
                  </pic:blipFill>
                  <pic:spPr>
                    <a:xfrm>
                      <a:off x="0" y="0"/>
                      <a:ext cx="4739913" cy="1847232"/>
                    </a:xfrm>
                    <a:prstGeom prst="rect">
                      <a:avLst/>
                    </a:prstGeom>
                  </pic:spPr>
                </pic:pic>
              </a:graphicData>
            </a:graphic>
          </wp:inline>
        </w:drawing>
      </w:r>
    </w:p>
    <w:p>
      <w:pPr>
        <w:spacing w:line="440" w:lineRule="exact"/>
        <w:jc w:val="center"/>
        <w:rPr>
          <w:rFonts w:ascii="Times New Roman" w:hAnsi="Times New Roman" w:eastAsia="宋体" w:cs="Times New Roman"/>
          <w:b/>
        </w:rPr>
      </w:pPr>
      <w:r>
        <w:rPr>
          <w:rFonts w:ascii="Times New Roman" w:hAnsi="Times New Roman" w:eastAsia="宋体" w:cs="Times New Roman"/>
          <w:b/>
        </w:rPr>
        <w:t>图</w:t>
      </w:r>
      <w:r>
        <w:rPr>
          <w:rFonts w:hint="eastAsia" w:ascii="Times New Roman" w:hAnsi="Times New Roman" w:eastAsia="宋体" w:cs="Times New Roman"/>
          <w:b/>
        </w:rPr>
        <w:t xml:space="preserve">4-6 </w:t>
      </w:r>
      <w:r>
        <w:rPr>
          <w:rFonts w:ascii="Times New Roman" w:hAnsi="Times New Roman" w:eastAsia="宋体" w:cs="Times New Roman"/>
          <w:b/>
        </w:rPr>
        <w:t>ABR+A/O+植物稳定塘处理系统工艺流程图</w:t>
      </w:r>
    </w:p>
    <w:p>
      <w:pPr>
        <w:spacing w:line="440" w:lineRule="exact"/>
        <w:ind w:firstLine="420" w:firstLineChars="200"/>
        <w:jc w:val="left"/>
        <w:rPr>
          <w:rFonts w:ascii="Times New Roman" w:hAnsi="Times New Roman" w:eastAsia="宋体" w:cs="Times New Roman"/>
          <w:szCs w:val="22"/>
        </w:rPr>
      </w:pPr>
      <w:r>
        <w:rPr>
          <w:rFonts w:ascii="Times New Roman" w:hAnsi="Times New Roman" w:eastAsia="宋体" w:cs="Times New Roman"/>
          <w:szCs w:val="22"/>
        </w:rPr>
        <w:t>ABR+A/O+植物稳定塘处理系统有如下特点：不需要污泥回流设备，造价较低；污泥易于沉淀，一般不产生污泥膨胀现象；操作管理比较简单；耐冲击负荷能力较强；添加了植物稳定塘工艺促进了营养物质的去除，出水水质好。</w:t>
      </w:r>
    </w:p>
    <w:p>
      <w:pPr>
        <w:spacing w:line="440" w:lineRule="exact"/>
        <w:ind w:firstLine="420" w:firstLineChars="200"/>
        <w:jc w:val="left"/>
        <w:rPr>
          <w:rFonts w:ascii="Times New Roman" w:hAnsi="Times New Roman" w:eastAsia="宋体" w:cs="Times New Roman"/>
          <w:szCs w:val="22"/>
        </w:rPr>
      </w:pPr>
      <w:r>
        <w:rPr>
          <w:rFonts w:ascii="Times New Roman" w:hAnsi="Times New Roman" w:eastAsia="宋体" w:cs="Times New Roman"/>
          <w:szCs w:val="22"/>
        </w:rPr>
        <w:t>该工艺对泡菜废水处理效果见表</w:t>
      </w:r>
      <w:r>
        <w:rPr>
          <w:rFonts w:hint="eastAsia" w:ascii="Times New Roman" w:hAnsi="Times New Roman" w:eastAsia="宋体" w:cs="Times New Roman"/>
          <w:szCs w:val="22"/>
        </w:rPr>
        <w:t>4-8</w:t>
      </w:r>
      <w:r>
        <w:rPr>
          <w:rFonts w:ascii="Times New Roman" w:hAnsi="Times New Roman" w:eastAsia="宋体" w:cs="Times New Roman"/>
          <w:szCs w:val="22"/>
        </w:rPr>
        <w:t>。</w:t>
      </w:r>
    </w:p>
    <w:p>
      <w:pPr>
        <w:spacing w:line="440" w:lineRule="exact"/>
        <w:jc w:val="center"/>
        <w:rPr>
          <w:rFonts w:ascii="Times New Roman" w:hAnsi="Times New Roman" w:eastAsia="宋体" w:cs="Times New Roman"/>
          <w:b/>
        </w:rPr>
      </w:pPr>
      <w:r>
        <w:rPr>
          <w:rFonts w:ascii="Times New Roman" w:hAnsi="Times New Roman" w:eastAsia="宋体" w:cs="Times New Roman"/>
          <w:b/>
        </w:rPr>
        <w:t>表</w:t>
      </w:r>
      <w:r>
        <w:rPr>
          <w:rFonts w:hint="eastAsia" w:ascii="Times New Roman" w:hAnsi="Times New Roman" w:eastAsia="宋体" w:cs="Times New Roman"/>
          <w:b/>
        </w:rPr>
        <w:t>4-8</w:t>
      </w:r>
      <w:r>
        <w:rPr>
          <w:rFonts w:ascii="Times New Roman" w:hAnsi="Times New Roman" w:eastAsia="宋体" w:cs="Times New Roman"/>
          <w:b/>
        </w:rPr>
        <w:t>某泡菜</w:t>
      </w:r>
      <w:r>
        <w:rPr>
          <w:rFonts w:hint="eastAsia" w:ascii="Times New Roman" w:hAnsi="Times New Roman" w:eastAsia="宋体" w:cs="Times New Roman"/>
          <w:b/>
        </w:rPr>
        <w:t>工业</w:t>
      </w:r>
      <w:r>
        <w:rPr>
          <w:rFonts w:ascii="Times New Roman" w:hAnsi="Times New Roman" w:eastAsia="宋体" w:cs="Times New Roman"/>
          <w:b/>
        </w:rPr>
        <w:t>企业ABR+A/O+植物稳定塘处理系统进出水水质</w:t>
      </w:r>
    </w:p>
    <w:tbl>
      <w:tblPr>
        <w:tblStyle w:val="25"/>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20"/>
        <w:gridCol w:w="1420"/>
        <w:gridCol w:w="1420"/>
        <w:gridCol w:w="1420"/>
        <w:gridCol w:w="1421"/>
        <w:gridCol w:w="142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20" w:type="dxa"/>
            <w:vAlign w:val="center"/>
          </w:tcPr>
          <w:p>
            <w:pPr>
              <w:jc w:val="center"/>
              <w:rPr>
                <w:rFonts w:ascii="Times New Roman" w:hAnsi="Times New Roman" w:eastAsia="宋体" w:cs="Times New Roman"/>
                <w:b/>
                <w:sz w:val="18"/>
                <w:szCs w:val="22"/>
              </w:rPr>
            </w:pPr>
            <w:r>
              <w:rPr>
                <w:rFonts w:ascii="Times New Roman" w:hAnsi="Times New Roman" w:eastAsia="宋体" w:cs="Times New Roman"/>
                <w:b/>
                <w:sz w:val="18"/>
                <w:szCs w:val="22"/>
              </w:rPr>
              <w:t>指标</w:t>
            </w:r>
          </w:p>
        </w:tc>
        <w:tc>
          <w:tcPr>
            <w:tcW w:w="1420" w:type="dxa"/>
            <w:vAlign w:val="center"/>
          </w:tcPr>
          <w:p>
            <w:pPr>
              <w:jc w:val="center"/>
              <w:rPr>
                <w:rFonts w:ascii="Times New Roman" w:hAnsi="Times New Roman" w:eastAsia="宋体" w:cs="Times New Roman"/>
                <w:b/>
                <w:sz w:val="18"/>
                <w:szCs w:val="22"/>
              </w:rPr>
            </w:pPr>
            <w:r>
              <w:rPr>
                <w:rFonts w:hint="eastAsia" w:ascii="Times New Roman" w:hAnsi="Times New Roman" w:eastAsia="宋体" w:cs="Times New Roman"/>
                <w:b/>
                <w:sz w:val="18"/>
                <w:szCs w:val="22"/>
              </w:rPr>
              <w:t>pH值</w:t>
            </w:r>
          </w:p>
        </w:tc>
        <w:tc>
          <w:tcPr>
            <w:tcW w:w="1420" w:type="dxa"/>
            <w:vAlign w:val="center"/>
          </w:tcPr>
          <w:p>
            <w:pPr>
              <w:jc w:val="center"/>
              <w:rPr>
                <w:rFonts w:ascii="Times New Roman" w:hAnsi="Times New Roman" w:eastAsia="宋体" w:cs="Times New Roman"/>
                <w:b/>
                <w:sz w:val="18"/>
                <w:szCs w:val="22"/>
                <w:vertAlign w:val="subscript"/>
              </w:rPr>
            </w:pPr>
            <w:r>
              <w:rPr>
                <w:rFonts w:ascii="Times New Roman" w:hAnsi="Times New Roman" w:eastAsia="宋体" w:cs="Times New Roman"/>
                <w:b/>
                <w:sz w:val="18"/>
                <w:szCs w:val="22"/>
              </w:rPr>
              <w:t>COD</w:t>
            </w:r>
            <w:r>
              <w:rPr>
                <w:rFonts w:ascii="Times New Roman" w:hAnsi="Times New Roman" w:eastAsia="宋体" w:cs="Times New Roman"/>
                <w:b/>
                <w:sz w:val="18"/>
                <w:szCs w:val="22"/>
                <w:vertAlign w:val="subscript"/>
              </w:rPr>
              <w:t>cr</w:t>
            </w:r>
          </w:p>
          <w:p>
            <w:pPr>
              <w:jc w:val="center"/>
              <w:rPr>
                <w:rFonts w:ascii="Times New Roman" w:hAnsi="Times New Roman" w:eastAsia="宋体" w:cs="Times New Roman"/>
                <w:b/>
                <w:sz w:val="18"/>
                <w:szCs w:val="22"/>
              </w:rPr>
            </w:pPr>
            <w:r>
              <w:rPr>
                <w:rFonts w:ascii="Times New Roman" w:hAnsi="Times New Roman" w:eastAsia="宋体" w:cs="Times New Roman"/>
                <w:b/>
                <w:sz w:val="18"/>
                <w:szCs w:val="22"/>
              </w:rPr>
              <w:t>（mg/L）</w:t>
            </w:r>
          </w:p>
        </w:tc>
        <w:tc>
          <w:tcPr>
            <w:tcW w:w="1420" w:type="dxa"/>
            <w:vAlign w:val="center"/>
          </w:tcPr>
          <w:p>
            <w:pPr>
              <w:jc w:val="center"/>
              <w:rPr>
                <w:rFonts w:ascii="Times New Roman" w:hAnsi="Times New Roman" w:eastAsia="宋体" w:cs="Times New Roman"/>
                <w:b/>
                <w:sz w:val="18"/>
                <w:szCs w:val="22"/>
              </w:rPr>
            </w:pPr>
            <w:r>
              <w:rPr>
                <w:rFonts w:ascii="Times New Roman" w:hAnsi="Times New Roman" w:eastAsia="宋体" w:cs="Times New Roman"/>
                <w:b/>
                <w:sz w:val="18"/>
                <w:szCs w:val="22"/>
              </w:rPr>
              <w:t>氨氮</w:t>
            </w:r>
          </w:p>
          <w:p>
            <w:pPr>
              <w:jc w:val="center"/>
              <w:rPr>
                <w:rFonts w:ascii="Times New Roman" w:hAnsi="Times New Roman" w:eastAsia="宋体" w:cs="Times New Roman"/>
                <w:b/>
                <w:sz w:val="18"/>
                <w:szCs w:val="22"/>
              </w:rPr>
            </w:pPr>
            <w:r>
              <w:rPr>
                <w:rFonts w:ascii="Times New Roman" w:hAnsi="Times New Roman" w:eastAsia="宋体" w:cs="Times New Roman"/>
                <w:b/>
                <w:sz w:val="18"/>
                <w:szCs w:val="22"/>
              </w:rPr>
              <w:t>（mg/L）</w:t>
            </w:r>
          </w:p>
        </w:tc>
        <w:tc>
          <w:tcPr>
            <w:tcW w:w="1421" w:type="dxa"/>
            <w:vAlign w:val="center"/>
          </w:tcPr>
          <w:p>
            <w:pPr>
              <w:jc w:val="center"/>
              <w:rPr>
                <w:rFonts w:ascii="Times New Roman" w:hAnsi="Times New Roman" w:eastAsia="宋体" w:cs="Times New Roman"/>
                <w:b/>
                <w:sz w:val="18"/>
                <w:szCs w:val="22"/>
              </w:rPr>
            </w:pPr>
            <w:r>
              <w:rPr>
                <w:rFonts w:ascii="Times New Roman" w:hAnsi="Times New Roman" w:eastAsia="宋体" w:cs="Times New Roman"/>
                <w:b/>
                <w:sz w:val="18"/>
                <w:szCs w:val="22"/>
              </w:rPr>
              <w:t>总磷</w:t>
            </w:r>
          </w:p>
          <w:p>
            <w:pPr>
              <w:jc w:val="center"/>
              <w:rPr>
                <w:rFonts w:ascii="Times New Roman" w:hAnsi="Times New Roman" w:eastAsia="宋体" w:cs="Times New Roman"/>
                <w:b/>
                <w:sz w:val="18"/>
                <w:szCs w:val="22"/>
              </w:rPr>
            </w:pPr>
            <w:r>
              <w:rPr>
                <w:rFonts w:ascii="Times New Roman" w:hAnsi="Times New Roman" w:eastAsia="宋体" w:cs="Times New Roman"/>
                <w:b/>
                <w:sz w:val="18"/>
                <w:szCs w:val="22"/>
              </w:rPr>
              <w:t>（mg/L）</w:t>
            </w:r>
          </w:p>
        </w:tc>
        <w:tc>
          <w:tcPr>
            <w:tcW w:w="1421" w:type="dxa"/>
            <w:vAlign w:val="center"/>
          </w:tcPr>
          <w:p>
            <w:pPr>
              <w:jc w:val="center"/>
              <w:rPr>
                <w:rFonts w:ascii="Times New Roman" w:hAnsi="Times New Roman" w:eastAsia="宋体" w:cs="Times New Roman"/>
                <w:b/>
                <w:sz w:val="18"/>
                <w:szCs w:val="22"/>
              </w:rPr>
            </w:pPr>
            <w:r>
              <w:rPr>
                <w:rFonts w:ascii="Times New Roman" w:hAnsi="Times New Roman" w:eastAsia="宋体" w:cs="Times New Roman"/>
                <w:b/>
                <w:sz w:val="18"/>
                <w:szCs w:val="22"/>
              </w:rPr>
              <w:t>氯化物</w:t>
            </w:r>
          </w:p>
          <w:p>
            <w:pPr>
              <w:jc w:val="center"/>
              <w:rPr>
                <w:rFonts w:ascii="Times New Roman" w:hAnsi="Times New Roman" w:eastAsia="宋体" w:cs="Times New Roman"/>
                <w:b/>
                <w:sz w:val="18"/>
                <w:szCs w:val="22"/>
              </w:rPr>
            </w:pPr>
            <w:r>
              <w:rPr>
                <w:rFonts w:ascii="Times New Roman" w:hAnsi="Times New Roman" w:eastAsia="宋体" w:cs="Times New Roman"/>
                <w:b/>
                <w:sz w:val="18"/>
                <w:szCs w:val="22"/>
              </w:rPr>
              <w:t>（mg/L）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20" w:type="dxa"/>
            <w:vAlign w:val="center"/>
          </w:tcPr>
          <w:p>
            <w:pPr>
              <w:jc w:val="center"/>
              <w:rPr>
                <w:rFonts w:ascii="Times New Roman" w:hAnsi="Times New Roman" w:eastAsia="宋体" w:cs="Times New Roman"/>
                <w:b/>
                <w:sz w:val="18"/>
                <w:szCs w:val="22"/>
              </w:rPr>
            </w:pPr>
            <w:r>
              <w:rPr>
                <w:rFonts w:ascii="Times New Roman" w:hAnsi="Times New Roman" w:eastAsia="宋体" w:cs="Times New Roman"/>
                <w:b/>
                <w:sz w:val="18"/>
                <w:szCs w:val="22"/>
              </w:rPr>
              <w:t>进水浓度</w:t>
            </w:r>
          </w:p>
        </w:tc>
        <w:tc>
          <w:tcPr>
            <w:tcW w:w="1420" w:type="dxa"/>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5.5</w:t>
            </w:r>
          </w:p>
        </w:tc>
        <w:tc>
          <w:tcPr>
            <w:tcW w:w="1420" w:type="dxa"/>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6000</w:t>
            </w:r>
          </w:p>
        </w:tc>
        <w:tc>
          <w:tcPr>
            <w:tcW w:w="1420" w:type="dxa"/>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180</w:t>
            </w:r>
          </w:p>
        </w:tc>
        <w:tc>
          <w:tcPr>
            <w:tcW w:w="1421" w:type="dxa"/>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40</w:t>
            </w:r>
          </w:p>
        </w:tc>
        <w:tc>
          <w:tcPr>
            <w:tcW w:w="1421" w:type="dxa"/>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4500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20" w:type="dxa"/>
            <w:vAlign w:val="center"/>
          </w:tcPr>
          <w:p>
            <w:pPr>
              <w:jc w:val="center"/>
              <w:rPr>
                <w:rFonts w:ascii="Times New Roman" w:hAnsi="Times New Roman" w:eastAsia="宋体" w:cs="Times New Roman"/>
                <w:b/>
                <w:sz w:val="18"/>
                <w:szCs w:val="22"/>
              </w:rPr>
            </w:pPr>
            <w:r>
              <w:rPr>
                <w:rFonts w:ascii="Times New Roman" w:hAnsi="Times New Roman" w:eastAsia="宋体" w:cs="Times New Roman"/>
                <w:b/>
                <w:sz w:val="18"/>
                <w:szCs w:val="22"/>
              </w:rPr>
              <w:t>出水浓度</w:t>
            </w:r>
          </w:p>
        </w:tc>
        <w:tc>
          <w:tcPr>
            <w:tcW w:w="1420" w:type="dxa"/>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6</w:t>
            </w:r>
          </w:p>
        </w:tc>
        <w:tc>
          <w:tcPr>
            <w:tcW w:w="1420" w:type="dxa"/>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20</w:t>
            </w:r>
          </w:p>
        </w:tc>
        <w:tc>
          <w:tcPr>
            <w:tcW w:w="1420" w:type="dxa"/>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0.1</w:t>
            </w:r>
          </w:p>
        </w:tc>
        <w:tc>
          <w:tcPr>
            <w:tcW w:w="1421" w:type="dxa"/>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0.15</w:t>
            </w:r>
          </w:p>
        </w:tc>
        <w:tc>
          <w:tcPr>
            <w:tcW w:w="1421" w:type="dxa"/>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4060</w:t>
            </w:r>
          </w:p>
        </w:tc>
      </w:tr>
    </w:tbl>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（3）</w:t>
      </w:r>
      <w:r>
        <w:rPr>
          <w:rFonts w:ascii="Times New Roman" w:hAnsi="Times New Roman" w:eastAsia="宋体" w:cs="Times New Roman"/>
          <w:szCs w:val="22"/>
        </w:rPr>
        <w:t>ABR+生物接触氧化处理系统</w:t>
      </w:r>
      <w:r>
        <w:rPr>
          <w:rFonts w:hint="eastAsia" w:ascii="Times New Roman" w:hAnsi="Times New Roman" w:eastAsia="宋体" w:cs="Times New Roman"/>
          <w:szCs w:val="22"/>
        </w:rPr>
        <w:t>：</w:t>
      </w:r>
      <w:r>
        <w:rPr>
          <w:rFonts w:ascii="Times New Roman" w:hAnsi="Times New Roman" w:eastAsia="宋体" w:cs="Times New Roman"/>
          <w:szCs w:val="22"/>
        </w:rPr>
        <w:t>工艺特点是厌氧好氧工艺组合使用对高浓度的有机废水有较好的去除效果，操作管理比较简单，但无处理单元能有效地去除氯化物</w:t>
      </w:r>
      <w:r>
        <w:rPr>
          <w:rFonts w:hint="eastAsia" w:ascii="Times New Roman" w:hAnsi="Times New Roman" w:eastAsia="宋体" w:cs="Times New Roman"/>
          <w:szCs w:val="22"/>
        </w:rPr>
        <w:t>，其</w:t>
      </w:r>
      <w:r>
        <w:rPr>
          <w:rFonts w:ascii="Times New Roman" w:hAnsi="Times New Roman" w:eastAsia="宋体" w:cs="Times New Roman"/>
          <w:szCs w:val="22"/>
        </w:rPr>
        <w:t>工艺流程如图</w:t>
      </w:r>
      <w:r>
        <w:rPr>
          <w:rFonts w:hint="eastAsia" w:ascii="Times New Roman" w:hAnsi="Times New Roman" w:eastAsia="宋体" w:cs="Times New Roman"/>
          <w:szCs w:val="22"/>
        </w:rPr>
        <w:t>4-7</w:t>
      </w:r>
      <w:r>
        <w:rPr>
          <w:rFonts w:ascii="Times New Roman" w:hAnsi="Times New Roman" w:eastAsia="宋体" w:cs="Times New Roman"/>
          <w:szCs w:val="22"/>
        </w:rPr>
        <w:t>所示。</w:t>
      </w:r>
    </w:p>
    <w:p>
      <w:pPr>
        <w:jc w:val="center"/>
        <w:rPr>
          <w:rFonts w:ascii="Times New Roman" w:hAnsi="Times New Roman" w:eastAsia="宋体" w:cs="Times New Roman"/>
          <w:szCs w:val="22"/>
        </w:rPr>
      </w:pPr>
      <w:r>
        <w:rPr>
          <w:rFonts w:hint="eastAsia" w:ascii="Times New Roman" w:hAnsi="Times New Roman" w:eastAsia="宋体" w:cs="Times New Roman"/>
          <w:szCs w:val="22"/>
        </w:rPr>
        <w:drawing>
          <wp:inline distT="0" distB="0" distL="0" distR="0">
            <wp:extent cx="4962525" cy="3848100"/>
            <wp:effectExtent l="19050" t="0" r="9525" b="0"/>
            <wp:docPr id="33" name="图片 38"/>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3" name="图片 38"/>
                    <pic:cNvPicPr>
                      <a:picLocks noChangeAspect="true"/>
                    </pic:cNvPicPr>
                  </pic:nvPicPr>
                  <pic:blipFill>
                    <a:blip r:embed="rId18" cstate="print">
                      <a:extLst>
                        <a:ext uri="{28A0092B-C50C-407E-A947-70E740481C1C}">
                          <a14:useLocalDpi xmlns:a14="http://schemas.microsoft.com/office/drawing/2010/main" val="false"/>
                        </a:ext>
                      </a:extLst>
                    </a:blip>
                    <a:srcRect b="1186"/>
                    <a:stretch>
                      <a:fillRect/>
                    </a:stretch>
                  </pic:blipFill>
                  <pic:spPr>
                    <a:xfrm>
                      <a:off x="0" y="0"/>
                      <a:ext cx="4977254" cy="3859521"/>
                    </a:xfrm>
                    <a:prstGeom prst="rect">
                      <a:avLst/>
                    </a:prstGeom>
                    <a:ln>
                      <a:noFill/>
                    </a:ln>
                  </pic:spPr>
                </pic:pic>
              </a:graphicData>
            </a:graphic>
          </wp:inline>
        </w:drawing>
      </w:r>
    </w:p>
    <w:p>
      <w:pPr>
        <w:spacing w:line="440" w:lineRule="exact"/>
        <w:jc w:val="center"/>
        <w:rPr>
          <w:rFonts w:ascii="Times New Roman" w:hAnsi="Times New Roman" w:eastAsia="宋体" w:cs="Times New Roman"/>
          <w:b/>
        </w:rPr>
      </w:pPr>
      <w:r>
        <w:rPr>
          <w:rFonts w:ascii="Times New Roman" w:hAnsi="Times New Roman" w:eastAsia="宋体" w:cs="Times New Roman"/>
          <w:b/>
        </w:rPr>
        <w:t>图</w:t>
      </w:r>
      <w:r>
        <w:rPr>
          <w:rFonts w:hint="eastAsia" w:ascii="Times New Roman" w:hAnsi="Times New Roman" w:eastAsia="宋体" w:cs="Times New Roman"/>
          <w:b/>
        </w:rPr>
        <w:t xml:space="preserve">4-7 </w:t>
      </w:r>
      <w:r>
        <w:rPr>
          <w:rFonts w:ascii="Times New Roman" w:hAnsi="Times New Roman" w:eastAsia="宋体" w:cs="Times New Roman"/>
          <w:b/>
        </w:rPr>
        <w:t>ABR+生物接触氧化处理系统工艺流程图</w:t>
      </w:r>
    </w:p>
    <w:p>
      <w:pPr>
        <w:spacing w:line="440" w:lineRule="exact"/>
        <w:jc w:val="left"/>
        <w:rPr>
          <w:rFonts w:ascii="Times New Roman" w:hAnsi="Times New Roman" w:eastAsia="宋体" w:cs="Times New Roman"/>
          <w:b/>
        </w:rPr>
      </w:pPr>
      <w:r>
        <w:rPr>
          <w:rFonts w:ascii="Times New Roman" w:hAnsi="Times New Roman" w:eastAsia="宋体" w:cs="Times New Roman"/>
          <w:szCs w:val="22"/>
        </w:rPr>
        <w:t>该工艺对泡菜废水处理效果见表</w:t>
      </w:r>
      <w:r>
        <w:rPr>
          <w:rFonts w:hint="eastAsia" w:ascii="Times New Roman" w:hAnsi="Times New Roman" w:eastAsia="宋体" w:cs="Times New Roman"/>
          <w:szCs w:val="22"/>
        </w:rPr>
        <w:t>4-9</w:t>
      </w:r>
      <w:r>
        <w:rPr>
          <w:rFonts w:ascii="Times New Roman" w:hAnsi="Times New Roman" w:eastAsia="宋体" w:cs="Times New Roman"/>
          <w:szCs w:val="22"/>
        </w:rPr>
        <w:t>。</w:t>
      </w:r>
    </w:p>
    <w:p>
      <w:pPr>
        <w:spacing w:line="440" w:lineRule="exact"/>
        <w:jc w:val="center"/>
        <w:rPr>
          <w:rFonts w:ascii="Times New Roman" w:hAnsi="Times New Roman" w:eastAsia="宋体" w:cs="Times New Roman"/>
          <w:b/>
        </w:rPr>
      </w:pPr>
      <w:r>
        <w:rPr>
          <w:rFonts w:ascii="Times New Roman" w:hAnsi="Times New Roman" w:eastAsia="宋体" w:cs="Times New Roman"/>
          <w:b/>
        </w:rPr>
        <w:t>表</w:t>
      </w:r>
      <w:r>
        <w:rPr>
          <w:rFonts w:hint="eastAsia" w:ascii="Times New Roman" w:hAnsi="Times New Roman" w:eastAsia="宋体" w:cs="Times New Roman"/>
          <w:b/>
        </w:rPr>
        <w:t xml:space="preserve">4-9 </w:t>
      </w:r>
      <w:r>
        <w:rPr>
          <w:rFonts w:ascii="Times New Roman" w:hAnsi="Times New Roman" w:eastAsia="宋体" w:cs="Times New Roman"/>
          <w:b/>
        </w:rPr>
        <w:t>某泡菜</w:t>
      </w:r>
      <w:r>
        <w:rPr>
          <w:rFonts w:hint="eastAsia" w:ascii="Times New Roman" w:hAnsi="Times New Roman" w:eastAsia="宋体" w:cs="Times New Roman"/>
          <w:b/>
        </w:rPr>
        <w:t>工业</w:t>
      </w:r>
      <w:r>
        <w:rPr>
          <w:rFonts w:ascii="Times New Roman" w:hAnsi="Times New Roman" w:eastAsia="宋体" w:cs="Times New Roman"/>
          <w:b/>
        </w:rPr>
        <w:t>企业ABR+生物接触氧化处理系统进出水水质</w:t>
      </w:r>
    </w:p>
    <w:tbl>
      <w:tblPr>
        <w:tblStyle w:val="25"/>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20"/>
        <w:gridCol w:w="1420"/>
        <w:gridCol w:w="1420"/>
        <w:gridCol w:w="1420"/>
        <w:gridCol w:w="1421"/>
        <w:gridCol w:w="142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20" w:type="dxa"/>
            <w:vAlign w:val="center"/>
          </w:tcPr>
          <w:p>
            <w:pPr>
              <w:jc w:val="center"/>
              <w:rPr>
                <w:rFonts w:ascii="Times New Roman" w:hAnsi="Times New Roman" w:eastAsia="宋体" w:cs="Times New Roman"/>
                <w:b/>
                <w:sz w:val="18"/>
                <w:szCs w:val="22"/>
              </w:rPr>
            </w:pPr>
            <w:r>
              <w:rPr>
                <w:rFonts w:ascii="Times New Roman" w:hAnsi="Times New Roman" w:eastAsia="宋体" w:cs="Times New Roman"/>
                <w:b/>
                <w:sz w:val="18"/>
                <w:szCs w:val="22"/>
              </w:rPr>
              <w:t>指标</w:t>
            </w:r>
          </w:p>
        </w:tc>
        <w:tc>
          <w:tcPr>
            <w:tcW w:w="1420" w:type="dxa"/>
            <w:vAlign w:val="center"/>
          </w:tcPr>
          <w:p>
            <w:pPr>
              <w:jc w:val="center"/>
              <w:rPr>
                <w:rFonts w:ascii="Times New Roman" w:hAnsi="Times New Roman" w:eastAsia="宋体" w:cs="Times New Roman"/>
                <w:b/>
                <w:sz w:val="18"/>
                <w:szCs w:val="22"/>
              </w:rPr>
            </w:pPr>
            <w:r>
              <w:rPr>
                <w:rFonts w:hint="eastAsia" w:ascii="Times New Roman" w:hAnsi="Times New Roman" w:eastAsia="宋体" w:cs="Times New Roman"/>
                <w:b/>
                <w:sz w:val="18"/>
                <w:szCs w:val="22"/>
              </w:rPr>
              <w:t>pH值</w:t>
            </w:r>
          </w:p>
        </w:tc>
        <w:tc>
          <w:tcPr>
            <w:tcW w:w="1420" w:type="dxa"/>
            <w:vAlign w:val="center"/>
          </w:tcPr>
          <w:p>
            <w:pPr>
              <w:jc w:val="center"/>
              <w:rPr>
                <w:rFonts w:ascii="Times New Roman" w:hAnsi="Times New Roman" w:eastAsia="宋体" w:cs="Times New Roman"/>
                <w:b/>
                <w:sz w:val="18"/>
                <w:szCs w:val="22"/>
              </w:rPr>
            </w:pPr>
            <w:r>
              <w:rPr>
                <w:rFonts w:ascii="Times New Roman" w:hAnsi="Times New Roman" w:eastAsia="宋体" w:cs="Times New Roman"/>
                <w:b/>
                <w:sz w:val="18"/>
                <w:szCs w:val="22"/>
              </w:rPr>
              <w:t>COD</w:t>
            </w:r>
            <w:r>
              <w:rPr>
                <w:rFonts w:ascii="Times New Roman" w:hAnsi="Times New Roman" w:eastAsia="宋体" w:cs="Times New Roman"/>
                <w:b/>
                <w:sz w:val="18"/>
                <w:szCs w:val="22"/>
                <w:vertAlign w:val="subscript"/>
              </w:rPr>
              <w:t>cr</w:t>
            </w:r>
            <w:r>
              <w:rPr>
                <w:rFonts w:ascii="Times New Roman" w:hAnsi="Times New Roman" w:eastAsia="宋体" w:cs="Times New Roman"/>
                <w:b/>
                <w:sz w:val="18"/>
                <w:szCs w:val="22"/>
              </w:rPr>
              <w:t>（mg/L）</w:t>
            </w:r>
          </w:p>
        </w:tc>
        <w:tc>
          <w:tcPr>
            <w:tcW w:w="1420" w:type="dxa"/>
            <w:vAlign w:val="center"/>
          </w:tcPr>
          <w:p>
            <w:pPr>
              <w:jc w:val="center"/>
              <w:rPr>
                <w:rFonts w:ascii="Times New Roman" w:hAnsi="Times New Roman" w:eastAsia="宋体" w:cs="Times New Roman"/>
                <w:b/>
                <w:sz w:val="18"/>
                <w:szCs w:val="22"/>
              </w:rPr>
            </w:pPr>
            <w:r>
              <w:rPr>
                <w:rFonts w:ascii="Times New Roman" w:hAnsi="Times New Roman" w:eastAsia="宋体" w:cs="Times New Roman"/>
                <w:b/>
                <w:sz w:val="18"/>
                <w:szCs w:val="22"/>
              </w:rPr>
              <w:t>氨氮（mg/L）</w:t>
            </w:r>
          </w:p>
        </w:tc>
        <w:tc>
          <w:tcPr>
            <w:tcW w:w="1421" w:type="dxa"/>
            <w:vAlign w:val="center"/>
          </w:tcPr>
          <w:p>
            <w:pPr>
              <w:jc w:val="center"/>
              <w:rPr>
                <w:rFonts w:ascii="Times New Roman" w:hAnsi="Times New Roman" w:eastAsia="宋体" w:cs="Times New Roman"/>
                <w:b/>
                <w:sz w:val="18"/>
                <w:szCs w:val="22"/>
              </w:rPr>
            </w:pPr>
            <w:r>
              <w:rPr>
                <w:rFonts w:ascii="Times New Roman" w:hAnsi="Times New Roman" w:eastAsia="宋体" w:cs="Times New Roman"/>
                <w:b/>
                <w:sz w:val="18"/>
                <w:szCs w:val="22"/>
              </w:rPr>
              <w:t>总磷（mg/L）</w:t>
            </w:r>
          </w:p>
        </w:tc>
        <w:tc>
          <w:tcPr>
            <w:tcW w:w="1421" w:type="dxa"/>
            <w:vAlign w:val="center"/>
          </w:tcPr>
          <w:p>
            <w:pPr>
              <w:jc w:val="center"/>
              <w:rPr>
                <w:rFonts w:ascii="Times New Roman" w:hAnsi="Times New Roman" w:eastAsia="宋体" w:cs="Times New Roman"/>
                <w:b/>
                <w:sz w:val="18"/>
                <w:szCs w:val="22"/>
              </w:rPr>
            </w:pPr>
            <w:r>
              <w:rPr>
                <w:rFonts w:ascii="Times New Roman" w:hAnsi="Times New Roman" w:eastAsia="宋体" w:cs="Times New Roman"/>
                <w:b/>
                <w:sz w:val="18"/>
                <w:szCs w:val="22"/>
              </w:rPr>
              <w:t>氯化物（mg/L）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20" w:type="dxa"/>
            <w:vAlign w:val="center"/>
          </w:tcPr>
          <w:p>
            <w:pPr>
              <w:jc w:val="center"/>
              <w:rPr>
                <w:rFonts w:ascii="Times New Roman" w:hAnsi="Times New Roman" w:eastAsia="宋体" w:cs="Times New Roman"/>
                <w:b/>
                <w:sz w:val="18"/>
                <w:szCs w:val="22"/>
              </w:rPr>
            </w:pPr>
            <w:r>
              <w:rPr>
                <w:rFonts w:ascii="Times New Roman" w:hAnsi="Times New Roman" w:eastAsia="宋体" w:cs="Times New Roman"/>
                <w:b/>
                <w:sz w:val="18"/>
                <w:szCs w:val="22"/>
              </w:rPr>
              <w:t>进水浓度</w:t>
            </w:r>
          </w:p>
        </w:tc>
        <w:tc>
          <w:tcPr>
            <w:tcW w:w="1420" w:type="dxa"/>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4-6</w:t>
            </w:r>
          </w:p>
        </w:tc>
        <w:tc>
          <w:tcPr>
            <w:tcW w:w="1420" w:type="dxa"/>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2000</w:t>
            </w:r>
          </w:p>
        </w:tc>
        <w:tc>
          <w:tcPr>
            <w:tcW w:w="1420" w:type="dxa"/>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40</w:t>
            </w:r>
          </w:p>
        </w:tc>
        <w:tc>
          <w:tcPr>
            <w:tcW w:w="1421" w:type="dxa"/>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40</w:t>
            </w:r>
          </w:p>
        </w:tc>
        <w:tc>
          <w:tcPr>
            <w:tcW w:w="1421" w:type="dxa"/>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3800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20" w:type="dxa"/>
            <w:vAlign w:val="center"/>
          </w:tcPr>
          <w:p>
            <w:pPr>
              <w:jc w:val="center"/>
              <w:rPr>
                <w:rFonts w:ascii="Times New Roman" w:hAnsi="Times New Roman" w:eastAsia="宋体" w:cs="Times New Roman"/>
                <w:b/>
                <w:sz w:val="18"/>
                <w:szCs w:val="22"/>
              </w:rPr>
            </w:pPr>
            <w:r>
              <w:rPr>
                <w:rFonts w:ascii="Times New Roman" w:hAnsi="Times New Roman" w:eastAsia="宋体" w:cs="Times New Roman"/>
                <w:b/>
                <w:sz w:val="18"/>
                <w:szCs w:val="22"/>
              </w:rPr>
              <w:t>出水浓度</w:t>
            </w:r>
          </w:p>
        </w:tc>
        <w:tc>
          <w:tcPr>
            <w:tcW w:w="1420" w:type="dxa"/>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6-9</w:t>
            </w:r>
          </w:p>
        </w:tc>
        <w:tc>
          <w:tcPr>
            <w:tcW w:w="1420" w:type="dxa"/>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60</w:t>
            </w:r>
          </w:p>
        </w:tc>
        <w:tc>
          <w:tcPr>
            <w:tcW w:w="1420" w:type="dxa"/>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8</w:t>
            </w:r>
          </w:p>
        </w:tc>
        <w:tc>
          <w:tcPr>
            <w:tcW w:w="1421" w:type="dxa"/>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0.5</w:t>
            </w:r>
          </w:p>
        </w:tc>
        <w:tc>
          <w:tcPr>
            <w:tcW w:w="1421" w:type="dxa"/>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3700</w:t>
            </w:r>
          </w:p>
        </w:tc>
      </w:tr>
    </w:tbl>
    <w:p>
      <w:pPr>
        <w:keepNext/>
        <w:keepLines/>
        <w:spacing w:before="190" w:beforeLines="50" w:after="190" w:afterLines="50" w:line="360" w:lineRule="auto"/>
        <w:jc w:val="left"/>
        <w:outlineLvl w:val="2"/>
        <w:rPr>
          <w:rFonts w:ascii="Times New Roman" w:hAnsi="Times New Roman" w:eastAsia="宋体" w:cs="Times New Roman"/>
          <w:b/>
          <w:bCs/>
          <w:sz w:val="24"/>
          <w:szCs w:val="32"/>
        </w:rPr>
      </w:pPr>
      <w:bookmarkStart w:id="23" w:name="_Toc76386101"/>
      <w:r>
        <w:rPr>
          <w:rFonts w:hint="eastAsia" w:ascii="Times New Roman" w:hAnsi="Times New Roman" w:eastAsia="宋体" w:cs="Times New Roman"/>
          <w:b/>
          <w:bCs/>
          <w:sz w:val="24"/>
          <w:szCs w:val="32"/>
        </w:rPr>
        <w:t>4</w:t>
      </w:r>
      <w:r>
        <w:rPr>
          <w:rFonts w:ascii="Times New Roman" w:hAnsi="Times New Roman" w:eastAsia="宋体" w:cs="Times New Roman"/>
          <w:b/>
          <w:bCs/>
          <w:sz w:val="24"/>
          <w:szCs w:val="32"/>
        </w:rPr>
        <w:t>.3.</w:t>
      </w:r>
      <w:r>
        <w:rPr>
          <w:rFonts w:hint="eastAsia" w:ascii="Times New Roman" w:hAnsi="Times New Roman" w:eastAsia="宋体" w:cs="Times New Roman"/>
          <w:b/>
          <w:bCs/>
          <w:sz w:val="24"/>
          <w:szCs w:val="32"/>
        </w:rPr>
        <w:t>2</w:t>
      </w:r>
      <w:r>
        <w:rPr>
          <w:rFonts w:ascii="Times New Roman" w:hAnsi="Times New Roman" w:eastAsia="宋体" w:cs="Times New Roman"/>
          <w:b/>
          <w:bCs/>
          <w:sz w:val="24"/>
          <w:szCs w:val="32"/>
        </w:rPr>
        <w:t xml:space="preserve"> </w:t>
      </w:r>
      <w:r>
        <w:rPr>
          <w:rFonts w:hint="eastAsia" w:ascii="Times New Roman" w:hAnsi="Times New Roman" w:eastAsia="宋体" w:cs="Times New Roman"/>
          <w:b/>
          <w:bCs/>
          <w:sz w:val="24"/>
          <w:szCs w:val="32"/>
        </w:rPr>
        <w:t>盐水渍泡菜污染防治技术</w:t>
      </w:r>
      <w:bookmarkEnd w:id="23"/>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多级接触氧化</w:t>
      </w:r>
      <w:r>
        <w:rPr>
          <w:rFonts w:ascii="Times New Roman" w:hAnsi="Times New Roman" w:eastAsia="宋体" w:cs="Times New Roman"/>
          <w:szCs w:val="22"/>
        </w:rPr>
        <w:t>工艺流程如图</w:t>
      </w:r>
      <w:r>
        <w:rPr>
          <w:rFonts w:hint="eastAsia" w:ascii="Times New Roman" w:hAnsi="Times New Roman" w:eastAsia="宋体" w:cs="Times New Roman"/>
          <w:szCs w:val="22"/>
        </w:rPr>
        <w:t>4-8</w:t>
      </w:r>
      <w:r>
        <w:rPr>
          <w:rFonts w:ascii="Times New Roman" w:hAnsi="Times New Roman" w:eastAsia="宋体" w:cs="Times New Roman"/>
          <w:szCs w:val="22"/>
        </w:rPr>
        <w:t>所示，该工艺采用接触氧化工艺通过生物膜的厚度形成的兼氧-好氧自反应体系对泡菜废水进行深度处理，同时，在工艺流程上设置多段不同溶解氧浓度范围，从而形成多层次的溶解氧梯度，为不同种类的微生物提供适宜的生长环境，形成了生物膜自身的A/O体系及大水体环境条件下的A/O体系，为硝化与反硝化过程提供良好的背景条件，从而有效的去除有机物和营养物质。</w:t>
      </w:r>
    </w:p>
    <w:p>
      <w:pPr>
        <w:jc w:val="center"/>
        <w:rPr>
          <w:rFonts w:ascii="Times New Roman" w:hAnsi="Times New Roman" w:eastAsia="宋体" w:cs="Times New Roman"/>
          <w:szCs w:val="22"/>
        </w:rPr>
      </w:pPr>
      <w:r>
        <w:rPr>
          <w:rFonts w:hint="eastAsia" w:ascii="Times New Roman" w:hAnsi="Times New Roman" w:eastAsia="宋体" w:cs="Times New Roman"/>
          <w:szCs w:val="22"/>
        </w:rPr>
        <w:drawing>
          <wp:inline distT="0" distB="0" distL="0" distR="0">
            <wp:extent cx="4984115" cy="3288030"/>
            <wp:effectExtent l="19050" t="0" r="6553" b="0"/>
            <wp:docPr id="34" name="图片 39"/>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4" name="图片 39"/>
                    <pic:cNvPicPr>
                      <a:picLocks noChangeAspect="true"/>
                    </pic:cNvPicPr>
                  </pic:nvPicPr>
                  <pic:blipFill>
                    <a:blip r:embed="rId19" cstate="print">
                      <a:extLst>
                        <a:ext uri="{28A0092B-C50C-407E-A947-70E740481C1C}">
                          <a14:useLocalDpi xmlns:a14="http://schemas.microsoft.com/office/drawing/2010/main" val="false"/>
                        </a:ext>
                      </a:extLst>
                    </a:blip>
                    <a:stretch>
                      <a:fillRect/>
                    </a:stretch>
                  </pic:blipFill>
                  <pic:spPr>
                    <a:xfrm>
                      <a:off x="0" y="0"/>
                      <a:ext cx="4992917" cy="3294148"/>
                    </a:xfrm>
                    <a:prstGeom prst="rect">
                      <a:avLst/>
                    </a:prstGeom>
                  </pic:spPr>
                </pic:pic>
              </a:graphicData>
            </a:graphic>
          </wp:inline>
        </w:drawing>
      </w:r>
    </w:p>
    <w:p>
      <w:pPr>
        <w:spacing w:line="440" w:lineRule="exact"/>
        <w:jc w:val="center"/>
        <w:rPr>
          <w:rFonts w:ascii="Times New Roman" w:hAnsi="Times New Roman" w:eastAsia="宋体" w:cs="Times New Roman"/>
          <w:b/>
        </w:rPr>
      </w:pPr>
      <w:r>
        <w:rPr>
          <w:rFonts w:hint="eastAsia" w:ascii="Times New Roman" w:hAnsi="Times New Roman" w:eastAsia="宋体" w:cs="Times New Roman"/>
          <w:b/>
        </w:rPr>
        <w:t>图</w:t>
      </w:r>
      <w:r>
        <w:rPr>
          <w:rFonts w:ascii="Times New Roman" w:hAnsi="Times New Roman" w:eastAsia="宋体" w:cs="Times New Roman"/>
          <w:b/>
        </w:rPr>
        <w:t xml:space="preserve">4-8 </w:t>
      </w:r>
      <w:r>
        <w:rPr>
          <w:rFonts w:hint="eastAsia" w:ascii="Times New Roman" w:hAnsi="Times New Roman" w:eastAsia="宋体" w:cs="Times New Roman"/>
          <w:b/>
        </w:rPr>
        <w:t>多级接触氧化工艺流程图</w:t>
      </w:r>
    </w:p>
    <w:p>
      <w:pPr>
        <w:spacing w:line="440" w:lineRule="exact"/>
        <w:ind w:firstLine="420" w:firstLineChars="200"/>
        <w:jc w:val="left"/>
        <w:rPr>
          <w:rFonts w:ascii="Times New Roman" w:hAnsi="Times New Roman" w:eastAsia="宋体" w:cs="Times New Roman"/>
          <w:szCs w:val="22"/>
        </w:rPr>
      </w:pPr>
      <w:r>
        <w:rPr>
          <w:rFonts w:ascii="Times New Roman" w:hAnsi="Times New Roman" w:eastAsia="宋体" w:cs="Times New Roman"/>
          <w:szCs w:val="22"/>
        </w:rPr>
        <w:t>该工艺对泡菜废水处理效果见表</w:t>
      </w:r>
      <w:r>
        <w:rPr>
          <w:rFonts w:hint="eastAsia" w:ascii="Times New Roman" w:hAnsi="Times New Roman" w:eastAsia="宋体" w:cs="Times New Roman"/>
          <w:szCs w:val="22"/>
        </w:rPr>
        <w:t>4-10</w:t>
      </w:r>
      <w:r>
        <w:rPr>
          <w:rFonts w:ascii="Times New Roman" w:hAnsi="Times New Roman" w:eastAsia="宋体" w:cs="Times New Roman"/>
          <w:szCs w:val="22"/>
        </w:rPr>
        <w:t>。</w:t>
      </w:r>
    </w:p>
    <w:p>
      <w:pPr>
        <w:spacing w:line="440" w:lineRule="exact"/>
        <w:jc w:val="center"/>
        <w:rPr>
          <w:rFonts w:ascii="Times New Roman" w:hAnsi="Times New Roman" w:eastAsia="宋体" w:cs="Times New Roman"/>
          <w:b/>
        </w:rPr>
      </w:pPr>
      <w:r>
        <w:rPr>
          <w:rFonts w:ascii="Times New Roman" w:hAnsi="Times New Roman" w:eastAsia="宋体" w:cs="Times New Roman"/>
          <w:b/>
        </w:rPr>
        <w:t>表</w:t>
      </w:r>
      <w:r>
        <w:rPr>
          <w:rFonts w:hint="eastAsia" w:ascii="Times New Roman" w:hAnsi="Times New Roman" w:eastAsia="宋体" w:cs="Times New Roman"/>
          <w:b/>
        </w:rPr>
        <w:t xml:space="preserve">4-10 </w:t>
      </w:r>
      <w:r>
        <w:rPr>
          <w:rFonts w:ascii="Times New Roman" w:hAnsi="Times New Roman" w:eastAsia="宋体" w:cs="Times New Roman"/>
          <w:b/>
        </w:rPr>
        <w:t>某泡菜</w:t>
      </w:r>
      <w:r>
        <w:rPr>
          <w:rFonts w:hint="eastAsia" w:ascii="Times New Roman" w:hAnsi="Times New Roman" w:eastAsia="宋体" w:cs="Times New Roman"/>
          <w:b/>
        </w:rPr>
        <w:t>工业</w:t>
      </w:r>
      <w:r>
        <w:rPr>
          <w:rFonts w:ascii="Times New Roman" w:hAnsi="Times New Roman" w:eastAsia="宋体" w:cs="Times New Roman"/>
          <w:b/>
        </w:rPr>
        <w:t>企业多级接触氧化工艺进出水水质</w:t>
      </w:r>
    </w:p>
    <w:tbl>
      <w:tblPr>
        <w:tblStyle w:val="25"/>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20"/>
        <w:gridCol w:w="1420"/>
        <w:gridCol w:w="1420"/>
        <w:gridCol w:w="1420"/>
        <w:gridCol w:w="1421"/>
        <w:gridCol w:w="142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20" w:type="dxa"/>
            <w:vAlign w:val="center"/>
          </w:tcPr>
          <w:p>
            <w:pPr>
              <w:jc w:val="center"/>
              <w:rPr>
                <w:rFonts w:ascii="Times New Roman" w:hAnsi="Times New Roman" w:eastAsia="宋体" w:cs="Times New Roman"/>
                <w:b/>
                <w:sz w:val="18"/>
                <w:szCs w:val="22"/>
              </w:rPr>
            </w:pPr>
            <w:r>
              <w:rPr>
                <w:rFonts w:ascii="Times New Roman" w:hAnsi="Times New Roman" w:eastAsia="宋体" w:cs="Times New Roman"/>
                <w:b/>
                <w:sz w:val="18"/>
                <w:szCs w:val="22"/>
              </w:rPr>
              <w:t>指标</w:t>
            </w:r>
          </w:p>
        </w:tc>
        <w:tc>
          <w:tcPr>
            <w:tcW w:w="1420" w:type="dxa"/>
            <w:vAlign w:val="center"/>
          </w:tcPr>
          <w:p>
            <w:pPr>
              <w:jc w:val="center"/>
              <w:rPr>
                <w:rFonts w:ascii="Times New Roman" w:hAnsi="Times New Roman" w:eastAsia="宋体" w:cs="Times New Roman"/>
                <w:b/>
                <w:sz w:val="18"/>
                <w:szCs w:val="22"/>
              </w:rPr>
            </w:pPr>
            <w:r>
              <w:rPr>
                <w:rFonts w:hint="eastAsia" w:ascii="Times New Roman" w:hAnsi="Times New Roman" w:eastAsia="宋体" w:cs="Times New Roman"/>
                <w:b/>
                <w:sz w:val="18"/>
                <w:szCs w:val="22"/>
              </w:rPr>
              <w:t>pH值</w:t>
            </w:r>
          </w:p>
        </w:tc>
        <w:tc>
          <w:tcPr>
            <w:tcW w:w="1420" w:type="dxa"/>
            <w:vAlign w:val="center"/>
          </w:tcPr>
          <w:p>
            <w:pPr>
              <w:jc w:val="center"/>
              <w:rPr>
                <w:rFonts w:ascii="Times New Roman" w:hAnsi="Times New Roman" w:eastAsia="宋体" w:cs="Times New Roman"/>
                <w:b/>
                <w:sz w:val="18"/>
                <w:szCs w:val="22"/>
              </w:rPr>
            </w:pPr>
            <w:r>
              <w:rPr>
                <w:rFonts w:ascii="Times New Roman" w:hAnsi="Times New Roman" w:eastAsia="宋体" w:cs="Times New Roman"/>
                <w:b/>
                <w:sz w:val="18"/>
                <w:szCs w:val="22"/>
              </w:rPr>
              <w:t>COD</w:t>
            </w:r>
            <w:r>
              <w:rPr>
                <w:rFonts w:ascii="Times New Roman" w:hAnsi="Times New Roman" w:eastAsia="宋体" w:cs="Times New Roman"/>
                <w:b/>
                <w:sz w:val="18"/>
                <w:szCs w:val="22"/>
                <w:vertAlign w:val="subscript"/>
              </w:rPr>
              <w:t>cr</w:t>
            </w:r>
            <w:r>
              <w:rPr>
                <w:rFonts w:ascii="Times New Roman" w:hAnsi="Times New Roman" w:eastAsia="宋体" w:cs="Times New Roman"/>
                <w:b/>
                <w:sz w:val="18"/>
                <w:szCs w:val="22"/>
              </w:rPr>
              <w:t>（mg/L）</w:t>
            </w:r>
          </w:p>
        </w:tc>
        <w:tc>
          <w:tcPr>
            <w:tcW w:w="1420" w:type="dxa"/>
            <w:vAlign w:val="center"/>
          </w:tcPr>
          <w:p>
            <w:pPr>
              <w:jc w:val="center"/>
              <w:rPr>
                <w:rFonts w:ascii="Times New Roman" w:hAnsi="Times New Roman" w:eastAsia="宋体" w:cs="Times New Roman"/>
                <w:b/>
                <w:sz w:val="18"/>
                <w:szCs w:val="22"/>
              </w:rPr>
            </w:pPr>
            <w:r>
              <w:rPr>
                <w:rFonts w:ascii="Times New Roman" w:hAnsi="Times New Roman" w:eastAsia="宋体" w:cs="Times New Roman"/>
                <w:b/>
                <w:sz w:val="18"/>
                <w:szCs w:val="22"/>
              </w:rPr>
              <w:t>氨氮（mg/L）</w:t>
            </w:r>
          </w:p>
        </w:tc>
        <w:tc>
          <w:tcPr>
            <w:tcW w:w="1421" w:type="dxa"/>
            <w:vAlign w:val="center"/>
          </w:tcPr>
          <w:p>
            <w:pPr>
              <w:jc w:val="center"/>
              <w:rPr>
                <w:rFonts w:ascii="Times New Roman" w:hAnsi="Times New Roman" w:eastAsia="宋体" w:cs="Times New Roman"/>
                <w:b/>
                <w:sz w:val="18"/>
                <w:szCs w:val="22"/>
              </w:rPr>
            </w:pPr>
            <w:r>
              <w:rPr>
                <w:rFonts w:ascii="Times New Roman" w:hAnsi="Times New Roman" w:eastAsia="宋体" w:cs="Times New Roman"/>
                <w:b/>
                <w:sz w:val="18"/>
                <w:szCs w:val="22"/>
              </w:rPr>
              <w:t>总磷（mg/L）</w:t>
            </w:r>
          </w:p>
        </w:tc>
        <w:tc>
          <w:tcPr>
            <w:tcW w:w="1421" w:type="dxa"/>
            <w:vAlign w:val="center"/>
          </w:tcPr>
          <w:p>
            <w:pPr>
              <w:jc w:val="center"/>
              <w:rPr>
                <w:rFonts w:ascii="Times New Roman" w:hAnsi="Times New Roman" w:eastAsia="宋体" w:cs="Times New Roman"/>
                <w:b/>
                <w:sz w:val="18"/>
                <w:szCs w:val="22"/>
              </w:rPr>
            </w:pPr>
            <w:r>
              <w:rPr>
                <w:rFonts w:ascii="Times New Roman" w:hAnsi="Times New Roman" w:eastAsia="宋体" w:cs="Times New Roman"/>
                <w:b/>
                <w:sz w:val="18"/>
                <w:szCs w:val="22"/>
              </w:rPr>
              <w:t>氯化物（mg/L）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20" w:type="dxa"/>
            <w:vAlign w:val="center"/>
          </w:tcPr>
          <w:p>
            <w:pPr>
              <w:jc w:val="center"/>
              <w:rPr>
                <w:rFonts w:ascii="Times New Roman" w:hAnsi="Times New Roman" w:eastAsia="宋体" w:cs="Times New Roman"/>
                <w:b/>
                <w:sz w:val="18"/>
                <w:szCs w:val="22"/>
              </w:rPr>
            </w:pPr>
            <w:r>
              <w:rPr>
                <w:rFonts w:ascii="Times New Roman" w:hAnsi="Times New Roman" w:eastAsia="宋体" w:cs="Times New Roman"/>
                <w:b/>
                <w:sz w:val="18"/>
                <w:szCs w:val="22"/>
              </w:rPr>
              <w:t>进水浓度</w:t>
            </w:r>
          </w:p>
        </w:tc>
        <w:tc>
          <w:tcPr>
            <w:tcW w:w="1420" w:type="dxa"/>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4.6-5</w:t>
            </w:r>
          </w:p>
        </w:tc>
        <w:tc>
          <w:tcPr>
            <w:tcW w:w="1420" w:type="dxa"/>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7500-7800</w:t>
            </w:r>
          </w:p>
        </w:tc>
        <w:tc>
          <w:tcPr>
            <w:tcW w:w="1420" w:type="dxa"/>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420-460</w:t>
            </w:r>
          </w:p>
        </w:tc>
        <w:tc>
          <w:tcPr>
            <w:tcW w:w="1421" w:type="dxa"/>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40-45</w:t>
            </w:r>
          </w:p>
        </w:tc>
        <w:tc>
          <w:tcPr>
            <w:tcW w:w="1421" w:type="dxa"/>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4000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20" w:type="dxa"/>
            <w:vAlign w:val="center"/>
          </w:tcPr>
          <w:p>
            <w:pPr>
              <w:jc w:val="center"/>
              <w:rPr>
                <w:rFonts w:ascii="Times New Roman" w:hAnsi="Times New Roman" w:eastAsia="宋体" w:cs="Times New Roman"/>
                <w:b/>
                <w:sz w:val="18"/>
                <w:szCs w:val="22"/>
              </w:rPr>
            </w:pPr>
            <w:r>
              <w:rPr>
                <w:rFonts w:ascii="Times New Roman" w:hAnsi="Times New Roman" w:eastAsia="宋体" w:cs="Times New Roman"/>
                <w:b/>
                <w:sz w:val="18"/>
                <w:szCs w:val="22"/>
              </w:rPr>
              <w:t>出水浓度</w:t>
            </w:r>
          </w:p>
        </w:tc>
        <w:tc>
          <w:tcPr>
            <w:tcW w:w="1420" w:type="dxa"/>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6.5</w:t>
            </w:r>
          </w:p>
        </w:tc>
        <w:tc>
          <w:tcPr>
            <w:tcW w:w="1420" w:type="dxa"/>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15</w:t>
            </w:r>
          </w:p>
        </w:tc>
        <w:tc>
          <w:tcPr>
            <w:tcW w:w="1420" w:type="dxa"/>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3.55</w:t>
            </w:r>
          </w:p>
        </w:tc>
        <w:tc>
          <w:tcPr>
            <w:tcW w:w="1421" w:type="dxa"/>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0.089</w:t>
            </w:r>
          </w:p>
        </w:tc>
        <w:tc>
          <w:tcPr>
            <w:tcW w:w="1421" w:type="dxa"/>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3760</w:t>
            </w:r>
          </w:p>
        </w:tc>
      </w:tr>
    </w:tbl>
    <w:p>
      <w:pPr>
        <w:keepNext/>
        <w:keepLines/>
        <w:spacing w:before="190" w:beforeLines="50" w:after="190" w:afterLines="50" w:line="360" w:lineRule="auto"/>
        <w:jc w:val="left"/>
        <w:outlineLvl w:val="2"/>
        <w:rPr>
          <w:rFonts w:ascii="Times New Roman" w:hAnsi="Times New Roman" w:eastAsia="宋体" w:cs="Times New Roman"/>
          <w:b/>
          <w:bCs/>
          <w:sz w:val="24"/>
          <w:szCs w:val="32"/>
        </w:rPr>
      </w:pPr>
      <w:bookmarkStart w:id="24" w:name="_Toc76386102"/>
      <w:r>
        <w:rPr>
          <w:rFonts w:hint="eastAsia" w:ascii="Times New Roman" w:hAnsi="Times New Roman" w:eastAsia="宋体" w:cs="Times New Roman"/>
          <w:b/>
          <w:bCs/>
          <w:sz w:val="24"/>
          <w:szCs w:val="32"/>
        </w:rPr>
        <w:t>4</w:t>
      </w:r>
      <w:r>
        <w:rPr>
          <w:rFonts w:ascii="Times New Roman" w:hAnsi="Times New Roman" w:eastAsia="宋体" w:cs="Times New Roman"/>
          <w:b/>
          <w:bCs/>
          <w:sz w:val="24"/>
          <w:szCs w:val="32"/>
        </w:rPr>
        <w:t>.3.</w:t>
      </w:r>
      <w:r>
        <w:rPr>
          <w:rFonts w:hint="eastAsia" w:ascii="Times New Roman" w:hAnsi="Times New Roman" w:eastAsia="宋体" w:cs="Times New Roman"/>
          <w:b/>
          <w:bCs/>
          <w:sz w:val="24"/>
          <w:szCs w:val="32"/>
        </w:rPr>
        <w:t>3</w:t>
      </w:r>
      <w:r>
        <w:rPr>
          <w:rFonts w:ascii="Times New Roman" w:hAnsi="Times New Roman" w:eastAsia="宋体" w:cs="Times New Roman"/>
          <w:b/>
          <w:bCs/>
          <w:sz w:val="24"/>
          <w:szCs w:val="32"/>
        </w:rPr>
        <w:t xml:space="preserve"> </w:t>
      </w:r>
      <w:r>
        <w:rPr>
          <w:rFonts w:hint="eastAsia" w:ascii="Times New Roman" w:hAnsi="Times New Roman" w:eastAsia="宋体" w:cs="Times New Roman"/>
          <w:b/>
          <w:bCs/>
          <w:sz w:val="24"/>
          <w:szCs w:val="32"/>
        </w:rPr>
        <w:t>其他盐渍类污染防治技术</w:t>
      </w:r>
      <w:bookmarkEnd w:id="24"/>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A</w:t>
      </w:r>
      <w:r>
        <w:rPr>
          <w:rFonts w:ascii="Times New Roman" w:hAnsi="Times New Roman" w:eastAsia="宋体" w:cs="Times New Roman"/>
          <w:szCs w:val="22"/>
          <w:vertAlign w:val="superscript"/>
        </w:rPr>
        <w:t>2</w:t>
      </w:r>
      <w:r>
        <w:rPr>
          <w:rFonts w:hint="eastAsia" w:ascii="Times New Roman" w:hAnsi="Times New Roman" w:eastAsia="宋体" w:cs="Times New Roman"/>
          <w:szCs w:val="22"/>
        </w:rPr>
        <w:t>/O+膜法过滤工艺流程</w:t>
      </w:r>
      <w:r>
        <w:rPr>
          <w:rFonts w:ascii="Times New Roman" w:hAnsi="Times New Roman" w:eastAsia="宋体" w:cs="Times New Roman"/>
          <w:szCs w:val="22"/>
        </w:rPr>
        <w:t>如图</w:t>
      </w:r>
      <w:r>
        <w:rPr>
          <w:rFonts w:hint="eastAsia" w:ascii="Times New Roman" w:hAnsi="Times New Roman" w:eastAsia="宋体" w:cs="Times New Roman"/>
          <w:szCs w:val="22"/>
        </w:rPr>
        <w:t>4-8</w:t>
      </w:r>
      <w:r>
        <w:rPr>
          <w:rFonts w:ascii="Times New Roman" w:hAnsi="Times New Roman" w:eastAsia="宋体" w:cs="Times New Roman"/>
          <w:szCs w:val="22"/>
        </w:rPr>
        <w:t>所示，该工艺</w:t>
      </w:r>
      <w:r>
        <w:rPr>
          <w:rFonts w:hint="eastAsia" w:ascii="Times New Roman" w:hAnsi="Times New Roman" w:eastAsia="宋体" w:cs="Times New Roman"/>
          <w:szCs w:val="22"/>
        </w:rPr>
        <w:t>是将废水预处理后，</w:t>
      </w:r>
      <w:r>
        <w:rPr>
          <w:rFonts w:ascii="Times New Roman" w:hAnsi="Times New Roman" w:eastAsia="宋体" w:cs="Times New Roman"/>
          <w:szCs w:val="22"/>
        </w:rPr>
        <w:t>采用</w:t>
      </w:r>
      <w:r>
        <w:rPr>
          <w:rFonts w:hint="eastAsia" w:ascii="Times New Roman" w:hAnsi="Times New Roman" w:eastAsia="宋体" w:cs="Times New Roman"/>
          <w:szCs w:val="22"/>
        </w:rPr>
        <w:t>A</w:t>
      </w:r>
      <w:r>
        <w:rPr>
          <w:rFonts w:hint="eastAsia" w:ascii="Times New Roman" w:hAnsi="Times New Roman" w:eastAsia="宋体" w:cs="Times New Roman"/>
          <w:szCs w:val="22"/>
          <w:vertAlign w:val="superscript"/>
        </w:rPr>
        <w:t>2</w:t>
      </w:r>
      <w:r>
        <w:rPr>
          <w:rFonts w:hint="eastAsia" w:ascii="Times New Roman" w:hAnsi="Times New Roman" w:eastAsia="宋体" w:cs="Times New Roman"/>
          <w:szCs w:val="22"/>
        </w:rPr>
        <w:t>/O</w:t>
      </w:r>
      <w:r>
        <w:rPr>
          <w:rFonts w:ascii="Times New Roman" w:hAnsi="Times New Roman" w:eastAsia="宋体" w:cs="Times New Roman"/>
          <w:szCs w:val="22"/>
        </w:rPr>
        <w:t>工艺通过</w:t>
      </w:r>
      <w:r>
        <w:rPr>
          <w:rFonts w:hint="eastAsia" w:ascii="Times New Roman" w:hAnsi="Times New Roman" w:eastAsia="宋体" w:cs="Times New Roman"/>
          <w:szCs w:val="22"/>
        </w:rPr>
        <w:t>厌氧-</w:t>
      </w:r>
      <w:r>
        <w:rPr>
          <w:rFonts w:ascii="Times New Roman" w:hAnsi="Times New Roman" w:eastAsia="宋体" w:cs="Times New Roman"/>
          <w:szCs w:val="22"/>
        </w:rPr>
        <w:t>兼氧-好氧自反应体系对废水进行深度处理，在工艺流程上设置</w:t>
      </w:r>
      <w:r>
        <w:rPr>
          <w:rFonts w:hint="eastAsia" w:ascii="Times New Roman" w:hAnsi="Times New Roman" w:eastAsia="宋体" w:cs="Times New Roman"/>
          <w:szCs w:val="22"/>
        </w:rPr>
        <w:t>回流系统</w:t>
      </w:r>
      <w:r>
        <w:rPr>
          <w:rFonts w:ascii="Times New Roman" w:hAnsi="Times New Roman" w:eastAsia="宋体" w:cs="Times New Roman"/>
          <w:szCs w:val="22"/>
        </w:rPr>
        <w:t>为硝化与反硝化过程提供良好的背景条件，从而有效的去除有机物和营养物质</w:t>
      </w:r>
      <w:r>
        <w:rPr>
          <w:rFonts w:hint="eastAsia" w:ascii="Times New Roman" w:hAnsi="Times New Roman" w:eastAsia="宋体" w:cs="Times New Roman"/>
          <w:szCs w:val="22"/>
        </w:rPr>
        <w:t>。同时，利用膜法过滤器对废水中的Cl</w:t>
      </w:r>
      <w:r>
        <w:rPr>
          <w:rFonts w:ascii="Times New Roman" w:hAnsi="Times New Roman" w:eastAsia="宋体" w:cs="Times New Roman"/>
          <w:szCs w:val="22"/>
          <w:vertAlign w:val="superscript"/>
        </w:rPr>
        <w:t>-</w:t>
      </w:r>
      <w:r>
        <w:rPr>
          <w:rFonts w:hint="eastAsia" w:ascii="Times New Roman" w:hAnsi="Times New Roman" w:eastAsia="宋体" w:cs="Times New Roman"/>
          <w:szCs w:val="22"/>
        </w:rPr>
        <w:t>进行去除</w:t>
      </w:r>
      <w:r>
        <w:rPr>
          <w:rFonts w:ascii="Times New Roman" w:hAnsi="Times New Roman" w:eastAsia="宋体" w:cs="Times New Roman"/>
          <w:szCs w:val="22"/>
        </w:rPr>
        <w:t>。</w:t>
      </w:r>
    </w:p>
    <w:p>
      <w:pPr>
        <w:spacing w:line="440" w:lineRule="exact"/>
        <w:jc w:val="center"/>
        <w:rPr>
          <w:rFonts w:ascii="Times New Roman" w:hAnsi="Times New Roman" w:eastAsia="宋体" w:cs="Times New Roman"/>
          <w:b/>
        </w:rPr>
      </w:pPr>
      <w:r>
        <w:rPr>
          <w:rFonts w:ascii="Times New Roman" w:hAnsi="Times New Roman" w:eastAsia="宋体" w:cs="Times New Roman"/>
          <w:b/>
        </w:rPr>
        <w:drawing>
          <wp:anchor distT="0" distB="0" distL="114300" distR="114300" simplePos="0" relativeHeight="251658240" behindDoc="0" locked="0" layoutInCell="1" allowOverlap="1">
            <wp:simplePos x="0" y="0"/>
            <wp:positionH relativeFrom="column">
              <wp:posOffset>285750</wp:posOffset>
            </wp:positionH>
            <wp:positionV relativeFrom="paragraph">
              <wp:posOffset>27305</wp:posOffset>
            </wp:positionV>
            <wp:extent cx="5274310" cy="2438400"/>
            <wp:effectExtent l="19050" t="0" r="2540" b="0"/>
            <wp:wrapTopAndBottom/>
            <wp:docPr id="35" name="图片 22"/>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5" name="图片 22"/>
                    <pic:cNvPicPr>
                      <a:picLocks noChangeAspect="true" noChangeArrowheads="true"/>
                    </pic:cNvPicPr>
                  </pic:nvPicPr>
                  <pic:blipFill>
                    <a:blip r:embed="rId20" cstate="print"/>
                    <a:srcRect/>
                    <a:stretch>
                      <a:fillRect/>
                    </a:stretch>
                  </pic:blipFill>
                  <pic:spPr>
                    <a:xfrm>
                      <a:off x="0" y="0"/>
                      <a:ext cx="5274310" cy="2438400"/>
                    </a:xfrm>
                    <a:prstGeom prst="rect">
                      <a:avLst/>
                    </a:prstGeom>
                    <a:noFill/>
                    <a:ln w="9525">
                      <a:noFill/>
                      <a:miter lim="800000"/>
                      <a:headEnd/>
                      <a:tailEnd/>
                    </a:ln>
                  </pic:spPr>
                </pic:pic>
              </a:graphicData>
            </a:graphic>
          </wp:anchor>
        </w:drawing>
      </w:r>
      <w:r>
        <w:rPr>
          <w:rFonts w:ascii="Times New Roman" w:hAnsi="Times New Roman" w:eastAsia="宋体" w:cs="Times New Roman"/>
          <w:b/>
        </w:rPr>
        <w:t>图</w:t>
      </w:r>
      <w:r>
        <w:rPr>
          <w:rFonts w:hint="eastAsia" w:ascii="Times New Roman" w:hAnsi="Times New Roman" w:eastAsia="宋体" w:cs="Times New Roman"/>
          <w:b/>
        </w:rPr>
        <w:t>4-9 A</w:t>
      </w:r>
      <w:r>
        <w:rPr>
          <w:rFonts w:ascii="Times New Roman" w:hAnsi="Times New Roman" w:eastAsia="宋体" w:cs="Times New Roman"/>
          <w:b/>
          <w:vertAlign w:val="superscript"/>
        </w:rPr>
        <w:t>2</w:t>
      </w:r>
      <w:r>
        <w:rPr>
          <w:rFonts w:hint="eastAsia" w:ascii="Times New Roman" w:hAnsi="Times New Roman" w:eastAsia="宋体" w:cs="Times New Roman"/>
          <w:b/>
        </w:rPr>
        <w:t>/O+膜法过滤</w:t>
      </w:r>
      <w:r>
        <w:rPr>
          <w:rFonts w:ascii="Times New Roman" w:hAnsi="Times New Roman" w:eastAsia="宋体" w:cs="Times New Roman"/>
          <w:b/>
        </w:rPr>
        <w:t>处理系统工艺流程图</w:t>
      </w:r>
    </w:p>
    <w:p>
      <w:pPr>
        <w:spacing w:line="440" w:lineRule="exact"/>
        <w:jc w:val="left"/>
        <w:rPr>
          <w:rFonts w:ascii="Times New Roman" w:hAnsi="Times New Roman" w:eastAsia="宋体" w:cs="Times New Roman"/>
          <w:b/>
        </w:rPr>
      </w:pPr>
      <w:r>
        <w:rPr>
          <w:rFonts w:ascii="Times New Roman" w:hAnsi="Times New Roman" w:eastAsia="宋体" w:cs="Times New Roman"/>
          <w:szCs w:val="22"/>
        </w:rPr>
        <w:t>该工艺对</w:t>
      </w:r>
      <w:r>
        <w:rPr>
          <w:rFonts w:hint="eastAsia" w:ascii="Times New Roman" w:hAnsi="Times New Roman" w:eastAsia="宋体" w:cs="Times New Roman"/>
          <w:szCs w:val="22"/>
        </w:rPr>
        <w:t>其他盐渍类工业</w:t>
      </w:r>
      <w:r>
        <w:rPr>
          <w:rFonts w:ascii="Times New Roman" w:hAnsi="Times New Roman" w:eastAsia="宋体" w:cs="Times New Roman"/>
          <w:szCs w:val="22"/>
        </w:rPr>
        <w:t>废水处理效果见表</w:t>
      </w:r>
      <w:r>
        <w:rPr>
          <w:rFonts w:hint="eastAsia" w:ascii="Times New Roman" w:hAnsi="Times New Roman" w:eastAsia="宋体" w:cs="Times New Roman"/>
          <w:szCs w:val="22"/>
        </w:rPr>
        <w:t>4-11</w:t>
      </w:r>
      <w:r>
        <w:rPr>
          <w:rFonts w:ascii="Times New Roman" w:hAnsi="Times New Roman" w:eastAsia="宋体" w:cs="Times New Roman"/>
          <w:szCs w:val="22"/>
        </w:rPr>
        <w:t>。</w:t>
      </w:r>
    </w:p>
    <w:p>
      <w:pPr>
        <w:spacing w:line="440" w:lineRule="exact"/>
        <w:jc w:val="center"/>
        <w:rPr>
          <w:rFonts w:ascii="Times New Roman" w:hAnsi="Times New Roman" w:eastAsia="宋体" w:cs="Times New Roman"/>
          <w:b/>
        </w:rPr>
      </w:pPr>
      <w:r>
        <w:rPr>
          <w:rFonts w:ascii="Times New Roman" w:hAnsi="Times New Roman" w:eastAsia="宋体" w:cs="Times New Roman"/>
          <w:b/>
        </w:rPr>
        <w:t>表</w:t>
      </w:r>
      <w:r>
        <w:rPr>
          <w:rFonts w:hint="eastAsia" w:ascii="Times New Roman" w:hAnsi="Times New Roman" w:eastAsia="宋体" w:cs="Times New Roman"/>
          <w:b/>
        </w:rPr>
        <w:t xml:space="preserve">4-11 </w:t>
      </w:r>
      <w:r>
        <w:rPr>
          <w:rFonts w:ascii="Times New Roman" w:hAnsi="Times New Roman" w:eastAsia="宋体" w:cs="Times New Roman"/>
          <w:b/>
        </w:rPr>
        <w:t>某</w:t>
      </w:r>
      <w:r>
        <w:rPr>
          <w:rFonts w:hint="eastAsia" w:ascii="Times New Roman" w:hAnsi="Times New Roman" w:eastAsia="宋体" w:cs="Times New Roman"/>
          <w:b/>
        </w:rPr>
        <w:t>其他盐渍类</w:t>
      </w:r>
      <w:r>
        <w:rPr>
          <w:rFonts w:ascii="Times New Roman" w:hAnsi="Times New Roman" w:eastAsia="宋体" w:cs="Times New Roman"/>
          <w:b/>
        </w:rPr>
        <w:t>企业</w:t>
      </w:r>
      <w:r>
        <w:rPr>
          <w:rFonts w:hint="eastAsia" w:ascii="Times New Roman" w:hAnsi="Times New Roman" w:eastAsia="宋体" w:cs="Times New Roman"/>
          <w:b/>
        </w:rPr>
        <w:t>A</w:t>
      </w:r>
      <w:r>
        <w:rPr>
          <w:rFonts w:ascii="Times New Roman" w:hAnsi="Times New Roman" w:eastAsia="宋体" w:cs="Times New Roman"/>
          <w:b/>
          <w:vertAlign w:val="superscript"/>
        </w:rPr>
        <w:t>2</w:t>
      </w:r>
      <w:r>
        <w:rPr>
          <w:rFonts w:hint="eastAsia" w:ascii="Times New Roman" w:hAnsi="Times New Roman" w:eastAsia="宋体" w:cs="Times New Roman"/>
          <w:b/>
        </w:rPr>
        <w:t>/O+膜法过滤</w:t>
      </w:r>
      <w:r>
        <w:rPr>
          <w:rFonts w:ascii="Times New Roman" w:hAnsi="Times New Roman" w:eastAsia="宋体" w:cs="Times New Roman"/>
          <w:b/>
        </w:rPr>
        <w:t>处理系统进出水水质</w:t>
      </w:r>
    </w:p>
    <w:tbl>
      <w:tblPr>
        <w:tblStyle w:val="25"/>
        <w:tblW w:w="852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20"/>
        <w:gridCol w:w="1420"/>
        <w:gridCol w:w="1420"/>
        <w:gridCol w:w="1420"/>
        <w:gridCol w:w="1420"/>
        <w:gridCol w:w="142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20" w:type="dxa"/>
            <w:vAlign w:val="center"/>
          </w:tcPr>
          <w:p>
            <w:pPr>
              <w:jc w:val="center"/>
              <w:rPr>
                <w:rFonts w:ascii="Times New Roman" w:hAnsi="Times New Roman" w:eastAsia="宋体" w:cs="Times New Roman"/>
                <w:b/>
                <w:sz w:val="18"/>
                <w:szCs w:val="22"/>
              </w:rPr>
            </w:pPr>
            <w:r>
              <w:rPr>
                <w:rFonts w:ascii="Times New Roman" w:hAnsi="Times New Roman" w:eastAsia="宋体" w:cs="Times New Roman"/>
                <w:b/>
                <w:sz w:val="18"/>
                <w:szCs w:val="22"/>
              </w:rPr>
              <w:t>指标</w:t>
            </w:r>
          </w:p>
        </w:tc>
        <w:tc>
          <w:tcPr>
            <w:tcW w:w="1420" w:type="dxa"/>
            <w:vAlign w:val="center"/>
          </w:tcPr>
          <w:p>
            <w:pPr>
              <w:jc w:val="center"/>
              <w:rPr>
                <w:rFonts w:ascii="Times New Roman" w:hAnsi="Times New Roman" w:eastAsia="宋体" w:cs="Times New Roman"/>
                <w:b/>
                <w:sz w:val="18"/>
                <w:szCs w:val="22"/>
              </w:rPr>
            </w:pPr>
            <w:r>
              <w:rPr>
                <w:rFonts w:ascii="Times New Roman" w:hAnsi="Times New Roman" w:eastAsia="宋体" w:cs="Times New Roman"/>
                <w:b/>
                <w:sz w:val="18"/>
                <w:szCs w:val="22"/>
              </w:rPr>
              <w:t>COD</w:t>
            </w:r>
            <w:r>
              <w:rPr>
                <w:rFonts w:ascii="Times New Roman" w:hAnsi="Times New Roman" w:eastAsia="宋体" w:cs="Times New Roman"/>
                <w:b/>
                <w:sz w:val="18"/>
                <w:szCs w:val="22"/>
                <w:vertAlign w:val="subscript"/>
              </w:rPr>
              <w:t>cr</w:t>
            </w:r>
            <w:r>
              <w:rPr>
                <w:rFonts w:ascii="Times New Roman" w:hAnsi="Times New Roman" w:eastAsia="宋体" w:cs="Times New Roman"/>
                <w:b/>
                <w:sz w:val="18"/>
                <w:szCs w:val="22"/>
              </w:rPr>
              <w:t>（mg/L）</w:t>
            </w:r>
          </w:p>
        </w:tc>
        <w:tc>
          <w:tcPr>
            <w:tcW w:w="1420" w:type="dxa"/>
            <w:vAlign w:val="center"/>
          </w:tcPr>
          <w:p>
            <w:pPr>
              <w:jc w:val="center"/>
              <w:rPr>
                <w:rFonts w:ascii="Times New Roman" w:hAnsi="Times New Roman" w:eastAsia="宋体" w:cs="Times New Roman"/>
                <w:b/>
                <w:sz w:val="18"/>
                <w:szCs w:val="22"/>
              </w:rPr>
            </w:pPr>
            <w:r>
              <w:rPr>
                <w:rFonts w:hint="eastAsia" w:ascii="Times New Roman" w:hAnsi="Times New Roman" w:eastAsia="宋体" w:cs="Times New Roman"/>
                <w:b/>
                <w:sz w:val="18"/>
                <w:szCs w:val="22"/>
              </w:rPr>
              <w:t>BOD</w:t>
            </w:r>
            <w:r>
              <w:rPr>
                <w:rFonts w:hint="eastAsia" w:ascii="Times New Roman" w:hAnsi="Times New Roman" w:eastAsia="宋体" w:cs="Times New Roman"/>
                <w:b/>
                <w:sz w:val="18"/>
                <w:szCs w:val="22"/>
                <w:vertAlign w:val="subscript"/>
              </w:rPr>
              <w:t>5</w:t>
            </w:r>
            <w:r>
              <w:rPr>
                <w:rFonts w:ascii="Times New Roman" w:hAnsi="Times New Roman" w:eastAsia="宋体" w:cs="Times New Roman"/>
                <w:b/>
                <w:sz w:val="18"/>
                <w:szCs w:val="22"/>
              </w:rPr>
              <w:t>（mg/L）</w:t>
            </w:r>
          </w:p>
        </w:tc>
        <w:tc>
          <w:tcPr>
            <w:tcW w:w="1420" w:type="dxa"/>
            <w:vAlign w:val="center"/>
          </w:tcPr>
          <w:p>
            <w:pPr>
              <w:jc w:val="center"/>
              <w:rPr>
                <w:rFonts w:ascii="Times New Roman" w:hAnsi="Times New Roman" w:eastAsia="宋体" w:cs="Times New Roman"/>
                <w:b/>
                <w:sz w:val="18"/>
                <w:szCs w:val="22"/>
              </w:rPr>
            </w:pPr>
            <w:r>
              <w:rPr>
                <w:rFonts w:hint="eastAsia" w:ascii="Times New Roman" w:hAnsi="Times New Roman" w:eastAsia="宋体" w:cs="Times New Roman"/>
                <w:b/>
                <w:sz w:val="18"/>
                <w:szCs w:val="22"/>
              </w:rPr>
              <w:t>SS</w:t>
            </w:r>
            <w:r>
              <w:rPr>
                <w:rFonts w:ascii="Times New Roman" w:hAnsi="Times New Roman" w:eastAsia="宋体" w:cs="Times New Roman"/>
                <w:b/>
                <w:sz w:val="18"/>
                <w:szCs w:val="22"/>
              </w:rPr>
              <w:t>（mg/L）</w:t>
            </w:r>
          </w:p>
        </w:tc>
        <w:tc>
          <w:tcPr>
            <w:tcW w:w="1420" w:type="dxa"/>
            <w:vAlign w:val="center"/>
          </w:tcPr>
          <w:p>
            <w:pPr>
              <w:jc w:val="center"/>
              <w:rPr>
                <w:rFonts w:ascii="Times New Roman" w:hAnsi="Times New Roman" w:eastAsia="宋体" w:cs="Times New Roman"/>
                <w:b/>
                <w:sz w:val="18"/>
                <w:szCs w:val="22"/>
              </w:rPr>
            </w:pPr>
            <w:r>
              <w:rPr>
                <w:rFonts w:ascii="Times New Roman" w:hAnsi="Times New Roman" w:eastAsia="宋体" w:cs="Times New Roman"/>
                <w:b/>
                <w:sz w:val="18"/>
                <w:szCs w:val="22"/>
              </w:rPr>
              <w:t>氨氮（mg/L）</w:t>
            </w:r>
          </w:p>
        </w:tc>
        <w:tc>
          <w:tcPr>
            <w:tcW w:w="1421" w:type="dxa"/>
            <w:vAlign w:val="center"/>
          </w:tcPr>
          <w:p>
            <w:pPr>
              <w:jc w:val="center"/>
              <w:rPr>
                <w:rFonts w:ascii="Times New Roman" w:hAnsi="Times New Roman" w:eastAsia="宋体" w:cs="Times New Roman"/>
                <w:b/>
                <w:sz w:val="18"/>
                <w:szCs w:val="22"/>
              </w:rPr>
            </w:pPr>
            <w:r>
              <w:rPr>
                <w:rFonts w:ascii="Times New Roman" w:hAnsi="Times New Roman" w:eastAsia="宋体" w:cs="Times New Roman"/>
                <w:b/>
                <w:sz w:val="18"/>
                <w:szCs w:val="22"/>
              </w:rPr>
              <w:t>氯化物（mg/L）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20" w:type="dxa"/>
            <w:vAlign w:val="center"/>
          </w:tcPr>
          <w:p>
            <w:pPr>
              <w:jc w:val="center"/>
              <w:rPr>
                <w:rFonts w:ascii="Times New Roman" w:hAnsi="Times New Roman" w:eastAsia="宋体" w:cs="Times New Roman"/>
                <w:b/>
                <w:sz w:val="18"/>
                <w:szCs w:val="22"/>
              </w:rPr>
            </w:pPr>
            <w:r>
              <w:rPr>
                <w:rFonts w:ascii="Times New Roman" w:hAnsi="Times New Roman" w:eastAsia="宋体" w:cs="Times New Roman"/>
                <w:b/>
                <w:sz w:val="18"/>
                <w:szCs w:val="22"/>
              </w:rPr>
              <w:t>进水浓度</w:t>
            </w:r>
          </w:p>
        </w:tc>
        <w:tc>
          <w:tcPr>
            <w:tcW w:w="1420" w:type="dxa"/>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861</w:t>
            </w:r>
          </w:p>
        </w:tc>
        <w:tc>
          <w:tcPr>
            <w:tcW w:w="1420" w:type="dxa"/>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322</w:t>
            </w:r>
          </w:p>
        </w:tc>
        <w:tc>
          <w:tcPr>
            <w:tcW w:w="1420" w:type="dxa"/>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463</w:t>
            </w:r>
          </w:p>
        </w:tc>
        <w:tc>
          <w:tcPr>
            <w:tcW w:w="1420" w:type="dxa"/>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48</w:t>
            </w:r>
          </w:p>
        </w:tc>
        <w:tc>
          <w:tcPr>
            <w:tcW w:w="1421" w:type="dxa"/>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627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20" w:type="dxa"/>
            <w:vAlign w:val="center"/>
          </w:tcPr>
          <w:p>
            <w:pPr>
              <w:jc w:val="center"/>
              <w:rPr>
                <w:rFonts w:ascii="Times New Roman" w:hAnsi="Times New Roman" w:eastAsia="宋体" w:cs="Times New Roman"/>
                <w:b/>
                <w:sz w:val="18"/>
                <w:szCs w:val="22"/>
              </w:rPr>
            </w:pPr>
            <w:r>
              <w:rPr>
                <w:rFonts w:ascii="Times New Roman" w:hAnsi="Times New Roman" w:eastAsia="宋体" w:cs="Times New Roman"/>
                <w:b/>
                <w:sz w:val="18"/>
                <w:szCs w:val="22"/>
              </w:rPr>
              <w:t>出水浓度</w:t>
            </w:r>
          </w:p>
        </w:tc>
        <w:tc>
          <w:tcPr>
            <w:tcW w:w="1420" w:type="dxa"/>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100</w:t>
            </w:r>
          </w:p>
        </w:tc>
        <w:tc>
          <w:tcPr>
            <w:tcW w:w="1420" w:type="dxa"/>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20</w:t>
            </w:r>
          </w:p>
        </w:tc>
        <w:tc>
          <w:tcPr>
            <w:tcW w:w="1420" w:type="dxa"/>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70</w:t>
            </w:r>
          </w:p>
        </w:tc>
        <w:tc>
          <w:tcPr>
            <w:tcW w:w="1420" w:type="dxa"/>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15</w:t>
            </w:r>
          </w:p>
        </w:tc>
        <w:tc>
          <w:tcPr>
            <w:tcW w:w="1421" w:type="dxa"/>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300</w:t>
            </w:r>
          </w:p>
        </w:tc>
      </w:tr>
    </w:tbl>
    <w:p>
      <w:pPr>
        <w:keepNext/>
        <w:keepLines/>
        <w:spacing w:before="190" w:beforeLines="50" w:after="190" w:afterLines="50" w:line="360" w:lineRule="auto"/>
        <w:jc w:val="left"/>
        <w:outlineLvl w:val="2"/>
        <w:rPr>
          <w:rFonts w:ascii="Times New Roman" w:hAnsi="Times New Roman" w:eastAsia="宋体" w:cs="Times New Roman"/>
          <w:b/>
          <w:bCs/>
          <w:sz w:val="24"/>
          <w:szCs w:val="32"/>
        </w:rPr>
      </w:pPr>
      <w:bookmarkStart w:id="25" w:name="_Toc76386103"/>
      <w:r>
        <w:rPr>
          <w:rFonts w:hint="eastAsia" w:ascii="Times New Roman" w:hAnsi="Times New Roman" w:eastAsia="宋体" w:cs="Times New Roman"/>
          <w:b/>
          <w:bCs/>
          <w:sz w:val="24"/>
          <w:szCs w:val="32"/>
        </w:rPr>
        <w:t>4</w:t>
      </w:r>
      <w:r>
        <w:rPr>
          <w:rFonts w:ascii="Times New Roman" w:hAnsi="Times New Roman" w:eastAsia="宋体" w:cs="Times New Roman"/>
          <w:b/>
          <w:bCs/>
          <w:sz w:val="24"/>
          <w:szCs w:val="32"/>
        </w:rPr>
        <w:t>.3.</w:t>
      </w:r>
      <w:r>
        <w:rPr>
          <w:rFonts w:hint="eastAsia" w:ascii="Times New Roman" w:hAnsi="Times New Roman" w:eastAsia="宋体" w:cs="Times New Roman"/>
          <w:b/>
          <w:bCs/>
          <w:sz w:val="24"/>
          <w:szCs w:val="32"/>
        </w:rPr>
        <w:t>4企业</w:t>
      </w:r>
      <w:r>
        <w:rPr>
          <w:rFonts w:ascii="Times New Roman" w:hAnsi="Times New Roman" w:eastAsia="宋体" w:cs="Times New Roman"/>
          <w:b/>
          <w:bCs/>
          <w:sz w:val="24"/>
          <w:szCs w:val="32"/>
        </w:rPr>
        <w:t>排水水质达标分析</w:t>
      </w:r>
      <w:bookmarkEnd w:id="25"/>
    </w:p>
    <w:p>
      <w:pPr>
        <w:spacing w:line="440" w:lineRule="exact"/>
        <w:ind w:firstLine="420"/>
        <w:jc w:val="left"/>
        <w:rPr>
          <w:rFonts w:ascii="Times New Roman" w:hAnsi="Times New Roman" w:eastAsia="宋体" w:cs="Times New Roman"/>
          <w:szCs w:val="22"/>
        </w:rPr>
      </w:pPr>
      <w:r>
        <w:rPr>
          <w:rFonts w:ascii="Times New Roman" w:hAnsi="Times New Roman" w:eastAsia="宋体" w:cs="Times New Roman"/>
          <w:szCs w:val="22"/>
        </w:rPr>
        <w:t>项目组统计调查了</w:t>
      </w:r>
      <w:r>
        <w:rPr>
          <w:rFonts w:hint="eastAsia" w:ascii="Times New Roman" w:hAnsi="Times New Roman" w:eastAsia="宋体" w:cs="Times New Roman"/>
          <w:szCs w:val="22"/>
        </w:rPr>
        <w:t>2</w:t>
      </w:r>
      <w:r>
        <w:rPr>
          <w:rFonts w:ascii="Times New Roman" w:hAnsi="Times New Roman" w:eastAsia="宋体" w:cs="Times New Roman"/>
          <w:szCs w:val="22"/>
        </w:rPr>
        <w:t>019年我省纳入在线监测的泡菜</w:t>
      </w:r>
      <w:r>
        <w:rPr>
          <w:rFonts w:hint="eastAsia" w:ascii="Times New Roman" w:hAnsi="Times New Roman" w:eastAsia="宋体" w:cs="Times New Roman"/>
          <w:szCs w:val="22"/>
        </w:rPr>
        <w:t>工业</w:t>
      </w:r>
      <w:r>
        <w:rPr>
          <w:rFonts w:ascii="Times New Roman" w:hAnsi="Times New Roman" w:eastAsia="宋体" w:cs="Times New Roman"/>
          <w:szCs w:val="22"/>
        </w:rPr>
        <w:t>企业逐日排放水质数据</w:t>
      </w:r>
      <w:r>
        <w:rPr>
          <w:rFonts w:hint="eastAsia" w:ascii="Times New Roman" w:hAnsi="Times New Roman" w:eastAsia="宋体" w:cs="Times New Roman"/>
          <w:szCs w:val="22"/>
        </w:rPr>
        <w:t>，如表所示。若以《污水综合排放标准》（GB 8978-1996 ）一级A为标准，除个别企业</w:t>
      </w:r>
      <w:r>
        <w:rPr>
          <w:rFonts w:ascii="Times New Roman" w:hAnsi="Times New Roman" w:eastAsia="宋体" w:cs="Times New Roman"/>
          <w:szCs w:val="22"/>
        </w:rPr>
        <w:t>COD</w:t>
      </w:r>
      <w:r>
        <w:rPr>
          <w:rFonts w:hint="eastAsia" w:ascii="Times New Roman" w:hAnsi="Times New Roman" w:eastAsia="宋体" w:cs="Times New Roman"/>
          <w:szCs w:val="22"/>
        </w:rPr>
        <w:t>、氨氮达标情况不理想外，大部分企业C</w:t>
      </w:r>
      <w:r>
        <w:rPr>
          <w:rFonts w:ascii="Times New Roman" w:hAnsi="Times New Roman" w:eastAsia="宋体" w:cs="Times New Roman"/>
          <w:szCs w:val="22"/>
        </w:rPr>
        <w:t>OD</w:t>
      </w:r>
      <w:r>
        <w:rPr>
          <w:rFonts w:hint="eastAsia" w:ascii="Times New Roman" w:hAnsi="Times New Roman" w:eastAsia="宋体" w:cs="Times New Roman"/>
          <w:szCs w:val="22"/>
        </w:rPr>
        <w:t>、</w:t>
      </w:r>
      <w:r>
        <w:rPr>
          <w:rFonts w:ascii="Times New Roman" w:hAnsi="Times New Roman" w:eastAsia="宋体" w:cs="Times New Roman"/>
          <w:szCs w:val="22"/>
        </w:rPr>
        <w:t>氨氮和总磷的达标率均在</w:t>
      </w:r>
      <w:r>
        <w:rPr>
          <w:rFonts w:hint="eastAsia" w:ascii="Times New Roman" w:hAnsi="Times New Roman" w:eastAsia="宋体" w:cs="Times New Roman"/>
          <w:szCs w:val="22"/>
        </w:rPr>
        <w:t>9</w:t>
      </w:r>
      <w:r>
        <w:rPr>
          <w:rFonts w:ascii="Times New Roman" w:hAnsi="Times New Roman" w:eastAsia="宋体" w:cs="Times New Roman"/>
          <w:szCs w:val="22"/>
        </w:rPr>
        <w:t>0</w:t>
      </w:r>
      <w:r>
        <w:rPr>
          <w:rFonts w:hint="eastAsia" w:ascii="Times New Roman" w:hAnsi="Times New Roman" w:eastAsia="宋体" w:cs="Times New Roman"/>
          <w:szCs w:val="22"/>
        </w:rPr>
        <w:t>%以上。纳入统计的七家企业，平均达标率为C</w:t>
      </w:r>
      <w:r>
        <w:rPr>
          <w:rFonts w:ascii="Times New Roman" w:hAnsi="Times New Roman" w:eastAsia="宋体" w:cs="Times New Roman"/>
          <w:szCs w:val="22"/>
        </w:rPr>
        <w:t>OD96.6</w:t>
      </w:r>
      <w:r>
        <w:rPr>
          <w:rFonts w:hint="eastAsia" w:ascii="Times New Roman" w:hAnsi="Times New Roman" w:eastAsia="宋体" w:cs="Times New Roman"/>
          <w:szCs w:val="22"/>
        </w:rPr>
        <w:t>%、</w:t>
      </w:r>
      <w:r>
        <w:rPr>
          <w:rFonts w:ascii="Times New Roman" w:hAnsi="Times New Roman" w:eastAsia="宋体" w:cs="Times New Roman"/>
          <w:szCs w:val="22"/>
        </w:rPr>
        <w:t>氨氮</w:t>
      </w:r>
      <w:r>
        <w:rPr>
          <w:rFonts w:hint="eastAsia" w:ascii="Times New Roman" w:hAnsi="Times New Roman" w:eastAsia="宋体" w:cs="Times New Roman"/>
          <w:szCs w:val="22"/>
        </w:rPr>
        <w:t>9</w:t>
      </w:r>
      <w:r>
        <w:rPr>
          <w:rFonts w:ascii="Times New Roman" w:hAnsi="Times New Roman" w:eastAsia="宋体" w:cs="Times New Roman"/>
          <w:szCs w:val="22"/>
        </w:rPr>
        <w:t>5</w:t>
      </w:r>
      <w:r>
        <w:rPr>
          <w:rFonts w:hint="eastAsia" w:ascii="Times New Roman" w:hAnsi="Times New Roman" w:eastAsia="宋体" w:cs="Times New Roman"/>
          <w:szCs w:val="22"/>
        </w:rPr>
        <w:t>%</w:t>
      </w:r>
      <w:r>
        <w:rPr>
          <w:rFonts w:ascii="Times New Roman" w:hAnsi="Times New Roman" w:eastAsia="宋体" w:cs="Times New Roman"/>
          <w:szCs w:val="22"/>
        </w:rPr>
        <w:t>和总磷</w:t>
      </w:r>
      <w:r>
        <w:rPr>
          <w:rFonts w:hint="eastAsia" w:ascii="Times New Roman" w:hAnsi="Times New Roman" w:eastAsia="宋体" w:cs="Times New Roman"/>
          <w:szCs w:val="22"/>
        </w:rPr>
        <w:t>1</w:t>
      </w:r>
      <w:r>
        <w:rPr>
          <w:rFonts w:ascii="Times New Roman" w:hAnsi="Times New Roman" w:eastAsia="宋体" w:cs="Times New Roman"/>
          <w:szCs w:val="22"/>
        </w:rPr>
        <w:t>00</w:t>
      </w:r>
      <w:r>
        <w:rPr>
          <w:rFonts w:hint="eastAsia" w:ascii="Times New Roman" w:hAnsi="Times New Roman" w:eastAsia="宋体" w:cs="Times New Roman"/>
          <w:szCs w:val="22"/>
        </w:rPr>
        <w:t>%。</w:t>
      </w:r>
      <w:r>
        <w:rPr>
          <w:rFonts w:ascii="Times New Roman" w:hAnsi="Times New Roman" w:eastAsia="宋体" w:cs="Times New Roman"/>
          <w:szCs w:val="22"/>
        </w:rPr>
        <w:t>由此可见</w:t>
      </w:r>
      <w:r>
        <w:rPr>
          <w:rFonts w:hint="eastAsia" w:ascii="Times New Roman" w:hAnsi="Times New Roman" w:eastAsia="宋体" w:cs="Times New Roman"/>
          <w:szCs w:val="22"/>
        </w:rPr>
        <w:t>，</w:t>
      </w:r>
      <w:r>
        <w:rPr>
          <w:rFonts w:ascii="Times New Roman" w:hAnsi="Times New Roman" w:eastAsia="宋体" w:cs="Times New Roman"/>
          <w:szCs w:val="22"/>
        </w:rPr>
        <w:t>目前我省泡菜</w:t>
      </w:r>
      <w:r>
        <w:rPr>
          <w:rFonts w:hint="eastAsia" w:ascii="Times New Roman" w:hAnsi="Times New Roman" w:eastAsia="宋体" w:cs="Times New Roman"/>
          <w:szCs w:val="22"/>
        </w:rPr>
        <w:t>工业</w:t>
      </w:r>
      <w:r>
        <w:rPr>
          <w:rFonts w:ascii="Times New Roman" w:hAnsi="Times New Roman" w:eastAsia="宋体" w:cs="Times New Roman"/>
          <w:szCs w:val="22"/>
        </w:rPr>
        <w:t>企业废水处理工艺除氯离子外</w:t>
      </w:r>
      <w:r>
        <w:rPr>
          <w:rFonts w:hint="eastAsia" w:ascii="Times New Roman" w:hAnsi="Times New Roman" w:eastAsia="宋体" w:cs="Times New Roman"/>
          <w:szCs w:val="22"/>
        </w:rPr>
        <w:t>，</w:t>
      </w:r>
      <w:r>
        <w:rPr>
          <w:rFonts w:ascii="Times New Roman" w:hAnsi="Times New Roman" w:eastAsia="宋体" w:cs="Times New Roman"/>
          <w:szCs w:val="22"/>
        </w:rPr>
        <w:t>基本能达到</w:t>
      </w:r>
      <w:r>
        <w:rPr>
          <w:rFonts w:hint="eastAsia" w:ascii="Times New Roman" w:hAnsi="Times New Roman" w:eastAsia="宋体" w:cs="Times New Roman"/>
          <w:szCs w:val="22"/>
        </w:rPr>
        <w:t>《污水综合排放标准》（GB 8978-1996 ）一级A标准。</w:t>
      </w:r>
    </w:p>
    <w:p>
      <w:pPr>
        <w:spacing w:line="440" w:lineRule="exact"/>
        <w:jc w:val="center"/>
        <w:rPr>
          <w:rFonts w:ascii="Times New Roman" w:hAnsi="Times New Roman" w:eastAsia="宋体" w:cs="Times New Roman"/>
          <w:b/>
        </w:rPr>
      </w:pPr>
      <w:r>
        <w:rPr>
          <w:rFonts w:ascii="Times New Roman" w:hAnsi="Times New Roman" w:eastAsia="宋体" w:cs="Times New Roman"/>
          <w:b/>
        </w:rPr>
        <w:t>表</w:t>
      </w:r>
      <w:r>
        <w:rPr>
          <w:rFonts w:hint="eastAsia" w:ascii="Times New Roman" w:hAnsi="Times New Roman" w:eastAsia="宋体" w:cs="Times New Roman"/>
          <w:b/>
        </w:rPr>
        <w:t xml:space="preserve">4-12 </w:t>
      </w:r>
      <w:r>
        <w:rPr>
          <w:rFonts w:ascii="Times New Roman" w:hAnsi="Times New Roman" w:eastAsia="宋体" w:cs="Times New Roman"/>
          <w:b/>
        </w:rPr>
        <w:t>2019年我省纳入在线监测泡菜</w:t>
      </w:r>
      <w:r>
        <w:rPr>
          <w:rFonts w:hint="eastAsia" w:ascii="Times New Roman" w:hAnsi="Times New Roman" w:eastAsia="宋体" w:cs="Times New Roman"/>
          <w:b/>
        </w:rPr>
        <w:t>工业</w:t>
      </w:r>
      <w:r>
        <w:rPr>
          <w:rFonts w:ascii="Times New Roman" w:hAnsi="Times New Roman" w:eastAsia="宋体" w:cs="Times New Roman"/>
          <w:b/>
        </w:rPr>
        <w:t>企业</w:t>
      </w:r>
      <w:r>
        <w:rPr>
          <w:rFonts w:hint="eastAsia" w:ascii="Times New Roman" w:hAnsi="Times New Roman" w:eastAsia="宋体" w:cs="Times New Roman"/>
          <w:b/>
        </w:rPr>
        <w:t>C</w:t>
      </w:r>
      <w:r>
        <w:rPr>
          <w:rFonts w:ascii="Times New Roman" w:hAnsi="Times New Roman" w:eastAsia="宋体" w:cs="Times New Roman"/>
          <w:b/>
        </w:rPr>
        <w:t>OD</w:t>
      </w:r>
      <w:r>
        <w:rPr>
          <w:rFonts w:hint="eastAsia" w:ascii="Times New Roman" w:hAnsi="Times New Roman" w:eastAsia="宋体" w:cs="Times New Roman"/>
          <w:b/>
        </w:rPr>
        <w:t>、</w:t>
      </w:r>
      <w:r>
        <w:rPr>
          <w:rFonts w:ascii="Times New Roman" w:hAnsi="Times New Roman" w:eastAsia="宋体" w:cs="Times New Roman"/>
          <w:b/>
        </w:rPr>
        <w:t>氨氮</w:t>
      </w:r>
      <w:r>
        <w:rPr>
          <w:rFonts w:hint="eastAsia" w:ascii="Times New Roman" w:hAnsi="Times New Roman" w:eastAsia="宋体" w:cs="Times New Roman"/>
          <w:b/>
        </w:rPr>
        <w:t>、</w:t>
      </w:r>
      <w:r>
        <w:rPr>
          <w:rFonts w:ascii="Times New Roman" w:hAnsi="Times New Roman" w:eastAsia="宋体" w:cs="Times New Roman"/>
          <w:b/>
        </w:rPr>
        <w:t>总磷逐日达标率</w:t>
      </w:r>
      <w:r>
        <w:rPr>
          <w:rFonts w:hint="eastAsia" w:ascii="Times New Roman" w:hAnsi="Times New Roman" w:eastAsia="宋体" w:cs="Times New Roman"/>
          <w:b/>
        </w:rPr>
        <w:t>（%）</w:t>
      </w:r>
      <w:r>
        <w:rPr>
          <w:rFonts w:ascii="Times New Roman" w:hAnsi="Times New Roman" w:eastAsia="宋体" w:cs="Times New Roman"/>
          <w:b/>
        </w:rPr>
        <w:t>分析</w:t>
      </w:r>
    </w:p>
    <w:tbl>
      <w:tblPr>
        <w:tblStyle w:val="25"/>
        <w:tblW w:w="852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01"/>
        <w:gridCol w:w="1559"/>
        <w:gridCol w:w="709"/>
        <w:gridCol w:w="708"/>
        <w:gridCol w:w="709"/>
        <w:gridCol w:w="709"/>
        <w:gridCol w:w="709"/>
        <w:gridCol w:w="708"/>
        <w:gridCol w:w="709"/>
        <w:gridCol w:w="90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01" w:type="dxa"/>
            <w:vAlign w:val="center"/>
          </w:tcPr>
          <w:p>
            <w:pPr>
              <w:jc w:val="center"/>
              <w:rPr>
                <w:rFonts w:ascii="Times New Roman" w:hAnsi="Times New Roman" w:eastAsia="宋体" w:cs="Times New Roman"/>
                <w:b/>
                <w:sz w:val="18"/>
                <w:szCs w:val="18"/>
              </w:rPr>
            </w:pPr>
            <w:r>
              <w:rPr>
                <w:rFonts w:ascii="Times New Roman" w:hAnsi="Times New Roman" w:eastAsia="宋体" w:cs="Times New Roman"/>
                <w:b/>
                <w:sz w:val="18"/>
                <w:szCs w:val="18"/>
              </w:rPr>
              <w:t>排放标准</w:t>
            </w:r>
          </w:p>
        </w:tc>
        <w:tc>
          <w:tcPr>
            <w:tcW w:w="1559" w:type="dxa"/>
            <w:shd w:val="clear" w:color="auto" w:fill="auto"/>
            <w:noWrap/>
            <w:tcMar>
              <w:left w:w="0" w:type="dxa"/>
              <w:right w:w="0" w:type="dxa"/>
            </w:tcMar>
            <w:vAlign w:val="center"/>
          </w:tcPr>
          <w:p>
            <w:pPr>
              <w:jc w:val="center"/>
              <w:rPr>
                <w:rFonts w:ascii="Times New Roman" w:hAnsi="Times New Roman" w:eastAsia="宋体" w:cs="Times New Roman"/>
                <w:b/>
                <w:sz w:val="18"/>
                <w:szCs w:val="18"/>
              </w:rPr>
            </w:pPr>
            <w:r>
              <w:rPr>
                <w:rFonts w:ascii="Times New Roman" w:hAnsi="Times New Roman" w:eastAsia="宋体" w:cs="Times New Roman"/>
                <w:b/>
                <w:sz w:val="18"/>
                <w:szCs w:val="18"/>
              </w:rPr>
              <w:t>指标及限值</w:t>
            </w:r>
          </w:p>
        </w:tc>
        <w:tc>
          <w:tcPr>
            <w:tcW w:w="709" w:type="dxa"/>
            <w:shd w:val="clear" w:color="auto" w:fill="auto"/>
            <w:noWrap/>
            <w:vAlign w:val="center"/>
          </w:tcPr>
          <w:p>
            <w:pPr>
              <w:jc w:val="center"/>
              <w:rPr>
                <w:rFonts w:ascii="Times New Roman" w:hAnsi="Times New Roman" w:eastAsia="宋体" w:cs="Times New Roman"/>
                <w:b/>
                <w:sz w:val="18"/>
                <w:szCs w:val="18"/>
              </w:rPr>
            </w:pPr>
            <w:r>
              <w:rPr>
                <w:rFonts w:ascii="Times New Roman" w:hAnsi="Times New Roman" w:eastAsia="宋体" w:cs="Times New Roman"/>
                <w:b/>
                <w:sz w:val="18"/>
                <w:szCs w:val="18"/>
              </w:rPr>
              <w:t>企业1</w:t>
            </w:r>
          </w:p>
        </w:tc>
        <w:tc>
          <w:tcPr>
            <w:tcW w:w="708" w:type="dxa"/>
            <w:shd w:val="clear" w:color="auto" w:fill="auto"/>
            <w:noWrap/>
            <w:vAlign w:val="center"/>
          </w:tcPr>
          <w:p>
            <w:pPr>
              <w:jc w:val="center"/>
              <w:rPr>
                <w:rFonts w:ascii="Times New Roman" w:hAnsi="Times New Roman" w:eastAsia="宋体" w:cs="Times New Roman"/>
                <w:b/>
                <w:sz w:val="18"/>
                <w:szCs w:val="18"/>
              </w:rPr>
            </w:pPr>
            <w:r>
              <w:rPr>
                <w:rFonts w:ascii="Times New Roman" w:hAnsi="Times New Roman" w:eastAsia="宋体" w:cs="Times New Roman"/>
                <w:b/>
                <w:sz w:val="18"/>
                <w:szCs w:val="18"/>
              </w:rPr>
              <w:t>企业2</w:t>
            </w:r>
          </w:p>
        </w:tc>
        <w:tc>
          <w:tcPr>
            <w:tcW w:w="709" w:type="dxa"/>
            <w:shd w:val="clear" w:color="auto" w:fill="auto"/>
            <w:noWrap/>
            <w:vAlign w:val="center"/>
          </w:tcPr>
          <w:p>
            <w:pPr>
              <w:jc w:val="center"/>
              <w:rPr>
                <w:rFonts w:ascii="Times New Roman" w:hAnsi="Times New Roman" w:eastAsia="宋体" w:cs="Times New Roman"/>
                <w:b/>
                <w:sz w:val="18"/>
                <w:szCs w:val="18"/>
              </w:rPr>
            </w:pPr>
            <w:r>
              <w:rPr>
                <w:rFonts w:ascii="Times New Roman" w:hAnsi="Times New Roman" w:eastAsia="宋体" w:cs="Times New Roman"/>
                <w:b/>
                <w:sz w:val="18"/>
                <w:szCs w:val="18"/>
              </w:rPr>
              <w:t>企业3</w:t>
            </w:r>
          </w:p>
        </w:tc>
        <w:tc>
          <w:tcPr>
            <w:tcW w:w="709" w:type="dxa"/>
            <w:shd w:val="clear" w:color="auto" w:fill="auto"/>
            <w:noWrap/>
            <w:vAlign w:val="center"/>
          </w:tcPr>
          <w:p>
            <w:pPr>
              <w:jc w:val="center"/>
              <w:rPr>
                <w:rFonts w:ascii="Times New Roman" w:hAnsi="Times New Roman" w:eastAsia="宋体" w:cs="Times New Roman"/>
                <w:b/>
                <w:sz w:val="18"/>
                <w:szCs w:val="18"/>
              </w:rPr>
            </w:pPr>
            <w:r>
              <w:rPr>
                <w:rFonts w:ascii="Times New Roman" w:hAnsi="Times New Roman" w:eastAsia="宋体" w:cs="Times New Roman"/>
                <w:b/>
                <w:sz w:val="18"/>
                <w:szCs w:val="18"/>
              </w:rPr>
              <w:t>企业4</w:t>
            </w:r>
          </w:p>
        </w:tc>
        <w:tc>
          <w:tcPr>
            <w:tcW w:w="709" w:type="dxa"/>
            <w:shd w:val="clear" w:color="auto" w:fill="auto"/>
            <w:noWrap/>
            <w:vAlign w:val="center"/>
          </w:tcPr>
          <w:p>
            <w:pPr>
              <w:jc w:val="center"/>
              <w:rPr>
                <w:rFonts w:ascii="Times New Roman" w:hAnsi="Times New Roman" w:eastAsia="宋体" w:cs="Times New Roman"/>
                <w:b/>
                <w:sz w:val="18"/>
                <w:szCs w:val="18"/>
              </w:rPr>
            </w:pPr>
            <w:r>
              <w:rPr>
                <w:rFonts w:ascii="Times New Roman" w:hAnsi="Times New Roman" w:eastAsia="宋体" w:cs="Times New Roman"/>
                <w:b/>
                <w:sz w:val="18"/>
                <w:szCs w:val="18"/>
              </w:rPr>
              <w:t>企业5</w:t>
            </w:r>
          </w:p>
        </w:tc>
        <w:tc>
          <w:tcPr>
            <w:tcW w:w="708" w:type="dxa"/>
            <w:shd w:val="clear" w:color="auto" w:fill="auto"/>
            <w:noWrap/>
            <w:vAlign w:val="center"/>
          </w:tcPr>
          <w:p>
            <w:pPr>
              <w:jc w:val="center"/>
              <w:rPr>
                <w:rFonts w:ascii="Times New Roman" w:hAnsi="Times New Roman" w:eastAsia="宋体" w:cs="Times New Roman"/>
                <w:b/>
                <w:sz w:val="18"/>
                <w:szCs w:val="18"/>
              </w:rPr>
            </w:pPr>
            <w:r>
              <w:rPr>
                <w:rFonts w:ascii="Times New Roman" w:hAnsi="Times New Roman" w:eastAsia="宋体" w:cs="Times New Roman"/>
                <w:b/>
                <w:sz w:val="18"/>
                <w:szCs w:val="18"/>
              </w:rPr>
              <w:t>企业6</w:t>
            </w:r>
          </w:p>
        </w:tc>
        <w:tc>
          <w:tcPr>
            <w:tcW w:w="709" w:type="dxa"/>
            <w:shd w:val="clear" w:color="auto" w:fill="auto"/>
            <w:noWrap/>
            <w:vAlign w:val="center"/>
          </w:tcPr>
          <w:p>
            <w:pPr>
              <w:jc w:val="center"/>
              <w:rPr>
                <w:rFonts w:ascii="Times New Roman" w:hAnsi="Times New Roman" w:eastAsia="宋体" w:cs="Times New Roman"/>
                <w:b/>
                <w:sz w:val="18"/>
                <w:szCs w:val="18"/>
              </w:rPr>
            </w:pPr>
            <w:r>
              <w:rPr>
                <w:rFonts w:ascii="Times New Roman" w:hAnsi="Times New Roman" w:eastAsia="宋体" w:cs="Times New Roman"/>
                <w:b/>
                <w:sz w:val="18"/>
                <w:szCs w:val="18"/>
              </w:rPr>
              <w:t>企业7</w:t>
            </w:r>
          </w:p>
        </w:tc>
        <w:tc>
          <w:tcPr>
            <w:tcW w:w="901" w:type="dxa"/>
          </w:tcPr>
          <w:p>
            <w:pPr>
              <w:jc w:val="center"/>
              <w:rPr>
                <w:rFonts w:ascii="Times New Roman" w:hAnsi="Times New Roman" w:eastAsia="宋体" w:cs="Times New Roman"/>
                <w:b/>
                <w:sz w:val="18"/>
                <w:szCs w:val="18"/>
              </w:rPr>
            </w:pPr>
            <w:r>
              <w:rPr>
                <w:rFonts w:ascii="Times New Roman" w:hAnsi="Times New Roman" w:eastAsia="宋体" w:cs="Times New Roman"/>
                <w:b/>
                <w:sz w:val="18"/>
                <w:szCs w:val="18"/>
              </w:rPr>
              <w:t>平均</w:t>
            </w:r>
          </w:p>
          <w:p>
            <w:pPr>
              <w:jc w:val="center"/>
              <w:rPr>
                <w:rFonts w:ascii="Times New Roman" w:hAnsi="Times New Roman" w:eastAsia="宋体" w:cs="Times New Roman"/>
                <w:b/>
                <w:sz w:val="18"/>
                <w:szCs w:val="18"/>
              </w:rPr>
            </w:pPr>
            <w:r>
              <w:rPr>
                <w:rFonts w:ascii="Times New Roman" w:hAnsi="Times New Roman" w:eastAsia="宋体" w:cs="Times New Roman"/>
                <w:b/>
                <w:sz w:val="18"/>
                <w:szCs w:val="18"/>
              </w:rPr>
              <w:t>达标率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01" w:type="dxa"/>
            <w:vMerge w:val="restart"/>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污水综合排放标准</w:t>
            </w:r>
          </w:p>
        </w:tc>
        <w:tc>
          <w:tcPr>
            <w:tcW w:w="1559" w:type="dxa"/>
            <w:shd w:val="clear" w:color="auto" w:fill="auto"/>
            <w:noWrap/>
            <w:tcMar>
              <w:left w:w="0" w:type="dxa"/>
              <w:right w:w="0" w:type="dxa"/>
            </w:tcMar>
            <w:tcFitText/>
            <w:vAlign w:val="center"/>
          </w:tcPr>
          <w:p>
            <w:pPr>
              <w:jc w:val="center"/>
              <w:rPr>
                <w:rFonts w:ascii="Times New Roman" w:hAnsi="Times New Roman" w:eastAsia="宋体" w:cs="Times New Roman"/>
                <w:sz w:val="18"/>
                <w:szCs w:val="18"/>
              </w:rPr>
            </w:pPr>
            <w:r>
              <w:rPr>
                <w:rFonts w:ascii="Times New Roman" w:hAnsi="Times New Roman" w:eastAsia="宋体" w:cs="Times New Roman"/>
                <w:spacing w:val="15"/>
                <w:kern w:val="0"/>
                <w:sz w:val="18"/>
                <w:szCs w:val="18"/>
              </w:rPr>
              <w:t>COD</w:t>
            </w:r>
            <w:r>
              <w:rPr>
                <w:rFonts w:hint="eastAsia" w:ascii="Times New Roman" w:hAnsi="Times New Roman" w:eastAsia="宋体" w:cs="Times New Roman"/>
                <w:spacing w:val="15"/>
                <w:kern w:val="0"/>
                <w:sz w:val="18"/>
                <w:szCs w:val="18"/>
              </w:rPr>
              <w:t>＜</w:t>
            </w:r>
            <w:r>
              <w:rPr>
                <w:rFonts w:ascii="Times New Roman" w:hAnsi="Times New Roman" w:eastAsia="宋体" w:cs="Times New Roman"/>
                <w:spacing w:val="15"/>
                <w:kern w:val="0"/>
                <w:sz w:val="18"/>
                <w:szCs w:val="18"/>
              </w:rPr>
              <w:t>100 mg/</w:t>
            </w:r>
            <w:r>
              <w:rPr>
                <w:rFonts w:ascii="Times New Roman" w:hAnsi="Times New Roman" w:eastAsia="宋体" w:cs="Times New Roman"/>
                <w:spacing w:val="75"/>
                <w:kern w:val="0"/>
                <w:sz w:val="18"/>
                <w:szCs w:val="18"/>
              </w:rPr>
              <w:t>L</w:t>
            </w:r>
          </w:p>
        </w:tc>
        <w:tc>
          <w:tcPr>
            <w:tcW w:w="709" w:type="dxa"/>
            <w:shd w:val="clear" w:color="auto" w:fill="auto"/>
            <w:noWrap/>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99.7</w:t>
            </w:r>
          </w:p>
        </w:tc>
        <w:tc>
          <w:tcPr>
            <w:tcW w:w="708" w:type="dxa"/>
            <w:shd w:val="clear" w:color="auto" w:fill="auto"/>
            <w:noWrap/>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100.0</w:t>
            </w:r>
          </w:p>
        </w:tc>
        <w:tc>
          <w:tcPr>
            <w:tcW w:w="709" w:type="dxa"/>
            <w:shd w:val="clear" w:color="auto" w:fill="auto"/>
            <w:noWrap/>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100.0</w:t>
            </w:r>
          </w:p>
        </w:tc>
        <w:tc>
          <w:tcPr>
            <w:tcW w:w="709" w:type="dxa"/>
            <w:shd w:val="clear" w:color="auto" w:fill="auto"/>
            <w:noWrap/>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95.5</w:t>
            </w:r>
          </w:p>
        </w:tc>
        <w:tc>
          <w:tcPr>
            <w:tcW w:w="709" w:type="dxa"/>
            <w:shd w:val="clear" w:color="auto" w:fill="auto"/>
            <w:noWrap/>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92.2</w:t>
            </w:r>
          </w:p>
        </w:tc>
        <w:tc>
          <w:tcPr>
            <w:tcW w:w="708" w:type="dxa"/>
            <w:shd w:val="clear" w:color="auto" w:fill="auto"/>
            <w:noWrap/>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89.1</w:t>
            </w:r>
          </w:p>
        </w:tc>
        <w:tc>
          <w:tcPr>
            <w:tcW w:w="709" w:type="dxa"/>
            <w:shd w:val="clear" w:color="auto" w:fill="auto"/>
            <w:noWrap/>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99.7</w:t>
            </w:r>
          </w:p>
        </w:tc>
        <w:tc>
          <w:tcPr>
            <w:tcW w:w="901" w:type="dxa"/>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96.6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101" w:type="dxa"/>
            <w:vMerge w:val="continue"/>
          </w:tcPr>
          <w:p>
            <w:pPr>
              <w:jc w:val="center"/>
              <w:rPr>
                <w:rFonts w:ascii="Times New Roman" w:hAnsi="Times New Roman" w:eastAsia="宋体" w:cs="Times New Roman"/>
                <w:sz w:val="18"/>
                <w:szCs w:val="18"/>
              </w:rPr>
            </w:pPr>
          </w:p>
        </w:tc>
        <w:tc>
          <w:tcPr>
            <w:tcW w:w="1559" w:type="dxa"/>
            <w:shd w:val="clear" w:color="auto" w:fill="auto"/>
            <w:noWrap/>
            <w:tcMar>
              <w:left w:w="0" w:type="dxa"/>
              <w:right w:w="0" w:type="dxa"/>
            </w:tcMar>
            <w:tcFitText/>
            <w:vAlign w:val="center"/>
          </w:tcPr>
          <w:p>
            <w:pPr>
              <w:jc w:val="center"/>
              <w:rPr>
                <w:rFonts w:ascii="Times New Roman" w:hAnsi="Times New Roman" w:eastAsia="宋体" w:cs="Times New Roman"/>
                <w:sz w:val="18"/>
                <w:szCs w:val="18"/>
              </w:rPr>
            </w:pPr>
            <w:r>
              <w:rPr>
                <w:rFonts w:hint="eastAsia" w:ascii="Times New Roman" w:hAnsi="Times New Roman" w:eastAsia="宋体" w:cs="Times New Roman"/>
                <w:spacing w:val="30"/>
                <w:sz w:val="18"/>
                <w:szCs w:val="18"/>
              </w:rPr>
              <w:t>氨氮＜</w:t>
            </w:r>
            <w:r>
              <w:rPr>
                <w:rFonts w:ascii="Times New Roman" w:hAnsi="Times New Roman" w:eastAsia="宋体" w:cs="Times New Roman"/>
                <w:spacing w:val="30"/>
                <w:sz w:val="18"/>
                <w:szCs w:val="18"/>
              </w:rPr>
              <w:t>10 mg/</w:t>
            </w:r>
            <w:r>
              <w:rPr>
                <w:rFonts w:ascii="Times New Roman" w:hAnsi="Times New Roman" w:eastAsia="宋体" w:cs="Times New Roman"/>
                <w:spacing w:val="15"/>
                <w:sz w:val="18"/>
                <w:szCs w:val="18"/>
              </w:rPr>
              <w:t>L</w:t>
            </w:r>
          </w:p>
        </w:tc>
        <w:tc>
          <w:tcPr>
            <w:tcW w:w="709" w:type="dxa"/>
            <w:shd w:val="clear" w:color="auto" w:fill="auto"/>
            <w:noWrap/>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99.4</w:t>
            </w:r>
          </w:p>
        </w:tc>
        <w:tc>
          <w:tcPr>
            <w:tcW w:w="708" w:type="dxa"/>
            <w:shd w:val="clear" w:color="auto" w:fill="auto"/>
            <w:noWrap/>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100.0</w:t>
            </w:r>
          </w:p>
        </w:tc>
        <w:tc>
          <w:tcPr>
            <w:tcW w:w="709" w:type="dxa"/>
            <w:shd w:val="clear" w:color="auto" w:fill="auto"/>
            <w:noWrap/>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94.6</w:t>
            </w:r>
          </w:p>
        </w:tc>
        <w:tc>
          <w:tcPr>
            <w:tcW w:w="709" w:type="dxa"/>
            <w:shd w:val="clear" w:color="auto" w:fill="auto"/>
            <w:noWrap/>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96.9</w:t>
            </w:r>
          </w:p>
        </w:tc>
        <w:tc>
          <w:tcPr>
            <w:tcW w:w="709" w:type="dxa"/>
            <w:shd w:val="clear" w:color="auto" w:fill="auto"/>
            <w:noWrap/>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75.7</w:t>
            </w:r>
          </w:p>
        </w:tc>
        <w:tc>
          <w:tcPr>
            <w:tcW w:w="708" w:type="dxa"/>
            <w:shd w:val="clear" w:color="auto" w:fill="auto"/>
            <w:noWrap/>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100.0</w:t>
            </w:r>
          </w:p>
        </w:tc>
        <w:tc>
          <w:tcPr>
            <w:tcW w:w="709" w:type="dxa"/>
            <w:shd w:val="clear" w:color="auto" w:fill="auto"/>
            <w:noWrap/>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98.3</w:t>
            </w:r>
          </w:p>
        </w:tc>
        <w:tc>
          <w:tcPr>
            <w:tcW w:w="901" w:type="dxa"/>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95.0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01" w:type="dxa"/>
            <w:vMerge w:val="continue"/>
          </w:tcPr>
          <w:p>
            <w:pPr>
              <w:jc w:val="center"/>
              <w:rPr>
                <w:rFonts w:ascii="Times New Roman" w:hAnsi="Times New Roman" w:eastAsia="宋体" w:cs="Times New Roman"/>
                <w:sz w:val="18"/>
                <w:szCs w:val="18"/>
              </w:rPr>
            </w:pPr>
          </w:p>
        </w:tc>
        <w:tc>
          <w:tcPr>
            <w:tcW w:w="1559" w:type="dxa"/>
            <w:shd w:val="clear" w:color="auto" w:fill="auto"/>
            <w:noWrap/>
            <w:tcMar>
              <w:left w:w="0" w:type="dxa"/>
              <w:right w:w="0" w:type="dxa"/>
            </w:tcMar>
            <w:tcFitText/>
            <w:vAlign w:val="center"/>
          </w:tcPr>
          <w:p>
            <w:pPr>
              <w:jc w:val="center"/>
              <w:rPr>
                <w:rFonts w:ascii="Times New Roman" w:hAnsi="Times New Roman" w:eastAsia="宋体" w:cs="Times New Roman"/>
                <w:sz w:val="18"/>
                <w:szCs w:val="18"/>
              </w:rPr>
            </w:pPr>
            <w:r>
              <w:rPr>
                <w:rFonts w:ascii="Times New Roman" w:hAnsi="Times New Roman" w:eastAsia="宋体" w:cs="Times New Roman"/>
                <w:spacing w:val="45"/>
                <w:sz w:val="18"/>
                <w:szCs w:val="18"/>
              </w:rPr>
              <w:t>TP</w:t>
            </w:r>
            <w:r>
              <w:rPr>
                <w:rFonts w:hint="eastAsia" w:ascii="Times New Roman" w:hAnsi="Times New Roman" w:eastAsia="宋体" w:cs="Times New Roman"/>
                <w:spacing w:val="45"/>
                <w:sz w:val="18"/>
                <w:szCs w:val="18"/>
              </w:rPr>
              <w:t>＜</w:t>
            </w:r>
            <w:r>
              <w:rPr>
                <w:rFonts w:ascii="Times New Roman" w:hAnsi="Times New Roman" w:eastAsia="宋体" w:cs="Times New Roman"/>
                <w:spacing w:val="45"/>
                <w:sz w:val="18"/>
                <w:szCs w:val="18"/>
              </w:rPr>
              <w:t>0.5 mg/</w:t>
            </w:r>
            <w:r>
              <w:rPr>
                <w:rFonts w:ascii="Times New Roman" w:hAnsi="Times New Roman" w:eastAsia="宋体" w:cs="Times New Roman"/>
                <w:spacing w:val="-15"/>
                <w:sz w:val="18"/>
                <w:szCs w:val="18"/>
              </w:rPr>
              <w:t>L</w:t>
            </w:r>
          </w:p>
        </w:tc>
        <w:tc>
          <w:tcPr>
            <w:tcW w:w="709" w:type="dxa"/>
            <w:shd w:val="clear" w:color="auto" w:fill="auto"/>
            <w:noWrap/>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100.0</w:t>
            </w:r>
          </w:p>
        </w:tc>
        <w:tc>
          <w:tcPr>
            <w:tcW w:w="708" w:type="dxa"/>
            <w:shd w:val="clear" w:color="auto" w:fill="auto"/>
            <w:noWrap/>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100.0</w:t>
            </w:r>
          </w:p>
        </w:tc>
        <w:tc>
          <w:tcPr>
            <w:tcW w:w="709" w:type="dxa"/>
            <w:shd w:val="clear" w:color="auto" w:fill="auto"/>
            <w:noWrap/>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100.0</w:t>
            </w:r>
          </w:p>
        </w:tc>
        <w:tc>
          <w:tcPr>
            <w:tcW w:w="709" w:type="dxa"/>
            <w:shd w:val="clear" w:color="auto" w:fill="auto"/>
            <w:noWrap/>
            <w:vAlign w:val="center"/>
          </w:tcPr>
          <w:p>
            <w:pPr>
              <w:jc w:val="center"/>
              <w:rPr>
                <w:rFonts w:ascii="Times New Roman" w:hAnsi="Times New Roman" w:eastAsia="宋体" w:cs="Times New Roman"/>
                <w:sz w:val="18"/>
                <w:szCs w:val="18"/>
              </w:rPr>
            </w:pPr>
          </w:p>
        </w:tc>
        <w:tc>
          <w:tcPr>
            <w:tcW w:w="709" w:type="dxa"/>
            <w:shd w:val="clear" w:color="auto" w:fill="auto"/>
            <w:noWrap/>
            <w:vAlign w:val="center"/>
          </w:tcPr>
          <w:p>
            <w:pPr>
              <w:jc w:val="center"/>
              <w:rPr>
                <w:rFonts w:ascii="Times New Roman" w:hAnsi="Times New Roman" w:eastAsia="宋体" w:cs="Times New Roman"/>
                <w:sz w:val="18"/>
                <w:szCs w:val="18"/>
              </w:rPr>
            </w:pPr>
          </w:p>
        </w:tc>
        <w:tc>
          <w:tcPr>
            <w:tcW w:w="708" w:type="dxa"/>
            <w:shd w:val="clear" w:color="auto" w:fill="auto"/>
            <w:noWrap/>
            <w:vAlign w:val="center"/>
          </w:tcPr>
          <w:p>
            <w:pPr>
              <w:jc w:val="center"/>
              <w:rPr>
                <w:rFonts w:ascii="Times New Roman" w:hAnsi="Times New Roman" w:eastAsia="宋体" w:cs="Times New Roman"/>
                <w:sz w:val="18"/>
                <w:szCs w:val="18"/>
              </w:rPr>
            </w:pPr>
          </w:p>
        </w:tc>
        <w:tc>
          <w:tcPr>
            <w:tcW w:w="709" w:type="dxa"/>
            <w:shd w:val="clear" w:color="auto" w:fill="auto"/>
            <w:noWrap/>
            <w:vAlign w:val="center"/>
          </w:tcPr>
          <w:p>
            <w:pPr>
              <w:jc w:val="center"/>
              <w:rPr>
                <w:rFonts w:ascii="Times New Roman" w:hAnsi="Times New Roman" w:eastAsia="宋体" w:cs="Times New Roman"/>
                <w:sz w:val="18"/>
                <w:szCs w:val="18"/>
              </w:rPr>
            </w:pPr>
          </w:p>
        </w:tc>
        <w:tc>
          <w:tcPr>
            <w:tcW w:w="901" w:type="dxa"/>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100.0</w:t>
            </w:r>
          </w:p>
        </w:tc>
      </w:tr>
    </w:tbl>
    <w:p>
      <w:pPr>
        <w:keepNext/>
        <w:keepLines/>
        <w:spacing w:before="240" w:after="240" w:line="578" w:lineRule="auto"/>
        <w:jc w:val="left"/>
        <w:outlineLvl w:val="0"/>
        <w:rPr>
          <w:rFonts w:ascii="Times New Roman" w:hAnsi="Times New Roman" w:eastAsia="宋体" w:cs="Times New Roman"/>
          <w:b/>
          <w:bCs/>
          <w:kern w:val="44"/>
          <w:sz w:val="32"/>
          <w:szCs w:val="44"/>
        </w:rPr>
      </w:pPr>
      <w:bookmarkStart w:id="26" w:name="_Toc76386104"/>
      <w:r>
        <w:rPr>
          <w:rFonts w:hint="eastAsia" w:ascii="Times New Roman" w:hAnsi="Times New Roman" w:eastAsia="宋体" w:cs="Times New Roman"/>
          <w:b/>
          <w:bCs/>
          <w:kern w:val="44"/>
          <w:sz w:val="32"/>
          <w:szCs w:val="44"/>
        </w:rPr>
        <w:t>5氯离子的环境影响及国内外管控标准情况</w:t>
      </w:r>
      <w:bookmarkEnd w:id="26"/>
    </w:p>
    <w:p>
      <w:pPr>
        <w:keepNext/>
        <w:keepLines/>
        <w:spacing w:before="120" w:after="120" w:line="415" w:lineRule="auto"/>
        <w:jc w:val="left"/>
        <w:outlineLvl w:val="1"/>
        <w:rPr>
          <w:rFonts w:ascii="Times New Roman" w:hAnsi="Times New Roman" w:eastAsia="宋体" w:cs="Times New Roman"/>
          <w:b/>
          <w:bCs/>
          <w:sz w:val="30"/>
          <w:szCs w:val="32"/>
        </w:rPr>
      </w:pPr>
      <w:bookmarkStart w:id="27" w:name="_Toc76386105"/>
      <w:r>
        <w:rPr>
          <w:rFonts w:hint="eastAsia" w:ascii="Times New Roman" w:hAnsi="Times New Roman" w:eastAsia="宋体" w:cs="Times New Roman"/>
          <w:b/>
          <w:bCs/>
          <w:sz w:val="30"/>
          <w:szCs w:val="32"/>
        </w:rPr>
        <w:t>5.1氯离子环境影响</w:t>
      </w:r>
      <w:bookmarkEnd w:id="27"/>
    </w:p>
    <w:p>
      <w:pPr>
        <w:keepNext/>
        <w:keepLines/>
        <w:spacing w:before="190" w:beforeLines="50" w:after="190" w:afterLines="50" w:line="360" w:lineRule="auto"/>
        <w:jc w:val="left"/>
        <w:outlineLvl w:val="2"/>
        <w:rPr>
          <w:rFonts w:ascii="Times New Roman" w:hAnsi="Times New Roman" w:eastAsia="宋体" w:cs="Times New Roman"/>
          <w:b/>
          <w:bCs/>
          <w:sz w:val="24"/>
          <w:szCs w:val="32"/>
        </w:rPr>
      </w:pPr>
      <w:bookmarkStart w:id="28" w:name="_Toc76386106"/>
      <w:r>
        <w:rPr>
          <w:rFonts w:hint="eastAsia" w:ascii="Times New Roman" w:hAnsi="Times New Roman" w:eastAsia="宋体" w:cs="Times New Roman"/>
          <w:b/>
          <w:bCs/>
          <w:sz w:val="24"/>
          <w:szCs w:val="32"/>
        </w:rPr>
        <w:t>5</w:t>
      </w:r>
      <w:r>
        <w:rPr>
          <w:rFonts w:ascii="Times New Roman" w:hAnsi="Times New Roman" w:eastAsia="宋体" w:cs="Times New Roman"/>
          <w:b/>
          <w:bCs/>
          <w:sz w:val="24"/>
          <w:szCs w:val="32"/>
        </w:rPr>
        <w:t>.1.1氯离子对饮用水的影响</w:t>
      </w:r>
      <w:bookmarkEnd w:id="28"/>
    </w:p>
    <w:p>
      <w:pPr>
        <w:ind w:firstLine="420" w:firstLineChars="200"/>
        <w:jc w:val="left"/>
        <w:rPr>
          <w:rFonts w:ascii="Times New Roman" w:hAnsi="Times New Roman" w:eastAsia="宋体" w:cs="Times New Roman"/>
          <w:szCs w:val="22"/>
        </w:rPr>
      </w:pPr>
      <w:r>
        <w:rPr>
          <w:rFonts w:ascii="Times New Roman" w:hAnsi="Times New Roman" w:eastAsia="宋体" w:cs="Times New Roman"/>
          <w:szCs w:val="22"/>
        </w:rPr>
        <w:t>研究表明，当水中的氯离子达到一定浓度时，常常和相对应的阳离子(Na</w:t>
      </w:r>
      <w:r>
        <w:rPr>
          <w:rFonts w:ascii="Times New Roman" w:hAnsi="Times New Roman" w:eastAsia="宋体" w:cs="Times New Roman"/>
          <w:szCs w:val="22"/>
          <w:vertAlign w:val="superscript"/>
        </w:rPr>
        <w:t>+</w:t>
      </w:r>
      <w:r>
        <w:rPr>
          <w:rFonts w:ascii="Times New Roman" w:hAnsi="Times New Roman" w:eastAsia="宋体" w:cs="Times New Roman"/>
          <w:szCs w:val="22"/>
        </w:rPr>
        <w:t>、Ca</w:t>
      </w:r>
      <w:r>
        <w:rPr>
          <w:rFonts w:ascii="Times New Roman" w:hAnsi="Times New Roman" w:eastAsia="宋体" w:cs="Times New Roman"/>
          <w:szCs w:val="22"/>
          <w:vertAlign w:val="superscript"/>
        </w:rPr>
        <w:t>2+</w:t>
      </w:r>
      <w:r>
        <w:rPr>
          <w:rFonts w:ascii="Times New Roman" w:hAnsi="Times New Roman" w:eastAsia="宋体" w:cs="Times New Roman"/>
          <w:szCs w:val="22"/>
        </w:rPr>
        <w:t>、Mg</w:t>
      </w:r>
      <w:r>
        <w:rPr>
          <w:rFonts w:ascii="Times New Roman" w:hAnsi="Times New Roman" w:eastAsia="宋体" w:cs="Times New Roman"/>
          <w:szCs w:val="22"/>
          <w:vertAlign w:val="superscript"/>
        </w:rPr>
        <w:t>2+</w:t>
      </w:r>
      <w:r>
        <w:rPr>
          <w:rFonts w:ascii="Times New Roman" w:hAnsi="Times New Roman" w:eastAsia="宋体" w:cs="Times New Roman"/>
          <w:szCs w:val="22"/>
        </w:rPr>
        <w:t>等)共同作用，使水产生不同的味觉，使水质产生感官性状的恶化。如当水中氯化物浓度为250mg/L，阳离子为钠时，人就会察觉出咸味；而当水中氯化物浓度为170mg/L，阳离子为镁时，水则会出现苦味。氯化物对水产生的味觉，不仅取决于它的浓度，也取决于相对应阳离的类别，见表</w:t>
      </w:r>
      <w:r>
        <w:rPr>
          <w:rFonts w:hint="eastAsia" w:ascii="Times New Roman" w:hAnsi="Times New Roman" w:eastAsia="宋体" w:cs="Times New Roman"/>
          <w:szCs w:val="22"/>
        </w:rPr>
        <w:t>5</w:t>
      </w:r>
      <w:r>
        <w:rPr>
          <w:rFonts w:ascii="Times New Roman" w:hAnsi="Times New Roman" w:eastAsia="宋体" w:cs="Times New Roman"/>
          <w:szCs w:val="22"/>
        </w:rPr>
        <w:t>-1。此外，氯离子也是保持人体细胞内外体液量、渗透压以及水和电解质平衡不可缺少的要素。氯化物含量过高时，可干扰人体电解质平衡，使人体细胞外渗透压增加，导致细胞失水，代谢过程出现故障。因此我国《生活饮用水卫生标准》（GB5749—2006）规定生活饮用水氯化物含量应该低于250 mg/L。</w:t>
      </w:r>
    </w:p>
    <w:p>
      <w:pPr>
        <w:spacing w:line="440" w:lineRule="exact"/>
        <w:ind w:firstLine="421" w:firstLineChars="200"/>
        <w:jc w:val="center"/>
        <w:rPr>
          <w:rFonts w:ascii="Times New Roman" w:hAnsi="Times New Roman" w:eastAsia="宋体" w:cs="Times New Roman"/>
          <w:b/>
        </w:rPr>
      </w:pPr>
      <w:r>
        <w:rPr>
          <w:rFonts w:ascii="Times New Roman" w:hAnsi="Times New Roman" w:eastAsia="宋体" w:cs="Times New Roman"/>
          <w:b/>
        </w:rPr>
        <w:t>表</w:t>
      </w:r>
      <w:r>
        <w:rPr>
          <w:rFonts w:hint="eastAsia" w:ascii="Times New Roman" w:hAnsi="Times New Roman" w:eastAsia="宋体" w:cs="Times New Roman"/>
          <w:b/>
        </w:rPr>
        <w:t>5</w:t>
      </w:r>
      <w:r>
        <w:rPr>
          <w:rFonts w:ascii="Times New Roman" w:hAnsi="Times New Roman" w:eastAsia="宋体" w:cs="Times New Roman"/>
          <w:b/>
        </w:rPr>
        <w:t>-1 某些氯化物的味</w:t>
      </w:r>
      <w:r>
        <w:rPr>
          <w:rFonts w:hint="eastAsia" w:ascii="Times New Roman" w:hAnsi="Times New Roman" w:eastAsia="宋体" w:cs="Times New Roman"/>
          <w:b/>
        </w:rPr>
        <w:t>阈</w:t>
      </w:r>
      <w:r>
        <w:rPr>
          <w:rFonts w:ascii="Times New Roman" w:hAnsi="Times New Roman" w:eastAsia="宋体" w:cs="Times New Roman"/>
          <w:b/>
        </w:rPr>
        <w:t>浓度（</w:t>
      </w:r>
      <w:r>
        <w:rPr>
          <w:rFonts w:hint="eastAsia" w:ascii="Times New Roman" w:hAnsi="Times New Roman" w:eastAsia="宋体" w:cs="Times New Roman"/>
          <w:b/>
        </w:rPr>
        <w:t>mg/L）</w:t>
      </w:r>
    </w:p>
    <w:tbl>
      <w:tblPr>
        <w:tblStyle w:val="75"/>
        <w:tblW w:w="861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016"/>
        <w:gridCol w:w="2011"/>
        <w:gridCol w:w="2575"/>
        <w:gridCol w:w="201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8" w:hRule="atLeast"/>
        </w:trPr>
        <w:tc>
          <w:tcPr>
            <w:tcW w:w="2016" w:type="dxa"/>
            <w:vAlign w:val="center"/>
          </w:tcPr>
          <w:p>
            <w:pPr>
              <w:jc w:val="center"/>
              <w:rPr>
                <w:rFonts w:ascii="Times New Roman" w:hAnsi="Times New Roman" w:eastAsia="宋体" w:cs="Times New Roman"/>
                <w:b/>
                <w:sz w:val="18"/>
                <w:szCs w:val="22"/>
              </w:rPr>
            </w:pPr>
            <w:r>
              <w:rPr>
                <w:rFonts w:ascii="Times New Roman" w:hAnsi="Times New Roman" w:eastAsia="宋体" w:cs="Times New Roman"/>
                <w:b/>
                <w:sz w:val="18"/>
                <w:szCs w:val="22"/>
              </w:rPr>
              <w:t>氯化物</w:t>
            </w:r>
          </w:p>
        </w:tc>
        <w:tc>
          <w:tcPr>
            <w:tcW w:w="2011" w:type="dxa"/>
            <w:vAlign w:val="center"/>
          </w:tcPr>
          <w:p>
            <w:pPr>
              <w:jc w:val="center"/>
              <w:rPr>
                <w:rFonts w:ascii="Times New Roman" w:hAnsi="Times New Roman" w:eastAsia="宋体" w:cs="Times New Roman"/>
                <w:b/>
                <w:sz w:val="18"/>
                <w:szCs w:val="22"/>
              </w:rPr>
            </w:pPr>
            <w:r>
              <w:rPr>
                <w:rFonts w:ascii="Times New Roman" w:hAnsi="Times New Roman" w:eastAsia="宋体" w:cs="Times New Roman"/>
                <w:b/>
                <w:sz w:val="18"/>
                <w:szCs w:val="22"/>
              </w:rPr>
              <w:t>水中阳离子</w:t>
            </w:r>
          </w:p>
        </w:tc>
        <w:tc>
          <w:tcPr>
            <w:tcW w:w="2575" w:type="dxa"/>
            <w:vAlign w:val="center"/>
          </w:tcPr>
          <w:p>
            <w:pPr>
              <w:jc w:val="center"/>
              <w:rPr>
                <w:rFonts w:ascii="Times New Roman" w:hAnsi="Times New Roman" w:eastAsia="宋体" w:cs="Times New Roman"/>
                <w:b/>
                <w:sz w:val="18"/>
                <w:szCs w:val="22"/>
              </w:rPr>
            </w:pPr>
            <w:r>
              <w:rPr>
                <w:rFonts w:ascii="Times New Roman" w:hAnsi="Times New Roman" w:eastAsia="宋体" w:cs="Times New Roman"/>
                <w:b/>
                <w:sz w:val="18"/>
                <w:szCs w:val="22"/>
              </w:rPr>
              <w:t>水中阴离（</w:t>
            </w:r>
            <w:r>
              <w:rPr>
                <w:rFonts w:hint="eastAsia" w:ascii="Times New Roman" w:hAnsi="Times New Roman" w:eastAsia="宋体" w:cs="Times New Roman"/>
                <w:b/>
                <w:sz w:val="18"/>
                <w:szCs w:val="22"/>
              </w:rPr>
              <w:t>Cl</w:t>
            </w:r>
            <w:r>
              <w:rPr>
                <w:rFonts w:hint="eastAsia" w:ascii="Times New Roman" w:hAnsi="Times New Roman" w:eastAsia="宋体" w:cs="Times New Roman"/>
                <w:b/>
                <w:sz w:val="18"/>
                <w:szCs w:val="22"/>
                <w:vertAlign w:val="superscript"/>
              </w:rPr>
              <w:t>-</w:t>
            </w:r>
            <w:r>
              <w:rPr>
                <w:rFonts w:hint="eastAsia" w:ascii="Times New Roman" w:hAnsi="Times New Roman" w:eastAsia="宋体" w:cs="Times New Roman"/>
                <w:b/>
                <w:sz w:val="18"/>
                <w:szCs w:val="22"/>
              </w:rPr>
              <w:t>）</w:t>
            </w:r>
          </w:p>
        </w:tc>
        <w:tc>
          <w:tcPr>
            <w:tcW w:w="2017" w:type="dxa"/>
            <w:vAlign w:val="center"/>
          </w:tcPr>
          <w:p>
            <w:pPr>
              <w:jc w:val="center"/>
              <w:rPr>
                <w:rFonts w:ascii="Times New Roman" w:hAnsi="Times New Roman" w:eastAsia="宋体" w:cs="Times New Roman"/>
                <w:b/>
                <w:sz w:val="18"/>
                <w:szCs w:val="22"/>
              </w:rPr>
            </w:pPr>
            <w:r>
              <w:rPr>
                <w:rFonts w:hint="eastAsia" w:ascii="Times New Roman" w:hAnsi="Times New Roman" w:eastAsia="宋体" w:cs="Times New Roman"/>
                <w:b/>
                <w:sz w:val="18"/>
                <w:szCs w:val="22"/>
              </w:rPr>
              <w:t>味觉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trPr>
        <w:tc>
          <w:tcPr>
            <w:tcW w:w="2016" w:type="dxa"/>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NaCl</w:t>
            </w:r>
          </w:p>
        </w:tc>
        <w:tc>
          <w:tcPr>
            <w:tcW w:w="2011" w:type="dxa"/>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Na</w:t>
            </w:r>
            <w:r>
              <w:rPr>
                <w:rFonts w:hint="eastAsia" w:ascii="Times New Roman" w:hAnsi="Times New Roman" w:eastAsia="宋体" w:cs="Times New Roman"/>
                <w:sz w:val="18"/>
                <w:szCs w:val="22"/>
                <w:vertAlign w:val="superscript"/>
              </w:rPr>
              <w:t>+</w:t>
            </w:r>
          </w:p>
        </w:tc>
        <w:tc>
          <w:tcPr>
            <w:tcW w:w="2575" w:type="dxa"/>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250</w:t>
            </w:r>
          </w:p>
        </w:tc>
        <w:tc>
          <w:tcPr>
            <w:tcW w:w="2017" w:type="dxa"/>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咸味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6" w:hRule="atLeast"/>
        </w:trPr>
        <w:tc>
          <w:tcPr>
            <w:tcW w:w="2016" w:type="dxa"/>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MgCl</w:t>
            </w:r>
            <w:r>
              <w:rPr>
                <w:rFonts w:hint="eastAsia" w:ascii="Times New Roman" w:hAnsi="Times New Roman" w:eastAsia="宋体" w:cs="Times New Roman"/>
                <w:sz w:val="18"/>
                <w:szCs w:val="22"/>
                <w:vertAlign w:val="subscript"/>
              </w:rPr>
              <w:t>2</w:t>
            </w:r>
          </w:p>
        </w:tc>
        <w:tc>
          <w:tcPr>
            <w:tcW w:w="2011" w:type="dxa"/>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Mg</w:t>
            </w:r>
            <w:r>
              <w:rPr>
                <w:rFonts w:hint="eastAsia" w:ascii="Times New Roman" w:hAnsi="Times New Roman" w:eastAsia="宋体" w:cs="Times New Roman"/>
                <w:sz w:val="18"/>
                <w:szCs w:val="22"/>
                <w:vertAlign w:val="superscript"/>
              </w:rPr>
              <w:t>2+</w:t>
            </w:r>
          </w:p>
        </w:tc>
        <w:tc>
          <w:tcPr>
            <w:tcW w:w="2575" w:type="dxa"/>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170</w:t>
            </w:r>
          </w:p>
        </w:tc>
        <w:tc>
          <w:tcPr>
            <w:tcW w:w="2017" w:type="dxa"/>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苦味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1" w:hRule="atLeast"/>
        </w:trPr>
        <w:tc>
          <w:tcPr>
            <w:tcW w:w="2016" w:type="dxa"/>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AlCl</w:t>
            </w:r>
            <w:r>
              <w:rPr>
                <w:rFonts w:hint="eastAsia" w:ascii="Times New Roman" w:hAnsi="Times New Roman" w:eastAsia="宋体" w:cs="Times New Roman"/>
                <w:sz w:val="18"/>
                <w:szCs w:val="22"/>
                <w:vertAlign w:val="subscript"/>
              </w:rPr>
              <w:t>3</w:t>
            </w:r>
          </w:p>
        </w:tc>
        <w:tc>
          <w:tcPr>
            <w:tcW w:w="2011" w:type="dxa"/>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Al</w:t>
            </w:r>
            <w:r>
              <w:rPr>
                <w:rFonts w:hint="eastAsia" w:ascii="Times New Roman" w:hAnsi="Times New Roman" w:eastAsia="宋体" w:cs="Times New Roman"/>
                <w:sz w:val="18"/>
                <w:szCs w:val="22"/>
                <w:vertAlign w:val="superscript"/>
              </w:rPr>
              <w:t>3+</w:t>
            </w:r>
          </w:p>
        </w:tc>
        <w:tc>
          <w:tcPr>
            <w:tcW w:w="2575" w:type="dxa"/>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0.4</w:t>
            </w:r>
          </w:p>
        </w:tc>
        <w:tc>
          <w:tcPr>
            <w:tcW w:w="2017" w:type="dxa"/>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苦涩味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1" w:hRule="atLeast"/>
        </w:trPr>
        <w:tc>
          <w:tcPr>
            <w:tcW w:w="2016" w:type="dxa"/>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FeCl</w:t>
            </w:r>
            <w:r>
              <w:rPr>
                <w:rFonts w:hint="eastAsia" w:ascii="Times New Roman" w:hAnsi="Times New Roman" w:eastAsia="宋体" w:cs="Times New Roman"/>
                <w:sz w:val="18"/>
                <w:szCs w:val="22"/>
                <w:vertAlign w:val="subscript"/>
              </w:rPr>
              <w:t>3</w:t>
            </w:r>
          </w:p>
        </w:tc>
        <w:tc>
          <w:tcPr>
            <w:tcW w:w="2011" w:type="dxa"/>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Fe</w:t>
            </w:r>
            <w:r>
              <w:rPr>
                <w:rFonts w:hint="eastAsia" w:ascii="Times New Roman" w:hAnsi="Times New Roman" w:eastAsia="宋体" w:cs="Times New Roman"/>
                <w:sz w:val="18"/>
                <w:szCs w:val="22"/>
                <w:vertAlign w:val="superscript"/>
              </w:rPr>
              <w:t>3+</w:t>
            </w:r>
          </w:p>
        </w:tc>
        <w:tc>
          <w:tcPr>
            <w:tcW w:w="2575" w:type="dxa"/>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0.2</w:t>
            </w:r>
          </w:p>
        </w:tc>
        <w:tc>
          <w:tcPr>
            <w:tcW w:w="2017" w:type="dxa"/>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异味</w:t>
            </w:r>
          </w:p>
        </w:tc>
      </w:tr>
    </w:tbl>
    <w:p>
      <w:pPr>
        <w:keepNext/>
        <w:keepLines/>
        <w:spacing w:before="190" w:beforeLines="50" w:after="190" w:afterLines="50" w:line="360" w:lineRule="auto"/>
        <w:jc w:val="left"/>
        <w:outlineLvl w:val="2"/>
        <w:rPr>
          <w:rFonts w:ascii="Times New Roman" w:hAnsi="Times New Roman" w:eastAsia="宋体" w:cs="Times New Roman"/>
          <w:b/>
          <w:bCs/>
          <w:sz w:val="24"/>
          <w:szCs w:val="32"/>
        </w:rPr>
      </w:pPr>
      <w:bookmarkStart w:id="29" w:name="_Toc76386107"/>
      <w:r>
        <w:rPr>
          <w:rFonts w:ascii="Times New Roman" w:hAnsi="Times New Roman" w:eastAsia="宋体" w:cs="Times New Roman"/>
          <w:b/>
          <w:bCs/>
          <w:sz w:val="24"/>
          <w:szCs w:val="32"/>
        </w:rPr>
        <w:t>5.1.2</w:t>
      </w:r>
      <w:r>
        <w:rPr>
          <w:rFonts w:hint="eastAsia" w:ascii="Times New Roman" w:hAnsi="Times New Roman" w:eastAsia="宋体" w:cs="Times New Roman"/>
          <w:b/>
          <w:bCs/>
          <w:sz w:val="24"/>
          <w:szCs w:val="32"/>
        </w:rPr>
        <w:t>氯化物对水生动植物的影响</w:t>
      </w:r>
      <w:bookmarkEnd w:id="29"/>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一般情况下认为氯化物对水生生物的毒性很小，从现有的一些水生生物毒性实验中可得氯化物对淡水鲑和狗鱼的致毒浓度为4000mg/L，氯化物对鲤鱼卵的致毒浓度为4500 mg/L～6000 mg/L。所以即便是氯化物对水生生物的毒性较小，但在水中氯化物浓度较高时，同样可以影响水生生物的生长繁殖或直接导致水生生物死亡。另外，氯化物对水生生物的毒性大小不仅仅与氯离子的浓度有关，也与水中共存的阳离子有着密切的关系。例如：当水中阳离子是钠离子时对淡水生物的毒性较小，水中氯离子浓度达到4200 mg/L时才会造成水蚤亚目的死亡；当水中阳离子为镁离子的时候，水中氯离子浓度为740 mg/L便会导致水蚤亚目中毒；当水中阳离子为钾离子时对淡水生物的毒性较大，即使水中氯离子浓度仅为373mg/L也会使水蚤亚目致毒。</w:t>
      </w:r>
    </w:p>
    <w:p>
      <w:pPr>
        <w:keepNext/>
        <w:keepLines/>
        <w:spacing w:before="190" w:beforeLines="50" w:after="190" w:afterLines="50" w:line="360" w:lineRule="auto"/>
        <w:jc w:val="left"/>
        <w:outlineLvl w:val="2"/>
        <w:rPr>
          <w:rFonts w:ascii="Times New Roman" w:hAnsi="Times New Roman" w:eastAsia="宋体" w:cs="Times New Roman"/>
          <w:b/>
          <w:bCs/>
          <w:sz w:val="24"/>
          <w:szCs w:val="32"/>
        </w:rPr>
      </w:pPr>
      <w:bookmarkStart w:id="30" w:name="_Toc76386108"/>
      <w:r>
        <w:rPr>
          <w:rFonts w:ascii="Times New Roman" w:hAnsi="Times New Roman" w:eastAsia="宋体" w:cs="Times New Roman"/>
          <w:b/>
          <w:bCs/>
          <w:sz w:val="24"/>
          <w:szCs w:val="32"/>
        </w:rPr>
        <w:t>5.1.3</w:t>
      </w:r>
      <w:r>
        <w:rPr>
          <w:rFonts w:hint="eastAsia" w:ascii="Times New Roman" w:hAnsi="Times New Roman" w:eastAsia="宋体" w:cs="Times New Roman"/>
          <w:b/>
          <w:bCs/>
          <w:sz w:val="24"/>
          <w:szCs w:val="32"/>
        </w:rPr>
        <w:t>氯化物对农业灌溉的影响</w:t>
      </w:r>
      <w:bookmarkEnd w:id="30"/>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将含有氯化物的水用于农业灌溉，在一定范围内可以促进作物的生长发育，但当氯化物浓度过高时，它又可以影响作物的生长发育。一般情况下高氯化物水体用于农业灌溉可能会造成以下问题：</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（1）产生盐害。氯离子会随土壤水上升到地表，水分蒸发，盐分则留在地表，加重土壤的盐害。高氯造成土壤中的盐分含量过高，影响根系正常的吸收水分、养分，尤其是旱地土壤易导致烧根、烧苗。</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（2）激活有毒离子。氯离子与其它阳离子结合，形成有害的氯化物，如在石灰性土壤中形成氯化钙，对作物生长发育不利。另外氯离子还易激活土壤中的铝、锰等金属元素，对农作物造成毒害。</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（3）诱导养分缺乏。土壤中氯离子水平过高时就会使土壤渗透势增高，限制其它养分如NO</w:t>
      </w:r>
      <w:r>
        <w:rPr>
          <w:rFonts w:hint="eastAsia" w:ascii="Times New Roman" w:hAnsi="Times New Roman" w:eastAsia="宋体" w:cs="Times New Roman"/>
          <w:szCs w:val="22"/>
          <w:vertAlign w:val="subscript"/>
        </w:rPr>
        <w:t>3</w:t>
      </w:r>
      <w:r>
        <w:rPr>
          <w:rFonts w:hint="eastAsia" w:ascii="Times New Roman" w:hAnsi="Times New Roman" w:eastAsia="宋体" w:cs="Times New Roman"/>
          <w:szCs w:val="22"/>
          <w:vertAlign w:val="superscript"/>
        </w:rPr>
        <w:t>-</w:t>
      </w:r>
      <w:r>
        <w:rPr>
          <w:rFonts w:hint="eastAsia" w:ascii="Times New Roman" w:hAnsi="Times New Roman" w:eastAsia="宋体" w:cs="Times New Roman"/>
          <w:szCs w:val="22"/>
        </w:rPr>
        <w:t>、SO</w:t>
      </w:r>
      <w:r>
        <w:rPr>
          <w:rFonts w:hint="eastAsia" w:ascii="Times New Roman" w:hAnsi="Times New Roman" w:eastAsia="宋体" w:cs="Times New Roman"/>
          <w:szCs w:val="22"/>
          <w:vertAlign w:val="subscript"/>
        </w:rPr>
        <w:t>4</w:t>
      </w:r>
      <w:r>
        <w:rPr>
          <w:rFonts w:hint="eastAsia" w:ascii="Times New Roman" w:hAnsi="Times New Roman" w:eastAsia="宋体" w:cs="Times New Roman"/>
          <w:szCs w:val="22"/>
          <w:vertAlign w:val="superscript"/>
        </w:rPr>
        <w:t>2-</w:t>
      </w:r>
      <w:r>
        <w:rPr>
          <w:rFonts w:hint="eastAsia" w:ascii="Times New Roman" w:hAnsi="Times New Roman" w:eastAsia="宋体" w:cs="Times New Roman"/>
          <w:szCs w:val="22"/>
        </w:rPr>
        <w:t>的吸收，从而导致作物养分缺乏。</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（4）影响作物生长发育。发芽率降低、生长受抑制、叶绿素含量降低、叶色灰白、生长点坏死、落叶、落果等。</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5）降低作物品质。氯离子较多时，不利于糖转化为淀粉，块根和块茎作物的淀粉含量会降低，从而导致作物品质差；氯离子也能促进碳水化合物的水解，西瓜、甜菜、葡萄会降低含糖量，而酸度较高，使果品风韵欠佳；氯离子同样会影响烟草的燃烧性，使得卷烟易熄。</w:t>
      </w:r>
    </w:p>
    <w:p>
      <w:pPr>
        <w:keepNext/>
        <w:keepLines/>
        <w:spacing w:before="190" w:beforeLines="50" w:after="190" w:afterLines="50" w:line="360" w:lineRule="auto"/>
        <w:jc w:val="left"/>
        <w:outlineLvl w:val="2"/>
        <w:rPr>
          <w:rFonts w:ascii="Times New Roman" w:hAnsi="Times New Roman" w:eastAsia="宋体" w:cs="Times New Roman"/>
          <w:b/>
          <w:bCs/>
          <w:sz w:val="24"/>
          <w:szCs w:val="32"/>
        </w:rPr>
      </w:pPr>
      <w:bookmarkStart w:id="31" w:name="_Toc76386109"/>
      <w:r>
        <w:rPr>
          <w:rFonts w:ascii="Times New Roman" w:hAnsi="Times New Roman" w:eastAsia="宋体" w:cs="Times New Roman"/>
          <w:b/>
          <w:bCs/>
          <w:sz w:val="24"/>
          <w:szCs w:val="32"/>
        </w:rPr>
        <w:t>5.1.4</w:t>
      </w:r>
      <w:r>
        <w:rPr>
          <w:rFonts w:hint="eastAsia" w:ascii="Times New Roman" w:hAnsi="Times New Roman" w:eastAsia="宋体" w:cs="Times New Roman"/>
          <w:b/>
          <w:bCs/>
          <w:sz w:val="24"/>
          <w:szCs w:val="32"/>
        </w:rPr>
        <w:t>氯化物对桥梁设施的影响</w:t>
      </w:r>
      <w:bookmarkEnd w:id="31"/>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水环境中的氯化物通常通过混凝土宏观、微观缺陷，渗入到混凝土中并到达钢筋表面，直接或间接破坏混凝土的包裹作用及钢筋在碱性环境下形成的钝化膜，使之发生锈蚀继而锈蚀产物体积膨胀使混凝土保护层开裂与脱落。从而进一步破坏内部钢筋的保护层，钢筋锈蚀作用加剧，如此往复则会对水体中的桥梁基座造成致命损害。</w:t>
      </w:r>
    </w:p>
    <w:p>
      <w:pPr>
        <w:keepNext/>
        <w:keepLines/>
        <w:spacing w:before="120" w:after="120" w:line="415" w:lineRule="auto"/>
        <w:jc w:val="left"/>
        <w:outlineLvl w:val="1"/>
        <w:rPr>
          <w:rFonts w:ascii="Times New Roman" w:hAnsi="Times New Roman" w:eastAsia="宋体" w:cs="Times New Roman"/>
          <w:b/>
          <w:bCs/>
          <w:sz w:val="30"/>
          <w:szCs w:val="32"/>
        </w:rPr>
      </w:pPr>
      <w:bookmarkStart w:id="32" w:name="_Toc76386110"/>
      <w:r>
        <w:rPr>
          <w:rFonts w:hint="eastAsia" w:ascii="Times New Roman" w:hAnsi="Times New Roman" w:eastAsia="宋体" w:cs="Times New Roman"/>
          <w:b/>
          <w:bCs/>
          <w:sz w:val="30"/>
          <w:szCs w:val="32"/>
        </w:rPr>
        <w:t>5.</w:t>
      </w:r>
      <w:r>
        <w:rPr>
          <w:rFonts w:ascii="Times New Roman" w:hAnsi="Times New Roman" w:eastAsia="宋体" w:cs="Times New Roman"/>
          <w:b/>
          <w:bCs/>
          <w:sz w:val="30"/>
          <w:szCs w:val="32"/>
        </w:rPr>
        <w:t>2</w:t>
      </w:r>
      <w:r>
        <w:rPr>
          <w:rFonts w:hint="eastAsia" w:ascii="Times New Roman" w:hAnsi="Times New Roman" w:eastAsia="宋体" w:cs="Times New Roman"/>
          <w:b/>
          <w:bCs/>
          <w:sz w:val="30"/>
          <w:szCs w:val="32"/>
        </w:rPr>
        <w:t>国内外管控标准情况</w:t>
      </w:r>
      <w:bookmarkEnd w:id="32"/>
    </w:p>
    <w:p>
      <w:pPr>
        <w:keepNext/>
        <w:keepLines/>
        <w:spacing w:before="190" w:beforeLines="50" w:after="190" w:afterLines="50" w:line="360" w:lineRule="auto"/>
        <w:jc w:val="left"/>
        <w:outlineLvl w:val="2"/>
        <w:rPr>
          <w:rFonts w:ascii="Times New Roman" w:hAnsi="Times New Roman" w:eastAsia="宋体" w:cs="Times New Roman"/>
          <w:b/>
          <w:bCs/>
          <w:sz w:val="24"/>
          <w:szCs w:val="32"/>
        </w:rPr>
      </w:pPr>
      <w:bookmarkStart w:id="33" w:name="_Toc76386111"/>
      <w:r>
        <w:rPr>
          <w:rFonts w:hint="eastAsia" w:ascii="Times New Roman" w:hAnsi="Times New Roman" w:eastAsia="宋体" w:cs="Times New Roman"/>
          <w:b/>
          <w:bCs/>
          <w:sz w:val="24"/>
          <w:szCs w:val="32"/>
        </w:rPr>
        <w:t>5.2.1 国外氯化物排放标准概况</w:t>
      </w:r>
      <w:bookmarkEnd w:id="33"/>
    </w:p>
    <w:p>
      <w:pPr>
        <w:spacing w:line="360" w:lineRule="auto"/>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氯化物对环境的影响巨大，世界上不少国家意识到氯化物过量排放造成后果的严重性，先后出台相应标准以限制氯化物的排放。具体排放标准及限值见表5-2。</w:t>
      </w:r>
    </w:p>
    <w:p>
      <w:pPr>
        <w:spacing w:line="440" w:lineRule="exact"/>
        <w:ind w:firstLine="421" w:firstLineChars="200"/>
        <w:jc w:val="center"/>
        <w:rPr>
          <w:rFonts w:ascii="Times New Roman" w:hAnsi="Times New Roman" w:eastAsia="宋体" w:cs="Times New Roman"/>
          <w:b/>
        </w:rPr>
      </w:pPr>
      <w:r>
        <w:rPr>
          <w:rFonts w:ascii="Times New Roman" w:hAnsi="Times New Roman" w:eastAsia="宋体" w:cs="Times New Roman"/>
          <w:b/>
        </w:rPr>
        <w:t>表</w:t>
      </w:r>
      <w:r>
        <w:rPr>
          <w:rFonts w:hint="eastAsia" w:ascii="Times New Roman" w:hAnsi="Times New Roman" w:eastAsia="宋体" w:cs="Times New Roman"/>
          <w:b/>
        </w:rPr>
        <w:t>5</w:t>
      </w:r>
      <w:r>
        <w:rPr>
          <w:rFonts w:ascii="Times New Roman" w:hAnsi="Times New Roman" w:eastAsia="宋体" w:cs="Times New Roman"/>
          <w:b/>
        </w:rPr>
        <w:t>-</w:t>
      </w:r>
      <w:r>
        <w:rPr>
          <w:rFonts w:hint="eastAsia" w:ascii="Times New Roman" w:hAnsi="Times New Roman" w:eastAsia="宋体" w:cs="Times New Roman"/>
          <w:b/>
        </w:rPr>
        <w:t xml:space="preserve">2 </w:t>
      </w:r>
      <w:r>
        <w:rPr>
          <w:rFonts w:ascii="Times New Roman" w:hAnsi="Times New Roman" w:eastAsia="宋体" w:cs="Times New Roman"/>
          <w:b/>
        </w:rPr>
        <w:t>国外</w:t>
      </w:r>
      <w:r>
        <w:rPr>
          <w:rFonts w:hint="eastAsia" w:ascii="Times New Roman" w:hAnsi="Times New Roman" w:eastAsia="宋体" w:cs="Times New Roman"/>
          <w:b/>
        </w:rPr>
        <w:t>氯化物排放标准</w:t>
      </w:r>
    </w:p>
    <w:tbl>
      <w:tblPr>
        <w:tblStyle w:val="25"/>
        <w:tblW w:w="847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42"/>
        <w:gridCol w:w="1560"/>
        <w:gridCol w:w="1842"/>
        <w:gridCol w:w="382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42" w:type="dxa"/>
            <w:vAlign w:val="center"/>
          </w:tcPr>
          <w:p>
            <w:pPr>
              <w:jc w:val="center"/>
              <w:rPr>
                <w:rFonts w:ascii="Times New Roman" w:hAnsi="Times New Roman" w:eastAsia="宋体" w:cs="Times New Roman"/>
                <w:b/>
                <w:sz w:val="18"/>
                <w:szCs w:val="22"/>
              </w:rPr>
            </w:pPr>
            <w:r>
              <w:rPr>
                <w:rFonts w:hint="eastAsia" w:ascii="Times New Roman" w:hAnsi="Times New Roman" w:eastAsia="宋体" w:cs="Times New Roman"/>
                <w:b/>
                <w:sz w:val="18"/>
                <w:szCs w:val="22"/>
              </w:rPr>
              <w:t>国家</w:t>
            </w:r>
          </w:p>
        </w:tc>
        <w:tc>
          <w:tcPr>
            <w:tcW w:w="1560" w:type="dxa"/>
            <w:vAlign w:val="center"/>
          </w:tcPr>
          <w:p>
            <w:pPr>
              <w:jc w:val="center"/>
              <w:rPr>
                <w:rFonts w:ascii="Times New Roman" w:hAnsi="Times New Roman" w:eastAsia="宋体" w:cs="Times New Roman"/>
                <w:b/>
                <w:sz w:val="18"/>
                <w:szCs w:val="22"/>
              </w:rPr>
            </w:pPr>
            <w:r>
              <w:rPr>
                <w:rFonts w:hint="eastAsia" w:ascii="Times New Roman" w:hAnsi="Times New Roman" w:eastAsia="宋体" w:cs="Times New Roman"/>
                <w:b/>
                <w:sz w:val="18"/>
                <w:szCs w:val="22"/>
              </w:rPr>
              <w:t>排放去向</w:t>
            </w:r>
          </w:p>
        </w:tc>
        <w:tc>
          <w:tcPr>
            <w:tcW w:w="1842" w:type="dxa"/>
            <w:vAlign w:val="center"/>
          </w:tcPr>
          <w:p>
            <w:pPr>
              <w:jc w:val="center"/>
              <w:rPr>
                <w:rFonts w:ascii="Times New Roman" w:hAnsi="Times New Roman" w:eastAsia="宋体" w:cs="Times New Roman"/>
                <w:b/>
                <w:sz w:val="18"/>
                <w:szCs w:val="22"/>
              </w:rPr>
            </w:pPr>
            <w:r>
              <w:rPr>
                <w:rFonts w:hint="eastAsia" w:ascii="Times New Roman" w:hAnsi="Times New Roman" w:eastAsia="宋体" w:cs="Times New Roman"/>
                <w:b/>
                <w:sz w:val="18"/>
                <w:szCs w:val="22"/>
              </w:rPr>
              <w:t>排放限值</w:t>
            </w:r>
          </w:p>
        </w:tc>
        <w:tc>
          <w:tcPr>
            <w:tcW w:w="3828" w:type="dxa"/>
          </w:tcPr>
          <w:p>
            <w:pPr>
              <w:jc w:val="center"/>
              <w:rPr>
                <w:rFonts w:ascii="Times New Roman" w:hAnsi="Times New Roman" w:eastAsia="宋体" w:cs="Times New Roman"/>
                <w:b/>
                <w:sz w:val="18"/>
                <w:szCs w:val="22"/>
              </w:rPr>
            </w:pPr>
            <w:r>
              <w:rPr>
                <w:rFonts w:hint="eastAsia" w:ascii="Times New Roman" w:hAnsi="Times New Roman" w:eastAsia="宋体" w:cs="Times New Roman"/>
                <w:b/>
                <w:sz w:val="18"/>
                <w:szCs w:val="22"/>
              </w:rPr>
              <w:t>文献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42" w:type="dxa"/>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美国</w:t>
            </w:r>
          </w:p>
        </w:tc>
        <w:tc>
          <w:tcPr>
            <w:tcW w:w="1560" w:type="dxa"/>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w:t>
            </w:r>
          </w:p>
        </w:tc>
        <w:tc>
          <w:tcPr>
            <w:tcW w:w="1842" w:type="dxa"/>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≤400mg/L</w:t>
            </w:r>
          </w:p>
        </w:tc>
        <w:tc>
          <w:tcPr>
            <w:tcW w:w="3828" w:type="dxa"/>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Handbook of Environmental Contr</w:t>
            </w:r>
            <w:r>
              <w:rPr>
                <w:rFonts w:hint="eastAsia" w:ascii="Times New Roman" w:hAnsi="Times New Roman" w:eastAsia="宋体" w:cs="Times New Roman"/>
                <w:sz w:val="18"/>
                <w:szCs w:val="22"/>
              </w:rPr>
              <w:t>o</w:t>
            </w:r>
            <w:r>
              <w:rPr>
                <w:rFonts w:ascii="Times New Roman" w:hAnsi="Times New Roman" w:eastAsia="宋体" w:cs="Times New Roman"/>
                <w:sz w:val="18"/>
                <w:szCs w:val="22"/>
              </w:rPr>
              <w:t>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1" w:hRule="atLeast"/>
        </w:trPr>
        <w:tc>
          <w:tcPr>
            <w:tcW w:w="1242" w:type="dxa"/>
            <w:vMerge w:val="restart"/>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新加坡</w:t>
            </w:r>
          </w:p>
        </w:tc>
        <w:tc>
          <w:tcPr>
            <w:tcW w:w="1560" w:type="dxa"/>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公共下水道</w:t>
            </w:r>
          </w:p>
        </w:tc>
        <w:tc>
          <w:tcPr>
            <w:tcW w:w="1842" w:type="dxa"/>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≤1000mg/L</w:t>
            </w:r>
          </w:p>
        </w:tc>
        <w:tc>
          <w:tcPr>
            <w:tcW w:w="3828" w:type="dxa"/>
            <w:vMerge w:val="restart"/>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Draft Guidelines for Assessing Industr</w:t>
            </w:r>
            <w:r>
              <w:rPr>
                <w:rFonts w:hint="eastAsia" w:ascii="Times New Roman" w:hAnsi="Times New Roman" w:eastAsia="宋体" w:cs="Times New Roman"/>
                <w:sz w:val="18"/>
                <w:szCs w:val="22"/>
              </w:rPr>
              <w:t>ia</w:t>
            </w:r>
            <w:r>
              <w:rPr>
                <w:rFonts w:ascii="Times New Roman" w:hAnsi="Times New Roman" w:eastAsia="宋体" w:cs="Times New Roman"/>
                <w:sz w:val="18"/>
                <w:szCs w:val="22"/>
              </w:rPr>
              <w:t>l Enviro</w:t>
            </w:r>
            <w:r>
              <w:rPr>
                <w:rFonts w:hint="eastAsia" w:ascii="Times New Roman" w:hAnsi="Times New Roman" w:eastAsia="宋体" w:cs="Times New Roman"/>
                <w:sz w:val="18"/>
                <w:szCs w:val="22"/>
              </w:rPr>
              <w:t>n</w:t>
            </w:r>
            <w:r>
              <w:rPr>
                <w:rFonts w:ascii="Times New Roman" w:hAnsi="Times New Roman" w:eastAsia="宋体" w:cs="Times New Roman"/>
                <w:sz w:val="18"/>
                <w:szCs w:val="22"/>
              </w:rPr>
              <w:t>mental Impact and the si</w:t>
            </w:r>
            <w:r>
              <w:rPr>
                <w:rFonts w:hint="eastAsia" w:ascii="Times New Roman" w:hAnsi="Times New Roman" w:eastAsia="宋体" w:cs="Times New Roman"/>
                <w:sz w:val="18"/>
                <w:szCs w:val="22"/>
              </w:rPr>
              <w:t>t</w:t>
            </w:r>
            <w:r>
              <w:rPr>
                <w:rFonts w:ascii="Times New Roman" w:hAnsi="Times New Roman" w:eastAsia="宋体" w:cs="Times New Roman"/>
                <w:sz w:val="18"/>
                <w:szCs w:val="22"/>
              </w:rPr>
              <w:t>ting of Industry</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42" w:type="dxa"/>
            <w:vMerge w:val="continue"/>
            <w:vAlign w:val="center"/>
          </w:tcPr>
          <w:p>
            <w:pPr>
              <w:jc w:val="center"/>
              <w:rPr>
                <w:rFonts w:ascii="Times New Roman" w:hAnsi="Times New Roman" w:eastAsia="宋体" w:cs="Times New Roman"/>
                <w:sz w:val="18"/>
                <w:szCs w:val="22"/>
              </w:rPr>
            </w:pPr>
          </w:p>
        </w:tc>
        <w:tc>
          <w:tcPr>
            <w:tcW w:w="1560" w:type="dxa"/>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非控制水源</w:t>
            </w:r>
          </w:p>
        </w:tc>
        <w:tc>
          <w:tcPr>
            <w:tcW w:w="1842" w:type="dxa"/>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≤600mg/L</w:t>
            </w:r>
          </w:p>
        </w:tc>
        <w:tc>
          <w:tcPr>
            <w:tcW w:w="3828" w:type="dxa"/>
            <w:vMerge w:val="continue"/>
          </w:tcPr>
          <w:p>
            <w:pPr>
              <w:jc w:val="center"/>
              <w:rPr>
                <w:rFonts w:ascii="Times New Roman" w:hAnsi="Times New Roman" w:eastAsia="宋体" w:cs="Times New Roman"/>
                <w:sz w:val="18"/>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42" w:type="dxa"/>
            <w:vMerge w:val="continue"/>
            <w:vAlign w:val="center"/>
          </w:tcPr>
          <w:p>
            <w:pPr>
              <w:jc w:val="center"/>
              <w:rPr>
                <w:rFonts w:ascii="Times New Roman" w:hAnsi="Times New Roman" w:eastAsia="宋体" w:cs="Times New Roman"/>
                <w:sz w:val="18"/>
                <w:szCs w:val="22"/>
              </w:rPr>
            </w:pPr>
          </w:p>
        </w:tc>
        <w:tc>
          <w:tcPr>
            <w:tcW w:w="1560" w:type="dxa"/>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控制水源</w:t>
            </w:r>
          </w:p>
        </w:tc>
        <w:tc>
          <w:tcPr>
            <w:tcW w:w="1842" w:type="dxa"/>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≤400mg/L</w:t>
            </w:r>
          </w:p>
        </w:tc>
        <w:tc>
          <w:tcPr>
            <w:tcW w:w="3828" w:type="dxa"/>
            <w:vMerge w:val="continue"/>
          </w:tcPr>
          <w:p>
            <w:pPr>
              <w:jc w:val="center"/>
              <w:rPr>
                <w:rFonts w:ascii="Times New Roman" w:hAnsi="Times New Roman" w:eastAsia="宋体" w:cs="Times New Roman"/>
                <w:sz w:val="18"/>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42" w:type="dxa"/>
            <w:vMerge w:val="restart"/>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波兰</w:t>
            </w:r>
          </w:p>
        </w:tc>
        <w:tc>
          <w:tcPr>
            <w:tcW w:w="1560" w:type="dxa"/>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河道</w:t>
            </w:r>
          </w:p>
        </w:tc>
        <w:tc>
          <w:tcPr>
            <w:tcW w:w="1842" w:type="dxa"/>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≤250mg/L</w:t>
            </w:r>
          </w:p>
        </w:tc>
        <w:tc>
          <w:tcPr>
            <w:tcW w:w="3828" w:type="dxa"/>
            <w:vMerge w:val="restart"/>
            <w:vAlign w:val="center"/>
          </w:tcPr>
          <w:p>
            <w:pPr>
              <w:jc w:val="center"/>
              <w:rPr>
                <w:rFonts w:ascii="Times New Roman" w:hAnsi="Times New Roman" w:eastAsia="宋体" w:cs="Times New Roman"/>
                <w:sz w:val="18"/>
                <w:szCs w:val="22"/>
              </w:rPr>
            </w:pPr>
            <w:r>
              <w:rPr>
                <w:rFonts w:ascii="Times New Roman" w:hAnsi="宋体" w:eastAsia="宋体" w:cs="Times New Roman"/>
                <w:sz w:val="18"/>
                <w:szCs w:val="22"/>
              </w:rPr>
              <w:t>轻工业污染及其防治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42" w:type="dxa"/>
            <w:vMerge w:val="continue"/>
            <w:vAlign w:val="center"/>
          </w:tcPr>
          <w:p>
            <w:pPr>
              <w:jc w:val="center"/>
              <w:rPr>
                <w:rFonts w:ascii="Times New Roman" w:hAnsi="Times New Roman" w:eastAsia="宋体" w:cs="Times New Roman"/>
                <w:sz w:val="18"/>
                <w:szCs w:val="22"/>
              </w:rPr>
            </w:pPr>
          </w:p>
        </w:tc>
        <w:tc>
          <w:tcPr>
            <w:tcW w:w="1560" w:type="dxa"/>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城市下水道</w:t>
            </w:r>
          </w:p>
        </w:tc>
        <w:tc>
          <w:tcPr>
            <w:tcW w:w="1842" w:type="dxa"/>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≤350mg/L</w:t>
            </w:r>
          </w:p>
        </w:tc>
        <w:tc>
          <w:tcPr>
            <w:tcW w:w="3828" w:type="dxa"/>
            <w:vMerge w:val="continue"/>
          </w:tcPr>
          <w:p>
            <w:pPr>
              <w:jc w:val="center"/>
              <w:rPr>
                <w:rFonts w:ascii="Times New Roman" w:hAnsi="Times New Roman" w:eastAsia="宋体" w:cs="Times New Roman"/>
                <w:sz w:val="18"/>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42" w:type="dxa"/>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意大利</w:t>
            </w:r>
          </w:p>
        </w:tc>
        <w:tc>
          <w:tcPr>
            <w:tcW w:w="1560" w:type="dxa"/>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地表水</w:t>
            </w:r>
          </w:p>
        </w:tc>
        <w:tc>
          <w:tcPr>
            <w:tcW w:w="1842" w:type="dxa"/>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≤1200mg/L</w:t>
            </w:r>
          </w:p>
        </w:tc>
        <w:tc>
          <w:tcPr>
            <w:tcW w:w="3828" w:type="dxa"/>
            <w:vMerge w:val="restart"/>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Draft Guidelines for Assessing Industr</w:t>
            </w:r>
            <w:r>
              <w:rPr>
                <w:rFonts w:hint="eastAsia" w:ascii="Times New Roman" w:hAnsi="Times New Roman" w:eastAsia="宋体" w:cs="Times New Roman"/>
                <w:sz w:val="18"/>
                <w:szCs w:val="22"/>
              </w:rPr>
              <w:t>ia</w:t>
            </w:r>
            <w:r>
              <w:rPr>
                <w:rFonts w:ascii="Times New Roman" w:hAnsi="Times New Roman" w:eastAsia="宋体" w:cs="Times New Roman"/>
                <w:sz w:val="18"/>
                <w:szCs w:val="22"/>
              </w:rPr>
              <w:t>l Enviro</w:t>
            </w:r>
            <w:r>
              <w:rPr>
                <w:rFonts w:hint="eastAsia" w:ascii="Times New Roman" w:hAnsi="Times New Roman" w:eastAsia="宋体" w:cs="Times New Roman"/>
                <w:sz w:val="18"/>
                <w:szCs w:val="22"/>
              </w:rPr>
              <w:t>n</w:t>
            </w:r>
            <w:r>
              <w:rPr>
                <w:rFonts w:ascii="Times New Roman" w:hAnsi="Times New Roman" w:eastAsia="宋体" w:cs="Times New Roman"/>
                <w:sz w:val="18"/>
                <w:szCs w:val="22"/>
              </w:rPr>
              <w:t>mental Impact and the sit</w:t>
            </w:r>
            <w:r>
              <w:rPr>
                <w:rFonts w:hint="eastAsia" w:ascii="Times New Roman" w:hAnsi="Times New Roman" w:eastAsia="宋体" w:cs="Times New Roman"/>
                <w:sz w:val="18"/>
                <w:szCs w:val="22"/>
              </w:rPr>
              <w:t>t</w:t>
            </w:r>
            <w:r>
              <w:rPr>
                <w:rFonts w:ascii="Times New Roman" w:hAnsi="Times New Roman" w:eastAsia="宋体" w:cs="Times New Roman"/>
                <w:sz w:val="18"/>
                <w:szCs w:val="22"/>
              </w:rPr>
              <w:t>ing of Industry</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42" w:type="dxa"/>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瑞典</w:t>
            </w:r>
          </w:p>
        </w:tc>
        <w:tc>
          <w:tcPr>
            <w:tcW w:w="1560" w:type="dxa"/>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城市下水道</w:t>
            </w:r>
          </w:p>
        </w:tc>
        <w:tc>
          <w:tcPr>
            <w:tcW w:w="1842" w:type="dxa"/>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≤300mg/L</w:t>
            </w:r>
          </w:p>
        </w:tc>
        <w:tc>
          <w:tcPr>
            <w:tcW w:w="3828" w:type="dxa"/>
            <w:vMerge w:val="continue"/>
          </w:tcPr>
          <w:p>
            <w:pPr>
              <w:jc w:val="center"/>
              <w:rPr>
                <w:rFonts w:ascii="Times New Roman" w:hAnsi="Times New Roman" w:eastAsia="宋体" w:cs="Times New Roman"/>
                <w:sz w:val="18"/>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42" w:type="dxa"/>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荷兰</w:t>
            </w:r>
          </w:p>
        </w:tc>
        <w:tc>
          <w:tcPr>
            <w:tcW w:w="1560" w:type="dxa"/>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w:t>
            </w:r>
          </w:p>
        </w:tc>
        <w:tc>
          <w:tcPr>
            <w:tcW w:w="1842" w:type="dxa"/>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≤200~400mg/L</w:t>
            </w:r>
          </w:p>
        </w:tc>
        <w:tc>
          <w:tcPr>
            <w:tcW w:w="3828" w:type="dxa"/>
            <w:vMerge w:val="restart"/>
            <w:vAlign w:val="center"/>
          </w:tcPr>
          <w:p>
            <w:pPr>
              <w:jc w:val="center"/>
              <w:rPr>
                <w:rFonts w:ascii="Times New Roman" w:hAnsi="Times New Roman" w:eastAsia="宋体" w:cs="Times New Roman"/>
                <w:sz w:val="18"/>
                <w:szCs w:val="22"/>
              </w:rPr>
            </w:pPr>
            <w:r>
              <w:rPr>
                <w:rFonts w:ascii="Times New Roman" w:hAnsi="宋体" w:eastAsia="宋体" w:cs="Times New Roman"/>
                <w:sz w:val="18"/>
                <w:szCs w:val="22"/>
              </w:rPr>
              <w:t>湖北省府河流域氯化物排放标准制定的研究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42" w:type="dxa"/>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印度</w:t>
            </w:r>
          </w:p>
        </w:tc>
        <w:tc>
          <w:tcPr>
            <w:tcW w:w="1560" w:type="dxa"/>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w:t>
            </w:r>
          </w:p>
        </w:tc>
        <w:tc>
          <w:tcPr>
            <w:tcW w:w="1842" w:type="dxa"/>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≤1000mg/L</w:t>
            </w:r>
          </w:p>
        </w:tc>
        <w:tc>
          <w:tcPr>
            <w:tcW w:w="3828" w:type="dxa"/>
            <w:vMerge w:val="continue"/>
          </w:tcPr>
          <w:p>
            <w:pPr>
              <w:spacing w:line="360" w:lineRule="auto"/>
              <w:jc w:val="center"/>
              <w:rPr>
                <w:rFonts w:ascii="宋体" w:hAnsi="宋体"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42" w:type="dxa"/>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日本</w:t>
            </w:r>
          </w:p>
        </w:tc>
        <w:tc>
          <w:tcPr>
            <w:tcW w:w="1560" w:type="dxa"/>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w:t>
            </w:r>
          </w:p>
        </w:tc>
        <w:tc>
          <w:tcPr>
            <w:tcW w:w="1842" w:type="dxa"/>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≤400mg/L</w:t>
            </w:r>
          </w:p>
        </w:tc>
        <w:tc>
          <w:tcPr>
            <w:tcW w:w="3828" w:type="dxa"/>
            <w:vMerge w:val="continue"/>
          </w:tcPr>
          <w:p>
            <w:pPr>
              <w:spacing w:line="360" w:lineRule="auto"/>
              <w:jc w:val="center"/>
              <w:rPr>
                <w:rFonts w:ascii="宋体" w:hAnsi="宋体" w:eastAsia="宋体" w:cs="Times New Roman"/>
                <w:szCs w:val="21"/>
              </w:rPr>
            </w:pPr>
          </w:p>
        </w:tc>
      </w:tr>
    </w:tbl>
    <w:p>
      <w:pPr>
        <w:keepNext/>
        <w:keepLines/>
        <w:spacing w:before="190" w:beforeLines="50" w:after="190" w:afterLines="50" w:line="360" w:lineRule="auto"/>
        <w:jc w:val="left"/>
        <w:outlineLvl w:val="2"/>
        <w:rPr>
          <w:rFonts w:ascii="Times New Roman" w:hAnsi="Times New Roman" w:eastAsia="宋体" w:cs="Times New Roman"/>
          <w:b/>
          <w:bCs/>
          <w:sz w:val="24"/>
          <w:szCs w:val="32"/>
        </w:rPr>
      </w:pPr>
      <w:bookmarkStart w:id="34" w:name="_Toc76386112"/>
      <w:r>
        <w:rPr>
          <w:rFonts w:hint="eastAsia" w:ascii="Times New Roman" w:hAnsi="Times New Roman" w:eastAsia="宋体" w:cs="Times New Roman"/>
          <w:b/>
          <w:bCs/>
          <w:sz w:val="24"/>
          <w:szCs w:val="32"/>
        </w:rPr>
        <w:t>5.2.2 国内氯化物排放标准概况</w:t>
      </w:r>
      <w:bookmarkEnd w:id="34"/>
    </w:p>
    <w:p>
      <w:pPr>
        <w:spacing w:line="440" w:lineRule="exact"/>
        <w:ind w:firstLine="420" w:firstLineChars="200"/>
        <w:jc w:val="left"/>
        <w:rPr>
          <w:rFonts w:ascii="Times New Roman" w:hAnsi="Times New Roman" w:eastAsia="宋体" w:cs="Times New Roman"/>
          <w:szCs w:val="22"/>
        </w:rPr>
      </w:pPr>
      <w:r>
        <w:rPr>
          <w:rFonts w:ascii="Times New Roman" w:hAnsi="Times New Roman" w:eastAsia="宋体" w:cs="Times New Roman"/>
          <w:szCs w:val="22"/>
        </w:rPr>
        <w:t>近年来，随着我国工业的迅速发展，各行业生产规模不断扩大，随之产生的污染物总量和种类也随之增多，所带来的环境问题也日益严重。因此，废水中氯离子排放问题也逐渐被民众和相关部门所重视，但当前国家《污水综合排放标准》并未规定氯化物的排放限值，仅少数行业标准及地方标准规定了氯化物的排放限值。</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我国不同水体水质标准如表5-3所示。</w:t>
      </w:r>
    </w:p>
    <w:p>
      <w:pPr>
        <w:spacing w:line="440" w:lineRule="exact"/>
        <w:ind w:firstLine="421" w:firstLineChars="200"/>
        <w:jc w:val="center"/>
        <w:rPr>
          <w:rFonts w:ascii="Times New Roman" w:hAnsi="Times New Roman" w:eastAsia="宋体" w:cs="Times New Roman"/>
          <w:b/>
        </w:rPr>
      </w:pPr>
      <w:r>
        <w:rPr>
          <w:rFonts w:ascii="Times New Roman" w:hAnsi="Times New Roman" w:eastAsia="宋体" w:cs="Times New Roman"/>
          <w:b/>
        </w:rPr>
        <w:t>表</w:t>
      </w:r>
      <w:r>
        <w:rPr>
          <w:rFonts w:hint="eastAsia" w:ascii="Times New Roman" w:hAnsi="Times New Roman" w:eastAsia="宋体" w:cs="Times New Roman"/>
          <w:b/>
        </w:rPr>
        <w:t xml:space="preserve">5-3 </w:t>
      </w:r>
      <w:r>
        <w:rPr>
          <w:rFonts w:ascii="Times New Roman" w:hAnsi="Times New Roman" w:eastAsia="宋体" w:cs="Times New Roman"/>
          <w:b/>
        </w:rPr>
        <w:t>我国现有对氯化物进行管控的水质标准</w:t>
      </w:r>
    </w:p>
    <w:tbl>
      <w:tblPr>
        <w:tblStyle w:val="25"/>
        <w:tblW w:w="5000" w:type="pct"/>
        <w:tblInd w:w="0" w:type="dxa"/>
        <w:tblLayout w:type="autofit"/>
        <w:tblCellMar>
          <w:top w:w="0" w:type="dxa"/>
          <w:left w:w="0" w:type="dxa"/>
          <w:bottom w:w="0" w:type="dxa"/>
          <w:right w:w="0" w:type="dxa"/>
        </w:tblCellMar>
      </w:tblPr>
      <w:tblGrid>
        <w:gridCol w:w="3564"/>
        <w:gridCol w:w="2292"/>
        <w:gridCol w:w="2666"/>
      </w:tblGrid>
      <w:tr>
        <w:tblPrEx>
          <w:tblCellMar>
            <w:top w:w="0" w:type="dxa"/>
            <w:left w:w="0" w:type="dxa"/>
            <w:bottom w:w="0" w:type="dxa"/>
            <w:right w:w="0" w:type="dxa"/>
          </w:tblCellMar>
        </w:tblPrEx>
        <w:trPr>
          <w:trHeight w:val="408" w:hRule="atLeast"/>
          <w:tblHeader/>
        </w:trPr>
        <w:tc>
          <w:tcPr>
            <w:tcW w:w="2091" w:type="pct"/>
            <w:tcBorders>
              <w:top w:val="single" w:color="000000" w:sz="8" w:space="0"/>
              <w:left w:val="single" w:color="000000" w:sz="8" w:space="0"/>
              <w:bottom w:val="single" w:color="000000" w:sz="8" w:space="0"/>
              <w:right w:val="single" w:color="000000" w:sz="8" w:space="0"/>
            </w:tcBorders>
            <w:shd w:val="clear" w:color="auto" w:fill="auto"/>
            <w:tcMar>
              <w:top w:w="15" w:type="dxa"/>
              <w:left w:w="108" w:type="dxa"/>
              <w:bottom w:w="0" w:type="dxa"/>
              <w:right w:w="108" w:type="dxa"/>
            </w:tcMar>
            <w:vAlign w:val="center"/>
          </w:tcPr>
          <w:p>
            <w:pPr>
              <w:widowControl/>
              <w:jc w:val="center"/>
              <w:rPr>
                <w:rFonts w:ascii="宋体" w:hAnsi="宋体" w:eastAsia="宋体" w:cs="Times New Roman"/>
                <w:kern w:val="0"/>
                <w:sz w:val="18"/>
                <w:szCs w:val="18"/>
              </w:rPr>
            </w:pPr>
            <w:r>
              <w:rPr>
                <w:rFonts w:ascii="宋体" w:hAnsi="宋体" w:eastAsia="宋体" w:cs="Times New Roman"/>
                <w:b/>
                <w:bCs/>
                <w:sz w:val="18"/>
                <w:szCs w:val="18"/>
              </w:rPr>
              <w:t>标准名称</w:t>
            </w:r>
          </w:p>
        </w:tc>
        <w:tc>
          <w:tcPr>
            <w:tcW w:w="1345" w:type="pct"/>
            <w:tcBorders>
              <w:top w:val="single" w:color="000000" w:sz="8" w:space="0"/>
              <w:left w:val="single" w:color="000000" w:sz="8" w:space="0"/>
              <w:bottom w:val="single" w:color="000000" w:sz="8" w:space="0"/>
              <w:right w:val="single" w:color="000000" w:sz="8" w:space="0"/>
            </w:tcBorders>
            <w:shd w:val="clear" w:color="auto" w:fill="auto"/>
            <w:tcMar>
              <w:top w:w="15" w:type="dxa"/>
              <w:left w:w="108" w:type="dxa"/>
              <w:bottom w:w="0" w:type="dxa"/>
              <w:right w:w="108" w:type="dxa"/>
            </w:tcMar>
            <w:vAlign w:val="center"/>
          </w:tcPr>
          <w:p>
            <w:pPr>
              <w:widowControl/>
              <w:jc w:val="center"/>
              <w:rPr>
                <w:rFonts w:ascii="宋体" w:hAnsi="宋体" w:eastAsia="宋体" w:cs="Times New Roman"/>
                <w:kern w:val="0"/>
                <w:sz w:val="18"/>
                <w:szCs w:val="18"/>
              </w:rPr>
            </w:pPr>
            <w:r>
              <w:rPr>
                <w:rFonts w:ascii="宋体" w:hAnsi="宋体" w:eastAsia="宋体" w:cs="Times New Roman"/>
                <w:b/>
                <w:bCs/>
                <w:sz w:val="18"/>
                <w:szCs w:val="18"/>
              </w:rPr>
              <w:t>编号</w:t>
            </w:r>
          </w:p>
        </w:tc>
        <w:tc>
          <w:tcPr>
            <w:tcW w:w="1564" w:type="pct"/>
            <w:tcBorders>
              <w:top w:val="single" w:color="000000" w:sz="8" w:space="0"/>
              <w:left w:val="single" w:color="000000" w:sz="8" w:space="0"/>
              <w:bottom w:val="single" w:color="000000" w:sz="8" w:space="0"/>
              <w:right w:val="single" w:color="000000" w:sz="8" w:space="0"/>
            </w:tcBorders>
            <w:shd w:val="clear" w:color="auto" w:fill="auto"/>
            <w:tcMar>
              <w:top w:w="15" w:type="dxa"/>
              <w:left w:w="108" w:type="dxa"/>
              <w:bottom w:w="0" w:type="dxa"/>
              <w:right w:w="108" w:type="dxa"/>
            </w:tcMar>
            <w:vAlign w:val="center"/>
          </w:tcPr>
          <w:p>
            <w:pPr>
              <w:widowControl/>
              <w:jc w:val="center"/>
              <w:rPr>
                <w:rFonts w:ascii="宋体" w:hAnsi="宋体" w:eastAsia="宋体" w:cs="Times New Roman"/>
                <w:kern w:val="0"/>
                <w:sz w:val="18"/>
                <w:szCs w:val="18"/>
              </w:rPr>
            </w:pPr>
            <w:r>
              <w:rPr>
                <w:rFonts w:ascii="宋体" w:hAnsi="宋体" w:eastAsia="宋体" w:cs="Times New Roman"/>
                <w:b/>
                <w:bCs/>
                <w:sz w:val="18"/>
                <w:szCs w:val="18"/>
              </w:rPr>
              <w:t>排放限值</w:t>
            </w:r>
          </w:p>
        </w:tc>
      </w:tr>
      <w:tr>
        <w:tblPrEx>
          <w:tblCellMar>
            <w:top w:w="0" w:type="dxa"/>
            <w:left w:w="0" w:type="dxa"/>
            <w:bottom w:w="0" w:type="dxa"/>
            <w:right w:w="0" w:type="dxa"/>
          </w:tblCellMar>
        </w:tblPrEx>
        <w:trPr>
          <w:trHeight w:val="386" w:hRule="atLeast"/>
        </w:trPr>
        <w:tc>
          <w:tcPr>
            <w:tcW w:w="2091" w:type="pct"/>
            <w:tcBorders>
              <w:top w:val="single" w:color="000000" w:sz="8" w:space="0"/>
              <w:left w:val="single" w:color="000000" w:sz="8" w:space="0"/>
              <w:bottom w:val="single" w:color="000000" w:sz="8" w:space="0"/>
              <w:right w:val="single" w:color="000000" w:sz="8" w:space="0"/>
            </w:tcBorders>
            <w:shd w:val="clear" w:color="auto" w:fill="auto"/>
            <w:tcMar>
              <w:top w:w="15" w:type="dxa"/>
              <w:left w:w="108" w:type="dxa"/>
              <w:bottom w:w="0" w:type="dxa"/>
              <w:right w:w="108" w:type="dxa"/>
            </w:tcMar>
            <w:vAlign w:val="center"/>
          </w:tcPr>
          <w:p>
            <w:pPr>
              <w:widowControl/>
              <w:jc w:val="center"/>
              <w:rPr>
                <w:rFonts w:ascii="宋体" w:hAnsi="宋体" w:eastAsia="宋体" w:cs="Times New Roman"/>
                <w:kern w:val="0"/>
                <w:sz w:val="18"/>
                <w:szCs w:val="18"/>
              </w:rPr>
            </w:pPr>
            <w:r>
              <w:rPr>
                <w:rFonts w:ascii="宋体" w:hAnsi="宋体" w:eastAsia="宋体" w:cs="Times New Roman"/>
                <w:sz w:val="18"/>
                <w:szCs w:val="18"/>
              </w:rPr>
              <w:t>生活饮用水卫生标准</w:t>
            </w:r>
          </w:p>
        </w:tc>
        <w:tc>
          <w:tcPr>
            <w:tcW w:w="1345" w:type="pct"/>
            <w:tcBorders>
              <w:top w:val="single" w:color="000000" w:sz="8" w:space="0"/>
              <w:left w:val="single" w:color="000000" w:sz="8" w:space="0"/>
              <w:bottom w:val="single" w:color="000000" w:sz="8" w:space="0"/>
              <w:right w:val="single" w:color="000000" w:sz="8" w:space="0"/>
            </w:tcBorders>
            <w:shd w:val="clear" w:color="auto" w:fill="auto"/>
            <w:tcMar>
              <w:top w:w="15" w:type="dxa"/>
              <w:left w:w="108" w:type="dxa"/>
              <w:bottom w:w="0" w:type="dxa"/>
              <w:right w:w="108" w:type="dxa"/>
            </w:tcMar>
            <w:vAlign w:val="center"/>
          </w:tcPr>
          <w:p>
            <w:pPr>
              <w:widowControl/>
              <w:jc w:val="center"/>
              <w:rPr>
                <w:rFonts w:ascii="Times New Roman" w:hAnsi="Times New Roman" w:eastAsia="宋体" w:cs="Times New Roman"/>
                <w:kern w:val="0"/>
                <w:sz w:val="18"/>
                <w:szCs w:val="18"/>
              </w:rPr>
            </w:pPr>
            <w:r>
              <w:rPr>
                <w:rFonts w:ascii="Times New Roman" w:hAnsi="Times New Roman" w:eastAsia="宋体" w:cs="Times New Roman"/>
                <w:sz w:val="18"/>
                <w:szCs w:val="18"/>
              </w:rPr>
              <w:t>GB 5749-2006</w:t>
            </w:r>
          </w:p>
        </w:tc>
        <w:tc>
          <w:tcPr>
            <w:tcW w:w="1564" w:type="pct"/>
            <w:tcBorders>
              <w:top w:val="single" w:color="000000" w:sz="8" w:space="0"/>
              <w:left w:val="single" w:color="000000" w:sz="8" w:space="0"/>
              <w:bottom w:val="single" w:color="000000" w:sz="8" w:space="0"/>
              <w:right w:val="single" w:color="000000" w:sz="8" w:space="0"/>
            </w:tcBorders>
            <w:shd w:val="clear" w:color="auto" w:fill="auto"/>
            <w:tcMar>
              <w:top w:w="15" w:type="dxa"/>
              <w:left w:w="108" w:type="dxa"/>
              <w:bottom w:w="0" w:type="dxa"/>
              <w:right w:w="108" w:type="dxa"/>
            </w:tcMar>
            <w:vAlign w:val="center"/>
          </w:tcPr>
          <w:p>
            <w:pPr>
              <w:widowControl/>
              <w:jc w:val="center"/>
              <w:rPr>
                <w:rFonts w:ascii="Times New Roman" w:hAnsi="Times New Roman" w:eastAsia="宋体" w:cs="Times New Roman"/>
                <w:kern w:val="0"/>
                <w:sz w:val="18"/>
                <w:szCs w:val="18"/>
              </w:rPr>
            </w:pPr>
            <w:r>
              <w:rPr>
                <w:rFonts w:ascii="Times New Roman" w:hAnsi="Times New Roman" w:eastAsia="宋体" w:cs="Times New Roman"/>
                <w:sz w:val="18"/>
                <w:szCs w:val="18"/>
              </w:rPr>
              <w:t>250mg/L</w:t>
            </w:r>
          </w:p>
        </w:tc>
      </w:tr>
      <w:tr>
        <w:tblPrEx>
          <w:tblCellMar>
            <w:top w:w="0" w:type="dxa"/>
            <w:left w:w="0" w:type="dxa"/>
            <w:bottom w:w="0" w:type="dxa"/>
            <w:right w:w="0" w:type="dxa"/>
          </w:tblCellMar>
        </w:tblPrEx>
        <w:trPr>
          <w:trHeight w:val="392" w:hRule="atLeast"/>
        </w:trPr>
        <w:tc>
          <w:tcPr>
            <w:tcW w:w="2091" w:type="pct"/>
            <w:tcBorders>
              <w:top w:val="single" w:color="000000" w:sz="8" w:space="0"/>
              <w:left w:val="single" w:color="000000" w:sz="8" w:space="0"/>
              <w:bottom w:val="single" w:color="000000" w:sz="8" w:space="0"/>
              <w:right w:val="single" w:color="000000" w:sz="8" w:space="0"/>
            </w:tcBorders>
            <w:shd w:val="clear" w:color="auto" w:fill="auto"/>
            <w:tcMar>
              <w:top w:w="15" w:type="dxa"/>
              <w:left w:w="108" w:type="dxa"/>
              <w:bottom w:w="0" w:type="dxa"/>
              <w:right w:w="108" w:type="dxa"/>
            </w:tcMar>
            <w:vAlign w:val="center"/>
          </w:tcPr>
          <w:p>
            <w:pPr>
              <w:widowControl/>
              <w:jc w:val="center"/>
              <w:rPr>
                <w:rFonts w:ascii="宋体" w:hAnsi="宋体" w:eastAsia="宋体" w:cs="Times New Roman"/>
                <w:kern w:val="0"/>
                <w:sz w:val="18"/>
                <w:szCs w:val="18"/>
              </w:rPr>
            </w:pPr>
            <w:r>
              <w:rPr>
                <w:rFonts w:ascii="宋体" w:hAnsi="宋体" w:eastAsia="宋体" w:cs="Times New Roman"/>
                <w:sz w:val="18"/>
                <w:szCs w:val="18"/>
              </w:rPr>
              <w:t>农田灌溉水质标准</w:t>
            </w:r>
          </w:p>
        </w:tc>
        <w:tc>
          <w:tcPr>
            <w:tcW w:w="1345" w:type="pct"/>
            <w:tcBorders>
              <w:top w:val="single" w:color="000000" w:sz="8" w:space="0"/>
              <w:left w:val="single" w:color="000000" w:sz="8" w:space="0"/>
              <w:bottom w:val="single" w:color="000000" w:sz="8" w:space="0"/>
              <w:right w:val="single" w:color="000000" w:sz="8" w:space="0"/>
            </w:tcBorders>
            <w:shd w:val="clear" w:color="auto" w:fill="auto"/>
            <w:tcMar>
              <w:top w:w="15" w:type="dxa"/>
              <w:left w:w="108" w:type="dxa"/>
              <w:bottom w:w="0" w:type="dxa"/>
              <w:right w:w="108" w:type="dxa"/>
            </w:tcMar>
            <w:vAlign w:val="center"/>
          </w:tcPr>
          <w:p>
            <w:pPr>
              <w:widowControl/>
              <w:jc w:val="center"/>
              <w:rPr>
                <w:rFonts w:ascii="Times New Roman" w:hAnsi="Times New Roman" w:eastAsia="宋体" w:cs="Times New Roman"/>
                <w:kern w:val="0"/>
                <w:sz w:val="18"/>
                <w:szCs w:val="18"/>
              </w:rPr>
            </w:pPr>
            <w:r>
              <w:rPr>
                <w:rFonts w:ascii="Times New Roman" w:hAnsi="Times New Roman" w:eastAsia="宋体" w:cs="Times New Roman"/>
                <w:sz w:val="18"/>
                <w:szCs w:val="18"/>
              </w:rPr>
              <w:t>GB 5084-2020</w:t>
            </w:r>
          </w:p>
        </w:tc>
        <w:tc>
          <w:tcPr>
            <w:tcW w:w="1564" w:type="pct"/>
            <w:tcBorders>
              <w:top w:val="single" w:color="000000" w:sz="8" w:space="0"/>
              <w:left w:val="single" w:color="000000" w:sz="8" w:space="0"/>
              <w:bottom w:val="single" w:color="000000" w:sz="8" w:space="0"/>
              <w:right w:val="single" w:color="000000" w:sz="8" w:space="0"/>
            </w:tcBorders>
            <w:shd w:val="clear" w:color="auto" w:fill="auto"/>
            <w:tcMar>
              <w:top w:w="15" w:type="dxa"/>
              <w:left w:w="108" w:type="dxa"/>
              <w:bottom w:w="0" w:type="dxa"/>
              <w:right w:w="108" w:type="dxa"/>
            </w:tcMar>
            <w:vAlign w:val="center"/>
          </w:tcPr>
          <w:p>
            <w:pPr>
              <w:widowControl/>
              <w:jc w:val="center"/>
              <w:rPr>
                <w:rFonts w:ascii="Times New Roman" w:hAnsi="Times New Roman" w:eastAsia="宋体" w:cs="Times New Roman"/>
                <w:kern w:val="0"/>
                <w:sz w:val="18"/>
                <w:szCs w:val="18"/>
              </w:rPr>
            </w:pPr>
            <w:r>
              <w:rPr>
                <w:rFonts w:ascii="Times New Roman" w:hAnsi="Times New Roman" w:eastAsia="宋体" w:cs="Times New Roman"/>
                <w:sz w:val="18"/>
                <w:szCs w:val="18"/>
              </w:rPr>
              <w:t>350mg/L</w:t>
            </w:r>
          </w:p>
        </w:tc>
      </w:tr>
      <w:tr>
        <w:tblPrEx>
          <w:tblCellMar>
            <w:top w:w="0" w:type="dxa"/>
            <w:left w:w="0" w:type="dxa"/>
            <w:bottom w:w="0" w:type="dxa"/>
            <w:right w:w="0" w:type="dxa"/>
          </w:tblCellMar>
        </w:tblPrEx>
        <w:trPr>
          <w:trHeight w:val="540" w:hRule="atLeast"/>
        </w:trPr>
        <w:tc>
          <w:tcPr>
            <w:tcW w:w="2091" w:type="pct"/>
            <w:tcBorders>
              <w:top w:val="single" w:color="000000" w:sz="8" w:space="0"/>
              <w:left w:val="single" w:color="000000" w:sz="8" w:space="0"/>
              <w:bottom w:val="single" w:color="000000" w:sz="8" w:space="0"/>
              <w:right w:val="single" w:color="000000" w:sz="8" w:space="0"/>
            </w:tcBorders>
            <w:shd w:val="clear" w:color="auto" w:fill="auto"/>
            <w:tcMar>
              <w:top w:w="15" w:type="dxa"/>
              <w:left w:w="108" w:type="dxa"/>
              <w:bottom w:w="0" w:type="dxa"/>
              <w:right w:w="108" w:type="dxa"/>
            </w:tcMar>
            <w:vAlign w:val="center"/>
          </w:tcPr>
          <w:p>
            <w:pPr>
              <w:widowControl/>
              <w:jc w:val="center"/>
              <w:rPr>
                <w:rFonts w:ascii="宋体" w:hAnsi="宋体" w:eastAsia="宋体" w:cs="Times New Roman"/>
                <w:kern w:val="0"/>
                <w:sz w:val="18"/>
                <w:szCs w:val="18"/>
              </w:rPr>
            </w:pPr>
            <w:r>
              <w:rPr>
                <w:rFonts w:ascii="宋体" w:hAnsi="宋体" w:eastAsia="宋体" w:cs="Times New Roman"/>
                <w:sz w:val="18"/>
                <w:szCs w:val="18"/>
              </w:rPr>
              <w:t>地表水环境质量标准</w:t>
            </w:r>
          </w:p>
          <w:p>
            <w:pPr>
              <w:widowControl/>
              <w:jc w:val="center"/>
              <w:rPr>
                <w:rFonts w:ascii="宋体" w:hAnsi="宋体" w:eastAsia="宋体" w:cs="Times New Roman"/>
                <w:kern w:val="0"/>
                <w:sz w:val="18"/>
                <w:szCs w:val="18"/>
              </w:rPr>
            </w:pPr>
            <w:r>
              <w:rPr>
                <w:rFonts w:ascii="宋体" w:hAnsi="宋体" w:eastAsia="宋体" w:cs="Times New Roman"/>
                <w:sz w:val="18"/>
                <w:szCs w:val="18"/>
              </w:rPr>
              <w:t>集中式生活饮用水地表水源地补充项目</w:t>
            </w:r>
          </w:p>
        </w:tc>
        <w:tc>
          <w:tcPr>
            <w:tcW w:w="1345" w:type="pct"/>
            <w:tcBorders>
              <w:top w:val="single" w:color="000000" w:sz="8" w:space="0"/>
              <w:left w:val="single" w:color="000000" w:sz="8" w:space="0"/>
              <w:bottom w:val="single" w:color="000000" w:sz="8" w:space="0"/>
              <w:right w:val="single" w:color="000000" w:sz="8" w:space="0"/>
            </w:tcBorders>
            <w:shd w:val="clear" w:color="auto" w:fill="auto"/>
            <w:tcMar>
              <w:top w:w="15" w:type="dxa"/>
              <w:left w:w="108" w:type="dxa"/>
              <w:bottom w:w="0" w:type="dxa"/>
              <w:right w:w="108" w:type="dxa"/>
            </w:tcMar>
            <w:vAlign w:val="center"/>
          </w:tcPr>
          <w:p>
            <w:pPr>
              <w:widowControl/>
              <w:jc w:val="center"/>
              <w:rPr>
                <w:rFonts w:ascii="Times New Roman" w:hAnsi="Times New Roman" w:eastAsia="宋体" w:cs="Times New Roman"/>
                <w:kern w:val="0"/>
                <w:sz w:val="18"/>
                <w:szCs w:val="18"/>
              </w:rPr>
            </w:pPr>
            <w:r>
              <w:rPr>
                <w:rFonts w:ascii="Times New Roman" w:hAnsi="Times New Roman" w:eastAsia="宋体" w:cs="Times New Roman"/>
                <w:sz w:val="18"/>
                <w:szCs w:val="18"/>
              </w:rPr>
              <w:t>GB 3838-2002</w:t>
            </w:r>
          </w:p>
        </w:tc>
        <w:tc>
          <w:tcPr>
            <w:tcW w:w="1564" w:type="pct"/>
            <w:tcBorders>
              <w:top w:val="single" w:color="000000" w:sz="8" w:space="0"/>
              <w:left w:val="single" w:color="000000" w:sz="8" w:space="0"/>
              <w:bottom w:val="single" w:color="000000" w:sz="8" w:space="0"/>
              <w:right w:val="single" w:color="000000" w:sz="8" w:space="0"/>
            </w:tcBorders>
            <w:shd w:val="clear" w:color="auto" w:fill="auto"/>
            <w:tcMar>
              <w:top w:w="15" w:type="dxa"/>
              <w:left w:w="108" w:type="dxa"/>
              <w:bottom w:w="0" w:type="dxa"/>
              <w:right w:w="108" w:type="dxa"/>
            </w:tcMar>
            <w:vAlign w:val="center"/>
          </w:tcPr>
          <w:p>
            <w:pPr>
              <w:widowControl/>
              <w:jc w:val="center"/>
              <w:rPr>
                <w:rFonts w:ascii="Times New Roman" w:hAnsi="Times New Roman" w:eastAsia="宋体" w:cs="Times New Roman"/>
                <w:kern w:val="0"/>
                <w:sz w:val="18"/>
                <w:szCs w:val="18"/>
              </w:rPr>
            </w:pPr>
            <w:r>
              <w:rPr>
                <w:rFonts w:ascii="Times New Roman" w:hAnsi="Times New Roman" w:eastAsia="宋体" w:cs="Times New Roman"/>
                <w:sz w:val="18"/>
                <w:szCs w:val="18"/>
              </w:rPr>
              <w:t>250mg/L</w:t>
            </w:r>
          </w:p>
        </w:tc>
      </w:tr>
      <w:tr>
        <w:tblPrEx>
          <w:tblCellMar>
            <w:top w:w="0" w:type="dxa"/>
            <w:left w:w="0" w:type="dxa"/>
            <w:bottom w:w="0" w:type="dxa"/>
            <w:right w:w="0" w:type="dxa"/>
          </w:tblCellMar>
        </w:tblPrEx>
        <w:trPr>
          <w:trHeight w:val="310" w:hRule="atLeast"/>
        </w:trPr>
        <w:tc>
          <w:tcPr>
            <w:tcW w:w="2091" w:type="pct"/>
            <w:tcBorders>
              <w:top w:val="single" w:color="000000" w:sz="8" w:space="0"/>
              <w:left w:val="single" w:color="000000" w:sz="8" w:space="0"/>
              <w:bottom w:val="single" w:color="000000" w:sz="8" w:space="0"/>
              <w:right w:val="single" w:color="000000" w:sz="8" w:space="0"/>
            </w:tcBorders>
            <w:shd w:val="clear" w:color="auto" w:fill="auto"/>
            <w:tcMar>
              <w:top w:w="15" w:type="dxa"/>
              <w:left w:w="108" w:type="dxa"/>
              <w:bottom w:w="0" w:type="dxa"/>
              <w:right w:w="108" w:type="dxa"/>
            </w:tcMar>
            <w:vAlign w:val="center"/>
          </w:tcPr>
          <w:p>
            <w:pPr>
              <w:widowControl/>
              <w:jc w:val="center"/>
              <w:rPr>
                <w:rFonts w:ascii="宋体" w:hAnsi="宋体" w:eastAsia="宋体" w:cs="Times New Roman"/>
                <w:kern w:val="0"/>
                <w:sz w:val="18"/>
                <w:szCs w:val="18"/>
              </w:rPr>
            </w:pPr>
            <w:r>
              <w:rPr>
                <w:rFonts w:ascii="宋体" w:hAnsi="宋体" w:eastAsia="宋体" w:cs="Times New Roman"/>
                <w:sz w:val="18"/>
                <w:szCs w:val="18"/>
              </w:rPr>
              <w:t>地下水质量标准</w:t>
            </w:r>
          </w:p>
        </w:tc>
        <w:tc>
          <w:tcPr>
            <w:tcW w:w="1345" w:type="pct"/>
            <w:tcBorders>
              <w:top w:val="single" w:color="000000" w:sz="8" w:space="0"/>
              <w:left w:val="single" w:color="000000" w:sz="8" w:space="0"/>
              <w:bottom w:val="single" w:color="000000" w:sz="8" w:space="0"/>
              <w:right w:val="single" w:color="000000" w:sz="8" w:space="0"/>
            </w:tcBorders>
            <w:shd w:val="clear" w:color="auto" w:fill="auto"/>
            <w:tcMar>
              <w:top w:w="15" w:type="dxa"/>
              <w:left w:w="108" w:type="dxa"/>
              <w:bottom w:w="0" w:type="dxa"/>
              <w:right w:w="108" w:type="dxa"/>
            </w:tcMar>
            <w:vAlign w:val="center"/>
          </w:tcPr>
          <w:p>
            <w:pPr>
              <w:widowControl/>
              <w:jc w:val="center"/>
              <w:rPr>
                <w:rFonts w:ascii="Times New Roman" w:hAnsi="Times New Roman" w:eastAsia="宋体" w:cs="Times New Roman"/>
                <w:kern w:val="0"/>
                <w:sz w:val="18"/>
                <w:szCs w:val="18"/>
              </w:rPr>
            </w:pPr>
            <w:r>
              <w:rPr>
                <w:rFonts w:ascii="Times New Roman" w:hAnsi="Times New Roman" w:eastAsia="宋体" w:cs="Times New Roman"/>
                <w:sz w:val="18"/>
                <w:szCs w:val="18"/>
              </w:rPr>
              <w:t>GB/T 14848-2017</w:t>
            </w:r>
          </w:p>
        </w:tc>
        <w:tc>
          <w:tcPr>
            <w:tcW w:w="1564" w:type="pct"/>
            <w:tcBorders>
              <w:top w:val="single" w:color="000000" w:sz="8" w:space="0"/>
              <w:left w:val="single" w:color="000000" w:sz="8" w:space="0"/>
              <w:bottom w:val="single" w:color="000000" w:sz="8" w:space="0"/>
              <w:right w:val="single" w:color="000000" w:sz="8" w:space="0"/>
            </w:tcBorders>
            <w:shd w:val="clear" w:color="auto" w:fill="auto"/>
            <w:tcMar>
              <w:top w:w="15" w:type="dxa"/>
              <w:left w:w="108" w:type="dxa"/>
              <w:bottom w:w="0" w:type="dxa"/>
              <w:right w:w="108" w:type="dxa"/>
            </w:tcMar>
            <w:vAlign w:val="center"/>
          </w:tcPr>
          <w:p>
            <w:pPr>
              <w:widowControl/>
              <w:jc w:val="center"/>
              <w:rPr>
                <w:rFonts w:ascii="Times New Roman" w:hAnsi="Times New Roman" w:eastAsia="宋体" w:cs="Times New Roman"/>
                <w:kern w:val="0"/>
                <w:sz w:val="18"/>
                <w:szCs w:val="18"/>
              </w:rPr>
            </w:pPr>
            <w:r>
              <w:rPr>
                <w:rFonts w:ascii="宋体" w:hAnsi="宋体" w:eastAsia="宋体" w:cs="Times New Roman"/>
                <w:sz w:val="18"/>
                <w:szCs w:val="18"/>
              </w:rPr>
              <w:t>Ⅰ</w:t>
            </w:r>
            <w:r>
              <w:rPr>
                <w:rFonts w:ascii="Times New Roman" w:hAnsi="Times New Roman" w:eastAsia="宋体" w:cs="Times New Roman"/>
                <w:sz w:val="18"/>
                <w:szCs w:val="18"/>
              </w:rPr>
              <w:t>-</w:t>
            </w:r>
            <w:r>
              <w:rPr>
                <w:rFonts w:ascii="宋体" w:hAnsi="宋体" w:eastAsia="宋体" w:cs="Times New Roman"/>
                <w:sz w:val="18"/>
                <w:szCs w:val="18"/>
              </w:rPr>
              <w:t>Ⅴ</w:t>
            </w:r>
            <w:r>
              <w:rPr>
                <w:rFonts w:ascii="Times New Roman" w:hAnsi="宋体" w:eastAsia="宋体" w:cs="Times New Roman"/>
                <w:sz w:val="18"/>
                <w:szCs w:val="18"/>
              </w:rPr>
              <w:t>级，</w:t>
            </w:r>
            <w:r>
              <w:rPr>
                <w:rFonts w:ascii="Times New Roman" w:hAnsi="Times New Roman" w:eastAsia="宋体" w:cs="Times New Roman"/>
                <w:sz w:val="18"/>
                <w:szCs w:val="18"/>
              </w:rPr>
              <w:t xml:space="preserve"> 50-350mg/L</w:t>
            </w:r>
          </w:p>
        </w:tc>
      </w:tr>
      <w:tr>
        <w:tblPrEx>
          <w:tblCellMar>
            <w:top w:w="0" w:type="dxa"/>
            <w:left w:w="0" w:type="dxa"/>
            <w:bottom w:w="0" w:type="dxa"/>
            <w:right w:w="0" w:type="dxa"/>
          </w:tblCellMar>
        </w:tblPrEx>
        <w:trPr>
          <w:trHeight w:val="1004" w:hRule="atLeast"/>
        </w:trPr>
        <w:tc>
          <w:tcPr>
            <w:tcW w:w="2091" w:type="pct"/>
            <w:tcBorders>
              <w:top w:val="single" w:color="000000" w:sz="8" w:space="0"/>
              <w:left w:val="single" w:color="000000" w:sz="8" w:space="0"/>
              <w:bottom w:val="single" w:color="000000" w:sz="8" w:space="0"/>
              <w:right w:val="single" w:color="000000" w:sz="8" w:space="0"/>
            </w:tcBorders>
            <w:shd w:val="clear" w:color="auto" w:fill="auto"/>
            <w:tcMar>
              <w:top w:w="15" w:type="dxa"/>
              <w:left w:w="108" w:type="dxa"/>
              <w:bottom w:w="0" w:type="dxa"/>
              <w:right w:w="108" w:type="dxa"/>
            </w:tcMar>
            <w:vAlign w:val="center"/>
          </w:tcPr>
          <w:p>
            <w:pPr>
              <w:widowControl/>
              <w:jc w:val="center"/>
              <w:rPr>
                <w:rFonts w:ascii="宋体" w:hAnsi="宋体" w:eastAsia="宋体" w:cs="Times New Roman"/>
                <w:kern w:val="0"/>
                <w:sz w:val="18"/>
                <w:szCs w:val="18"/>
              </w:rPr>
            </w:pPr>
            <w:r>
              <w:rPr>
                <w:rFonts w:ascii="宋体" w:hAnsi="宋体" w:eastAsia="宋体" w:cs="Times New Roman"/>
                <w:sz w:val="18"/>
                <w:szCs w:val="18"/>
              </w:rPr>
              <w:t>污水排入城镇下水道水质标准</w:t>
            </w:r>
          </w:p>
        </w:tc>
        <w:tc>
          <w:tcPr>
            <w:tcW w:w="1345" w:type="pct"/>
            <w:tcBorders>
              <w:top w:val="single" w:color="000000" w:sz="8" w:space="0"/>
              <w:left w:val="single" w:color="000000" w:sz="8" w:space="0"/>
              <w:bottom w:val="single" w:color="000000" w:sz="8" w:space="0"/>
              <w:right w:val="single" w:color="000000" w:sz="8" w:space="0"/>
            </w:tcBorders>
            <w:shd w:val="clear" w:color="auto" w:fill="auto"/>
            <w:tcMar>
              <w:top w:w="15" w:type="dxa"/>
              <w:left w:w="108" w:type="dxa"/>
              <w:bottom w:w="0" w:type="dxa"/>
              <w:right w:w="108" w:type="dxa"/>
            </w:tcMar>
            <w:vAlign w:val="center"/>
          </w:tcPr>
          <w:p>
            <w:pPr>
              <w:widowControl/>
              <w:jc w:val="center"/>
              <w:rPr>
                <w:rFonts w:ascii="Times New Roman" w:hAnsi="Times New Roman" w:eastAsia="宋体" w:cs="Times New Roman"/>
                <w:kern w:val="0"/>
                <w:sz w:val="18"/>
                <w:szCs w:val="18"/>
              </w:rPr>
            </w:pPr>
            <w:r>
              <w:rPr>
                <w:rFonts w:ascii="Times New Roman" w:hAnsi="Times New Roman" w:eastAsia="宋体" w:cs="Times New Roman"/>
                <w:sz w:val="18"/>
                <w:szCs w:val="18"/>
              </w:rPr>
              <w:t>GB/T 31962-2015</w:t>
            </w:r>
          </w:p>
        </w:tc>
        <w:tc>
          <w:tcPr>
            <w:tcW w:w="1564" w:type="pct"/>
            <w:tcBorders>
              <w:top w:val="single" w:color="000000" w:sz="8" w:space="0"/>
              <w:left w:val="single" w:color="000000" w:sz="8" w:space="0"/>
              <w:bottom w:val="single" w:color="000000" w:sz="8" w:space="0"/>
              <w:right w:val="single" w:color="000000" w:sz="8" w:space="0"/>
            </w:tcBorders>
            <w:shd w:val="clear" w:color="auto" w:fill="auto"/>
            <w:tcMar>
              <w:top w:w="15" w:type="dxa"/>
              <w:left w:w="108" w:type="dxa"/>
              <w:bottom w:w="0" w:type="dxa"/>
              <w:right w:w="108" w:type="dxa"/>
            </w:tcMar>
            <w:vAlign w:val="center"/>
          </w:tcPr>
          <w:p>
            <w:pPr>
              <w:widowControl/>
              <w:jc w:val="center"/>
              <w:rPr>
                <w:rFonts w:ascii="Times New Roman" w:hAnsi="Times New Roman" w:eastAsia="宋体" w:cs="Times New Roman"/>
                <w:kern w:val="0"/>
                <w:sz w:val="18"/>
                <w:szCs w:val="18"/>
              </w:rPr>
            </w:pPr>
            <w:r>
              <w:rPr>
                <w:rFonts w:ascii="Times New Roman" w:hAnsi="Times New Roman" w:eastAsia="宋体" w:cs="Times New Roman"/>
                <w:sz w:val="18"/>
                <w:szCs w:val="18"/>
              </w:rPr>
              <w:t>A</w:t>
            </w:r>
            <w:r>
              <w:rPr>
                <w:rFonts w:ascii="Times New Roman" w:hAnsi="宋体" w:eastAsia="宋体" w:cs="Times New Roman"/>
                <w:sz w:val="18"/>
                <w:szCs w:val="18"/>
              </w:rPr>
              <w:t>级，</w:t>
            </w:r>
            <w:r>
              <w:rPr>
                <w:rFonts w:ascii="Times New Roman" w:hAnsi="Times New Roman" w:eastAsia="宋体" w:cs="Times New Roman"/>
                <w:sz w:val="18"/>
                <w:szCs w:val="18"/>
              </w:rPr>
              <w:t>500mg/L</w:t>
            </w:r>
          </w:p>
          <w:p>
            <w:pPr>
              <w:widowControl/>
              <w:jc w:val="center"/>
              <w:rPr>
                <w:rFonts w:ascii="Times New Roman" w:hAnsi="Times New Roman" w:eastAsia="宋体" w:cs="Times New Roman"/>
                <w:kern w:val="0"/>
                <w:sz w:val="18"/>
                <w:szCs w:val="18"/>
              </w:rPr>
            </w:pPr>
            <w:r>
              <w:rPr>
                <w:rFonts w:ascii="Times New Roman" w:hAnsi="Times New Roman" w:eastAsia="宋体" w:cs="Times New Roman"/>
                <w:sz w:val="18"/>
                <w:szCs w:val="18"/>
              </w:rPr>
              <w:t>B</w:t>
            </w:r>
            <w:r>
              <w:rPr>
                <w:rFonts w:ascii="Times New Roman" w:hAnsi="宋体" w:eastAsia="宋体" w:cs="Times New Roman"/>
                <w:sz w:val="18"/>
                <w:szCs w:val="18"/>
              </w:rPr>
              <w:t>级，</w:t>
            </w:r>
            <w:r>
              <w:rPr>
                <w:rFonts w:ascii="Times New Roman" w:hAnsi="Times New Roman" w:eastAsia="宋体" w:cs="Times New Roman"/>
                <w:sz w:val="18"/>
                <w:szCs w:val="18"/>
              </w:rPr>
              <w:t>600mg/L</w:t>
            </w:r>
          </w:p>
          <w:p>
            <w:pPr>
              <w:widowControl/>
              <w:jc w:val="center"/>
              <w:rPr>
                <w:rFonts w:ascii="Times New Roman" w:hAnsi="Times New Roman" w:eastAsia="宋体" w:cs="Times New Roman"/>
                <w:kern w:val="0"/>
                <w:sz w:val="18"/>
                <w:szCs w:val="18"/>
              </w:rPr>
            </w:pPr>
            <w:r>
              <w:rPr>
                <w:rFonts w:ascii="Times New Roman" w:hAnsi="Times New Roman" w:eastAsia="宋体" w:cs="Times New Roman"/>
                <w:sz w:val="18"/>
                <w:szCs w:val="18"/>
              </w:rPr>
              <w:t>C</w:t>
            </w:r>
            <w:r>
              <w:rPr>
                <w:rFonts w:ascii="Times New Roman" w:hAnsi="宋体" w:eastAsia="宋体" w:cs="Times New Roman"/>
                <w:sz w:val="18"/>
                <w:szCs w:val="18"/>
              </w:rPr>
              <w:t>级，</w:t>
            </w:r>
            <w:r>
              <w:rPr>
                <w:rFonts w:ascii="Times New Roman" w:hAnsi="Times New Roman" w:eastAsia="宋体" w:cs="Times New Roman"/>
                <w:sz w:val="18"/>
                <w:szCs w:val="18"/>
              </w:rPr>
              <w:t>800mg/L</w:t>
            </w:r>
          </w:p>
        </w:tc>
      </w:tr>
    </w:tbl>
    <w:p>
      <w:pPr>
        <w:spacing w:line="440" w:lineRule="exact"/>
        <w:ind w:firstLine="420" w:firstLineChars="200"/>
        <w:jc w:val="left"/>
        <w:rPr>
          <w:rFonts w:ascii="Times New Roman" w:hAnsi="Times New Roman" w:eastAsia="宋体" w:cs="Times New Roman"/>
          <w:szCs w:val="22"/>
        </w:rPr>
      </w:pPr>
      <w:r>
        <w:rPr>
          <w:rFonts w:ascii="Times New Roman" w:hAnsi="Times New Roman" w:eastAsia="宋体" w:cs="Times New Roman"/>
          <w:szCs w:val="22"/>
        </w:rPr>
        <w:t>我国现有的涉及氯化物排放浓度限值的行业标准有《皂素工业水污染物排放标准》（GB20425-2006）、《制革及毛皮加工工业水污染物排放标准》（GB30486-2013）</w:t>
      </w:r>
      <w:r>
        <w:rPr>
          <w:rFonts w:hint="eastAsia" w:ascii="Times New Roman" w:hAnsi="Times New Roman" w:eastAsia="宋体" w:cs="Times New Roman"/>
          <w:szCs w:val="22"/>
        </w:rPr>
        <w:t>和</w:t>
      </w:r>
      <w:r>
        <w:rPr>
          <w:rFonts w:ascii="Times New Roman" w:hAnsi="Times New Roman" w:eastAsia="宋体" w:cs="Times New Roman"/>
          <w:szCs w:val="22"/>
        </w:rPr>
        <w:t>《钒工业污染物排放标准》（GB26452 -2011）。这三项国家行业排放标准不仅仅规定了相应行业污水中的氯化物浓度的间接、直接以及特殊排放限值，还规定了相应行业单位产品基准排水量，具体情况见表</w:t>
      </w:r>
      <w:r>
        <w:rPr>
          <w:rFonts w:hint="eastAsia" w:ascii="Times New Roman" w:hAnsi="Times New Roman" w:eastAsia="宋体" w:cs="Times New Roman"/>
          <w:szCs w:val="22"/>
        </w:rPr>
        <w:t>5</w:t>
      </w:r>
      <w:r>
        <w:rPr>
          <w:rFonts w:ascii="Times New Roman" w:hAnsi="Times New Roman" w:eastAsia="宋体" w:cs="Times New Roman"/>
          <w:szCs w:val="22"/>
        </w:rPr>
        <w:t>-</w:t>
      </w:r>
      <w:r>
        <w:rPr>
          <w:rFonts w:hint="eastAsia" w:ascii="Times New Roman" w:hAnsi="Times New Roman" w:eastAsia="宋体" w:cs="Times New Roman"/>
          <w:szCs w:val="22"/>
        </w:rPr>
        <w:t>4</w:t>
      </w:r>
      <w:r>
        <w:rPr>
          <w:rFonts w:ascii="Times New Roman" w:hAnsi="Times New Roman" w:eastAsia="宋体" w:cs="Times New Roman"/>
          <w:szCs w:val="22"/>
        </w:rPr>
        <w:t>。</w:t>
      </w:r>
    </w:p>
    <w:p>
      <w:pPr>
        <w:spacing w:line="360" w:lineRule="auto"/>
        <w:jc w:val="left"/>
        <w:rPr>
          <w:rFonts w:ascii="Times New Roman" w:hAnsi="Times New Roman" w:eastAsia="黑体" w:cs="Times New Roman"/>
          <w:szCs w:val="21"/>
        </w:rPr>
        <w:sectPr>
          <w:pgSz w:w="11906" w:h="16838"/>
          <w:pgMar w:top="1440" w:right="1800" w:bottom="1440" w:left="1800" w:header="851" w:footer="992" w:gutter="0"/>
          <w:cols w:space="425" w:num="1"/>
          <w:docGrid w:type="lines" w:linePitch="381" w:charSpace="0"/>
        </w:sectPr>
      </w:pPr>
    </w:p>
    <w:p>
      <w:pPr>
        <w:spacing w:line="440" w:lineRule="exact"/>
        <w:ind w:firstLine="420" w:firstLineChars="200"/>
        <w:jc w:val="center"/>
        <w:rPr>
          <w:rFonts w:ascii="Times New Roman" w:hAnsi="Times New Roman" w:eastAsia="宋体" w:cs="Times New Roman"/>
          <w:b/>
        </w:rPr>
      </w:pPr>
      <w:r>
        <w:rPr>
          <w:rFonts w:ascii="Times New Roman" w:hAnsi="Times New Roman" w:eastAsia="宋体" w:cs="Times New Roman"/>
          <w:b/>
        </w:rPr>
        <w:t>表</w:t>
      </w:r>
      <w:r>
        <w:rPr>
          <w:rFonts w:hint="eastAsia" w:ascii="Times New Roman" w:hAnsi="Times New Roman" w:eastAsia="宋体" w:cs="Times New Roman"/>
          <w:b/>
        </w:rPr>
        <w:t>5</w:t>
      </w:r>
      <w:r>
        <w:rPr>
          <w:rFonts w:ascii="Times New Roman" w:hAnsi="Times New Roman" w:eastAsia="宋体" w:cs="Times New Roman"/>
          <w:b/>
        </w:rPr>
        <w:t>-</w:t>
      </w:r>
      <w:r>
        <w:rPr>
          <w:rFonts w:hint="eastAsia" w:ascii="Times New Roman" w:hAnsi="Times New Roman" w:eastAsia="宋体" w:cs="Times New Roman"/>
          <w:b/>
        </w:rPr>
        <w:t xml:space="preserve">4 </w:t>
      </w:r>
      <w:r>
        <w:rPr>
          <w:rFonts w:ascii="Times New Roman" w:hAnsi="Times New Roman" w:eastAsia="宋体" w:cs="Times New Roman"/>
          <w:b/>
        </w:rPr>
        <w:t>各行业氯化物排放限值及单位产品基准排水量</w:t>
      </w:r>
    </w:p>
    <w:tbl>
      <w:tblPr>
        <w:tblStyle w:val="25"/>
        <w:tblW w:w="15302" w:type="dxa"/>
        <w:tblInd w:w="-60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694"/>
        <w:gridCol w:w="1417"/>
        <w:gridCol w:w="1418"/>
        <w:gridCol w:w="917"/>
        <w:gridCol w:w="836"/>
        <w:gridCol w:w="90"/>
        <w:gridCol w:w="684"/>
        <w:gridCol w:w="553"/>
        <w:gridCol w:w="180"/>
        <w:gridCol w:w="709"/>
        <w:gridCol w:w="142"/>
        <w:gridCol w:w="766"/>
        <w:gridCol w:w="930"/>
        <w:gridCol w:w="962"/>
        <w:gridCol w:w="602"/>
        <w:gridCol w:w="544"/>
        <w:gridCol w:w="23"/>
        <w:gridCol w:w="925"/>
        <w:gridCol w:w="91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94" w:type="dxa"/>
            <w:vMerge w:val="restart"/>
            <w:vAlign w:val="center"/>
          </w:tcPr>
          <w:p>
            <w:pPr>
              <w:jc w:val="center"/>
              <w:rPr>
                <w:rFonts w:ascii="Times New Roman" w:hAnsi="Times New Roman" w:eastAsia="宋体" w:cs="Times New Roman"/>
                <w:b/>
                <w:sz w:val="18"/>
                <w:szCs w:val="22"/>
                <w:shd w:val="clear" w:color="auto" w:fill="FFFFFF"/>
              </w:rPr>
            </w:pPr>
            <w:r>
              <w:rPr>
                <w:rFonts w:ascii="Times New Roman" w:hAnsi="Times New Roman" w:eastAsia="宋体" w:cs="Times New Roman"/>
                <w:b/>
                <w:sz w:val="18"/>
                <w:szCs w:val="22"/>
                <w:shd w:val="clear" w:color="auto" w:fill="FFFFFF"/>
              </w:rPr>
              <w:t>标准名称</w:t>
            </w:r>
          </w:p>
        </w:tc>
        <w:tc>
          <w:tcPr>
            <w:tcW w:w="1417" w:type="dxa"/>
            <w:vMerge w:val="restart"/>
            <w:vAlign w:val="center"/>
          </w:tcPr>
          <w:p>
            <w:pPr>
              <w:jc w:val="center"/>
              <w:rPr>
                <w:rFonts w:ascii="Times New Roman" w:hAnsi="Times New Roman" w:eastAsia="宋体" w:cs="Times New Roman"/>
                <w:b/>
                <w:sz w:val="18"/>
                <w:szCs w:val="22"/>
                <w:shd w:val="clear" w:color="auto" w:fill="FFFFFF"/>
              </w:rPr>
            </w:pPr>
            <w:r>
              <w:rPr>
                <w:rFonts w:ascii="Times New Roman" w:hAnsi="Times New Roman" w:eastAsia="宋体" w:cs="Times New Roman"/>
                <w:b/>
                <w:sz w:val="18"/>
                <w:szCs w:val="22"/>
                <w:shd w:val="clear" w:color="auto" w:fill="FFFFFF"/>
              </w:rPr>
              <w:t>编号</w:t>
            </w:r>
          </w:p>
        </w:tc>
        <w:tc>
          <w:tcPr>
            <w:tcW w:w="1418" w:type="dxa"/>
            <w:vMerge w:val="restart"/>
            <w:vAlign w:val="center"/>
          </w:tcPr>
          <w:p>
            <w:pPr>
              <w:jc w:val="center"/>
              <w:rPr>
                <w:rFonts w:ascii="Times New Roman" w:hAnsi="Times New Roman" w:eastAsia="宋体" w:cs="Times New Roman"/>
                <w:b/>
                <w:sz w:val="18"/>
                <w:szCs w:val="22"/>
                <w:shd w:val="clear" w:color="auto" w:fill="FFFFFF"/>
              </w:rPr>
            </w:pPr>
            <w:r>
              <w:rPr>
                <w:rFonts w:ascii="Times New Roman" w:hAnsi="Times New Roman" w:eastAsia="宋体" w:cs="Times New Roman"/>
                <w:b/>
                <w:sz w:val="18"/>
                <w:szCs w:val="22"/>
                <w:shd w:val="clear" w:color="auto" w:fill="FFFFFF"/>
              </w:rPr>
              <w:t>行业</w:t>
            </w:r>
          </w:p>
        </w:tc>
        <w:tc>
          <w:tcPr>
            <w:tcW w:w="4877" w:type="dxa"/>
            <w:gridSpan w:val="9"/>
            <w:vAlign w:val="center"/>
          </w:tcPr>
          <w:p>
            <w:pPr>
              <w:jc w:val="center"/>
              <w:rPr>
                <w:rFonts w:ascii="Times New Roman" w:hAnsi="Times New Roman" w:eastAsia="宋体" w:cs="Times New Roman"/>
                <w:b/>
                <w:sz w:val="18"/>
                <w:szCs w:val="22"/>
                <w:shd w:val="clear" w:color="auto" w:fill="FFFFFF"/>
              </w:rPr>
            </w:pPr>
            <w:r>
              <w:rPr>
                <w:rFonts w:ascii="Times New Roman" w:hAnsi="Times New Roman" w:eastAsia="宋体" w:cs="Times New Roman"/>
                <w:b/>
                <w:sz w:val="18"/>
                <w:szCs w:val="22"/>
                <w:shd w:val="clear" w:color="auto" w:fill="FFFFFF"/>
              </w:rPr>
              <w:t>现有企业</w:t>
            </w:r>
          </w:p>
        </w:tc>
        <w:tc>
          <w:tcPr>
            <w:tcW w:w="4896" w:type="dxa"/>
            <w:gridSpan w:val="7"/>
            <w:vAlign w:val="center"/>
          </w:tcPr>
          <w:p>
            <w:pPr>
              <w:jc w:val="center"/>
              <w:rPr>
                <w:rFonts w:ascii="Times New Roman" w:hAnsi="Times New Roman" w:eastAsia="宋体" w:cs="Times New Roman"/>
                <w:b/>
                <w:sz w:val="18"/>
                <w:szCs w:val="22"/>
                <w:shd w:val="clear" w:color="auto" w:fill="FFFFFF"/>
              </w:rPr>
            </w:pPr>
            <w:r>
              <w:rPr>
                <w:rFonts w:ascii="Times New Roman" w:hAnsi="Times New Roman" w:eastAsia="宋体" w:cs="Times New Roman"/>
                <w:b/>
                <w:sz w:val="18"/>
                <w:szCs w:val="22"/>
                <w:shd w:val="clear" w:color="auto" w:fill="FFFFFF"/>
              </w:rPr>
              <w:t>新建企业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94" w:type="dxa"/>
            <w:vMerge w:val="continue"/>
            <w:vAlign w:val="center"/>
          </w:tcPr>
          <w:p>
            <w:pPr>
              <w:jc w:val="center"/>
              <w:rPr>
                <w:rFonts w:ascii="Times New Roman" w:hAnsi="Times New Roman" w:eastAsia="宋体" w:cs="Times New Roman"/>
                <w:b/>
                <w:sz w:val="18"/>
                <w:szCs w:val="22"/>
                <w:shd w:val="clear" w:color="auto" w:fill="FFFFFF"/>
              </w:rPr>
            </w:pPr>
          </w:p>
        </w:tc>
        <w:tc>
          <w:tcPr>
            <w:tcW w:w="1417" w:type="dxa"/>
            <w:vMerge w:val="continue"/>
            <w:vAlign w:val="center"/>
          </w:tcPr>
          <w:p>
            <w:pPr>
              <w:jc w:val="center"/>
              <w:rPr>
                <w:rFonts w:ascii="Times New Roman" w:hAnsi="Times New Roman" w:eastAsia="宋体" w:cs="Times New Roman"/>
                <w:b/>
                <w:sz w:val="18"/>
                <w:szCs w:val="22"/>
                <w:shd w:val="clear" w:color="auto" w:fill="FFFFFF"/>
              </w:rPr>
            </w:pPr>
          </w:p>
        </w:tc>
        <w:tc>
          <w:tcPr>
            <w:tcW w:w="1418" w:type="dxa"/>
            <w:vMerge w:val="continue"/>
            <w:vAlign w:val="center"/>
          </w:tcPr>
          <w:p>
            <w:pPr>
              <w:jc w:val="center"/>
              <w:rPr>
                <w:rFonts w:ascii="Times New Roman" w:hAnsi="Times New Roman" w:eastAsia="宋体" w:cs="Times New Roman"/>
                <w:b/>
                <w:sz w:val="18"/>
                <w:szCs w:val="22"/>
                <w:shd w:val="clear" w:color="auto" w:fill="FFFFFF"/>
              </w:rPr>
            </w:pPr>
          </w:p>
        </w:tc>
        <w:tc>
          <w:tcPr>
            <w:tcW w:w="2527" w:type="dxa"/>
            <w:gridSpan w:val="4"/>
            <w:vAlign w:val="center"/>
          </w:tcPr>
          <w:p>
            <w:pPr>
              <w:jc w:val="center"/>
              <w:rPr>
                <w:rFonts w:ascii="Times New Roman" w:hAnsi="Times New Roman" w:eastAsia="宋体" w:cs="Times New Roman"/>
                <w:b/>
                <w:sz w:val="18"/>
                <w:szCs w:val="22"/>
                <w:shd w:val="clear" w:color="auto" w:fill="FFFFFF"/>
              </w:rPr>
            </w:pPr>
            <w:r>
              <w:rPr>
                <w:rFonts w:ascii="Times New Roman" w:hAnsi="Times New Roman" w:eastAsia="宋体" w:cs="Times New Roman"/>
                <w:b/>
                <w:sz w:val="18"/>
                <w:szCs w:val="22"/>
                <w:shd w:val="clear" w:color="auto" w:fill="FFFFFF"/>
              </w:rPr>
              <w:t>氯化物排放限值</w:t>
            </w:r>
          </w:p>
          <w:p>
            <w:pPr>
              <w:jc w:val="center"/>
              <w:rPr>
                <w:rFonts w:ascii="Times New Roman" w:hAnsi="Times New Roman" w:eastAsia="宋体" w:cs="Times New Roman"/>
                <w:b/>
                <w:sz w:val="18"/>
                <w:szCs w:val="22"/>
                <w:shd w:val="clear" w:color="auto" w:fill="FFFFFF"/>
              </w:rPr>
            </w:pPr>
            <w:r>
              <w:rPr>
                <w:rFonts w:ascii="Times New Roman" w:hAnsi="Times New Roman" w:eastAsia="宋体" w:cs="Times New Roman"/>
                <w:b/>
                <w:sz w:val="18"/>
                <w:szCs w:val="22"/>
                <w:shd w:val="clear" w:color="auto" w:fill="FFFFFF"/>
              </w:rPr>
              <w:t>（mg/L）</w:t>
            </w:r>
          </w:p>
        </w:tc>
        <w:tc>
          <w:tcPr>
            <w:tcW w:w="2350" w:type="dxa"/>
            <w:gridSpan w:val="5"/>
            <w:vAlign w:val="center"/>
          </w:tcPr>
          <w:p>
            <w:pPr>
              <w:jc w:val="center"/>
              <w:rPr>
                <w:rFonts w:ascii="Times New Roman" w:hAnsi="Times New Roman" w:eastAsia="宋体" w:cs="Times New Roman"/>
                <w:b/>
                <w:sz w:val="18"/>
                <w:szCs w:val="22"/>
                <w:shd w:val="clear" w:color="auto" w:fill="FFFFFF"/>
              </w:rPr>
            </w:pPr>
            <w:r>
              <w:rPr>
                <w:rFonts w:ascii="Times New Roman" w:hAnsi="Times New Roman" w:eastAsia="宋体" w:cs="Times New Roman"/>
                <w:b/>
                <w:sz w:val="18"/>
                <w:szCs w:val="22"/>
                <w:shd w:val="clear" w:color="auto" w:fill="FFFFFF"/>
              </w:rPr>
              <w:t>单位产品基准排水量（m</w:t>
            </w:r>
            <w:r>
              <w:rPr>
                <w:rFonts w:ascii="Times New Roman" w:hAnsi="Times New Roman" w:eastAsia="宋体" w:cs="Times New Roman"/>
                <w:b/>
                <w:sz w:val="18"/>
                <w:szCs w:val="22"/>
                <w:shd w:val="clear" w:color="auto" w:fill="FFFFFF"/>
                <w:vertAlign w:val="superscript"/>
              </w:rPr>
              <w:t>3</w:t>
            </w:r>
            <w:r>
              <w:rPr>
                <w:rFonts w:ascii="Times New Roman" w:hAnsi="Times New Roman" w:eastAsia="宋体" w:cs="Times New Roman"/>
                <w:b/>
                <w:sz w:val="18"/>
                <w:szCs w:val="22"/>
                <w:shd w:val="clear" w:color="auto" w:fill="FFFFFF"/>
              </w:rPr>
              <w:t>/t）</w:t>
            </w:r>
          </w:p>
        </w:tc>
        <w:tc>
          <w:tcPr>
            <w:tcW w:w="2494" w:type="dxa"/>
            <w:gridSpan w:val="3"/>
            <w:vAlign w:val="center"/>
          </w:tcPr>
          <w:p>
            <w:pPr>
              <w:jc w:val="center"/>
              <w:rPr>
                <w:rFonts w:ascii="Times New Roman" w:hAnsi="Times New Roman" w:eastAsia="宋体" w:cs="Times New Roman"/>
                <w:b/>
                <w:sz w:val="18"/>
                <w:szCs w:val="22"/>
                <w:shd w:val="clear" w:color="auto" w:fill="FFFFFF"/>
              </w:rPr>
            </w:pPr>
            <w:r>
              <w:rPr>
                <w:rFonts w:ascii="Times New Roman" w:hAnsi="Times New Roman" w:eastAsia="宋体" w:cs="Times New Roman"/>
                <w:b/>
                <w:sz w:val="18"/>
                <w:szCs w:val="22"/>
                <w:shd w:val="clear" w:color="auto" w:fill="FFFFFF"/>
              </w:rPr>
              <w:t>氯化物排放限值</w:t>
            </w:r>
          </w:p>
          <w:p>
            <w:pPr>
              <w:jc w:val="center"/>
              <w:rPr>
                <w:rFonts w:ascii="Times New Roman" w:hAnsi="Times New Roman" w:eastAsia="宋体" w:cs="Times New Roman"/>
                <w:b/>
                <w:sz w:val="18"/>
                <w:szCs w:val="22"/>
                <w:shd w:val="clear" w:color="auto" w:fill="FFFFFF"/>
              </w:rPr>
            </w:pPr>
            <w:r>
              <w:rPr>
                <w:rFonts w:ascii="Times New Roman" w:hAnsi="Times New Roman" w:eastAsia="宋体" w:cs="Times New Roman"/>
                <w:b/>
                <w:sz w:val="18"/>
                <w:szCs w:val="22"/>
                <w:shd w:val="clear" w:color="auto" w:fill="FFFFFF"/>
              </w:rPr>
              <w:t>（mg/L）</w:t>
            </w:r>
          </w:p>
        </w:tc>
        <w:tc>
          <w:tcPr>
            <w:tcW w:w="2402" w:type="dxa"/>
            <w:gridSpan w:val="4"/>
            <w:vAlign w:val="center"/>
          </w:tcPr>
          <w:p>
            <w:pPr>
              <w:jc w:val="center"/>
              <w:rPr>
                <w:rFonts w:ascii="Times New Roman" w:hAnsi="Times New Roman" w:eastAsia="宋体" w:cs="Times New Roman"/>
                <w:b/>
                <w:sz w:val="18"/>
                <w:szCs w:val="22"/>
                <w:shd w:val="clear" w:color="auto" w:fill="FFFFFF"/>
              </w:rPr>
            </w:pPr>
            <w:r>
              <w:rPr>
                <w:rFonts w:ascii="Times New Roman" w:hAnsi="Times New Roman" w:eastAsia="宋体" w:cs="Times New Roman"/>
                <w:b/>
                <w:sz w:val="18"/>
                <w:szCs w:val="22"/>
                <w:shd w:val="clear" w:color="auto" w:fill="FFFFFF"/>
              </w:rPr>
              <w:t>单位产品基准排水量（m</w:t>
            </w:r>
            <w:r>
              <w:rPr>
                <w:rFonts w:ascii="Times New Roman" w:hAnsi="Times New Roman" w:eastAsia="宋体" w:cs="Times New Roman"/>
                <w:b/>
                <w:sz w:val="18"/>
                <w:szCs w:val="22"/>
                <w:shd w:val="clear" w:color="auto" w:fill="FFFFFF"/>
                <w:vertAlign w:val="superscript"/>
              </w:rPr>
              <w:t>3</w:t>
            </w:r>
            <w:r>
              <w:rPr>
                <w:rFonts w:ascii="Times New Roman" w:hAnsi="Times New Roman" w:eastAsia="宋体" w:cs="Times New Roman"/>
                <w:b/>
                <w:sz w:val="18"/>
                <w:szCs w:val="22"/>
                <w:shd w:val="clear" w:color="auto" w:fill="FFFFFF"/>
              </w:rPr>
              <w:t>/t）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694" w:type="dxa"/>
            <w:vMerge w:val="continue"/>
            <w:vAlign w:val="center"/>
          </w:tcPr>
          <w:p>
            <w:pPr>
              <w:jc w:val="center"/>
              <w:rPr>
                <w:rFonts w:ascii="Times New Roman" w:hAnsi="Times New Roman" w:eastAsia="宋体" w:cs="Times New Roman"/>
                <w:b/>
                <w:sz w:val="18"/>
                <w:szCs w:val="22"/>
                <w:shd w:val="clear" w:color="auto" w:fill="FFFFFF"/>
              </w:rPr>
            </w:pPr>
          </w:p>
        </w:tc>
        <w:tc>
          <w:tcPr>
            <w:tcW w:w="1417" w:type="dxa"/>
            <w:vMerge w:val="continue"/>
            <w:vAlign w:val="center"/>
          </w:tcPr>
          <w:p>
            <w:pPr>
              <w:jc w:val="center"/>
              <w:rPr>
                <w:rFonts w:ascii="Times New Roman" w:hAnsi="Times New Roman" w:eastAsia="宋体" w:cs="Times New Roman"/>
                <w:b/>
                <w:sz w:val="18"/>
                <w:szCs w:val="22"/>
                <w:shd w:val="clear" w:color="auto" w:fill="FFFFFF"/>
              </w:rPr>
            </w:pPr>
          </w:p>
        </w:tc>
        <w:tc>
          <w:tcPr>
            <w:tcW w:w="1418" w:type="dxa"/>
            <w:vMerge w:val="continue"/>
            <w:vAlign w:val="center"/>
          </w:tcPr>
          <w:p>
            <w:pPr>
              <w:jc w:val="center"/>
              <w:rPr>
                <w:rFonts w:ascii="Times New Roman" w:hAnsi="Times New Roman" w:eastAsia="宋体" w:cs="Times New Roman"/>
                <w:b/>
                <w:sz w:val="18"/>
                <w:szCs w:val="22"/>
                <w:shd w:val="clear" w:color="auto" w:fill="FFFFFF"/>
              </w:rPr>
            </w:pPr>
          </w:p>
        </w:tc>
        <w:tc>
          <w:tcPr>
            <w:tcW w:w="917" w:type="dxa"/>
            <w:vAlign w:val="center"/>
          </w:tcPr>
          <w:p>
            <w:pPr>
              <w:jc w:val="center"/>
              <w:rPr>
                <w:rFonts w:ascii="Times New Roman" w:hAnsi="Times New Roman" w:eastAsia="宋体" w:cs="Times New Roman"/>
                <w:b/>
                <w:sz w:val="18"/>
                <w:szCs w:val="22"/>
                <w:shd w:val="clear" w:color="auto" w:fill="FFFFFF"/>
              </w:rPr>
            </w:pPr>
            <w:r>
              <w:rPr>
                <w:rFonts w:ascii="Times New Roman" w:hAnsi="Times New Roman" w:eastAsia="宋体" w:cs="Times New Roman"/>
                <w:b/>
                <w:sz w:val="18"/>
                <w:szCs w:val="22"/>
                <w:shd w:val="clear" w:color="auto" w:fill="FFFFFF"/>
              </w:rPr>
              <w:t>直接排放限值</w:t>
            </w:r>
          </w:p>
        </w:tc>
        <w:tc>
          <w:tcPr>
            <w:tcW w:w="926" w:type="dxa"/>
            <w:gridSpan w:val="2"/>
            <w:vAlign w:val="center"/>
          </w:tcPr>
          <w:p>
            <w:pPr>
              <w:jc w:val="center"/>
              <w:rPr>
                <w:rFonts w:ascii="Times New Roman" w:hAnsi="Times New Roman" w:eastAsia="宋体" w:cs="Times New Roman"/>
                <w:b/>
                <w:sz w:val="18"/>
                <w:szCs w:val="22"/>
                <w:shd w:val="clear" w:color="auto" w:fill="FFFFFF"/>
              </w:rPr>
            </w:pPr>
            <w:r>
              <w:rPr>
                <w:rFonts w:ascii="Times New Roman" w:hAnsi="Times New Roman" w:eastAsia="宋体" w:cs="Times New Roman"/>
                <w:b/>
                <w:sz w:val="18"/>
                <w:szCs w:val="22"/>
                <w:shd w:val="clear" w:color="auto" w:fill="FFFFFF"/>
              </w:rPr>
              <w:t>间接排放限值</w:t>
            </w:r>
          </w:p>
        </w:tc>
        <w:tc>
          <w:tcPr>
            <w:tcW w:w="1417" w:type="dxa"/>
            <w:gridSpan w:val="3"/>
            <w:vAlign w:val="center"/>
          </w:tcPr>
          <w:p>
            <w:pPr>
              <w:jc w:val="center"/>
              <w:rPr>
                <w:rFonts w:ascii="Times New Roman" w:hAnsi="Times New Roman" w:eastAsia="宋体" w:cs="Times New Roman"/>
                <w:b/>
                <w:sz w:val="18"/>
                <w:szCs w:val="22"/>
                <w:shd w:val="clear" w:color="auto" w:fill="FFFFFF"/>
              </w:rPr>
            </w:pPr>
            <w:r>
              <w:rPr>
                <w:rFonts w:ascii="Times New Roman" w:hAnsi="Times New Roman" w:eastAsia="宋体" w:cs="Times New Roman"/>
                <w:b/>
                <w:sz w:val="18"/>
                <w:szCs w:val="22"/>
                <w:shd w:val="clear" w:color="auto" w:fill="FFFFFF"/>
              </w:rPr>
              <w:t>特别排放限值</w:t>
            </w:r>
          </w:p>
        </w:tc>
        <w:tc>
          <w:tcPr>
            <w:tcW w:w="851" w:type="dxa"/>
            <w:gridSpan w:val="2"/>
            <w:vAlign w:val="center"/>
          </w:tcPr>
          <w:p>
            <w:pPr>
              <w:jc w:val="center"/>
              <w:rPr>
                <w:rFonts w:ascii="Times New Roman" w:hAnsi="Times New Roman" w:eastAsia="宋体" w:cs="Times New Roman"/>
                <w:b/>
                <w:sz w:val="18"/>
                <w:szCs w:val="22"/>
                <w:shd w:val="clear" w:color="auto" w:fill="FFFFFF"/>
              </w:rPr>
            </w:pPr>
            <w:r>
              <w:rPr>
                <w:rFonts w:ascii="Times New Roman" w:hAnsi="Times New Roman" w:eastAsia="宋体" w:cs="Times New Roman"/>
                <w:b/>
                <w:sz w:val="18"/>
                <w:szCs w:val="22"/>
                <w:shd w:val="clear" w:color="auto" w:fill="FFFFFF"/>
              </w:rPr>
              <w:t>直接排放限值</w:t>
            </w:r>
          </w:p>
        </w:tc>
        <w:tc>
          <w:tcPr>
            <w:tcW w:w="766" w:type="dxa"/>
            <w:vAlign w:val="center"/>
          </w:tcPr>
          <w:p>
            <w:pPr>
              <w:jc w:val="center"/>
              <w:rPr>
                <w:rFonts w:ascii="Times New Roman" w:hAnsi="Times New Roman" w:eastAsia="宋体" w:cs="Times New Roman"/>
                <w:b/>
                <w:sz w:val="18"/>
                <w:szCs w:val="22"/>
                <w:shd w:val="clear" w:color="auto" w:fill="FFFFFF"/>
              </w:rPr>
            </w:pPr>
            <w:r>
              <w:rPr>
                <w:rFonts w:ascii="Times New Roman" w:hAnsi="Times New Roman" w:eastAsia="宋体" w:cs="Times New Roman"/>
                <w:b/>
                <w:sz w:val="18"/>
                <w:szCs w:val="22"/>
                <w:shd w:val="clear" w:color="auto" w:fill="FFFFFF"/>
              </w:rPr>
              <w:t>间接排放限值</w:t>
            </w:r>
          </w:p>
        </w:tc>
        <w:tc>
          <w:tcPr>
            <w:tcW w:w="930" w:type="dxa"/>
            <w:vAlign w:val="center"/>
          </w:tcPr>
          <w:p>
            <w:pPr>
              <w:jc w:val="center"/>
              <w:rPr>
                <w:rFonts w:ascii="Times New Roman" w:hAnsi="Times New Roman" w:eastAsia="宋体" w:cs="Times New Roman"/>
                <w:b/>
                <w:sz w:val="18"/>
                <w:szCs w:val="22"/>
                <w:shd w:val="clear" w:color="auto" w:fill="FFFFFF"/>
              </w:rPr>
            </w:pPr>
            <w:r>
              <w:rPr>
                <w:rFonts w:ascii="Times New Roman" w:hAnsi="Times New Roman" w:eastAsia="宋体" w:cs="Times New Roman"/>
                <w:b/>
                <w:sz w:val="18"/>
                <w:szCs w:val="22"/>
                <w:shd w:val="clear" w:color="auto" w:fill="FFFFFF"/>
              </w:rPr>
              <w:t>直接排放限值</w:t>
            </w:r>
          </w:p>
        </w:tc>
        <w:tc>
          <w:tcPr>
            <w:tcW w:w="962" w:type="dxa"/>
            <w:vAlign w:val="center"/>
          </w:tcPr>
          <w:p>
            <w:pPr>
              <w:jc w:val="center"/>
              <w:rPr>
                <w:rFonts w:ascii="Times New Roman" w:hAnsi="Times New Roman" w:eastAsia="宋体" w:cs="Times New Roman"/>
                <w:b/>
                <w:sz w:val="18"/>
                <w:szCs w:val="22"/>
                <w:shd w:val="clear" w:color="auto" w:fill="FFFFFF"/>
              </w:rPr>
            </w:pPr>
            <w:r>
              <w:rPr>
                <w:rFonts w:ascii="Times New Roman" w:hAnsi="Times New Roman" w:eastAsia="宋体" w:cs="Times New Roman"/>
                <w:b/>
                <w:sz w:val="18"/>
                <w:szCs w:val="22"/>
                <w:shd w:val="clear" w:color="auto" w:fill="FFFFFF"/>
              </w:rPr>
              <w:t>间接排放限值</w:t>
            </w:r>
          </w:p>
        </w:tc>
        <w:tc>
          <w:tcPr>
            <w:tcW w:w="1169" w:type="dxa"/>
            <w:gridSpan w:val="3"/>
            <w:vAlign w:val="center"/>
          </w:tcPr>
          <w:p>
            <w:pPr>
              <w:jc w:val="center"/>
              <w:rPr>
                <w:rFonts w:ascii="Times New Roman" w:hAnsi="Times New Roman" w:eastAsia="宋体" w:cs="Times New Roman"/>
                <w:b/>
                <w:sz w:val="18"/>
                <w:szCs w:val="22"/>
                <w:shd w:val="clear" w:color="auto" w:fill="FFFFFF"/>
              </w:rPr>
            </w:pPr>
            <w:r>
              <w:rPr>
                <w:rFonts w:ascii="Times New Roman" w:hAnsi="Times New Roman" w:eastAsia="宋体" w:cs="Times New Roman"/>
                <w:b/>
                <w:sz w:val="18"/>
                <w:szCs w:val="22"/>
                <w:shd w:val="clear" w:color="auto" w:fill="FFFFFF"/>
              </w:rPr>
              <w:t>特别排放限值</w:t>
            </w:r>
          </w:p>
        </w:tc>
        <w:tc>
          <w:tcPr>
            <w:tcW w:w="925" w:type="dxa"/>
            <w:vAlign w:val="center"/>
          </w:tcPr>
          <w:p>
            <w:pPr>
              <w:jc w:val="center"/>
              <w:rPr>
                <w:rFonts w:ascii="Times New Roman" w:hAnsi="Times New Roman" w:eastAsia="宋体" w:cs="Times New Roman"/>
                <w:b/>
                <w:sz w:val="18"/>
                <w:szCs w:val="22"/>
                <w:shd w:val="clear" w:color="auto" w:fill="FFFFFF"/>
              </w:rPr>
            </w:pPr>
            <w:r>
              <w:rPr>
                <w:rFonts w:ascii="Times New Roman" w:hAnsi="Times New Roman" w:eastAsia="宋体" w:cs="Times New Roman"/>
                <w:b/>
                <w:sz w:val="18"/>
                <w:szCs w:val="22"/>
                <w:shd w:val="clear" w:color="auto" w:fill="FFFFFF"/>
              </w:rPr>
              <w:t>直接排放限值</w:t>
            </w:r>
          </w:p>
        </w:tc>
        <w:tc>
          <w:tcPr>
            <w:tcW w:w="910" w:type="dxa"/>
            <w:vAlign w:val="center"/>
          </w:tcPr>
          <w:p>
            <w:pPr>
              <w:jc w:val="center"/>
              <w:rPr>
                <w:rFonts w:ascii="Times New Roman" w:hAnsi="Times New Roman" w:eastAsia="宋体" w:cs="Times New Roman"/>
                <w:b/>
                <w:sz w:val="18"/>
                <w:szCs w:val="22"/>
                <w:shd w:val="clear" w:color="auto" w:fill="FFFFFF"/>
              </w:rPr>
            </w:pPr>
            <w:r>
              <w:rPr>
                <w:rFonts w:ascii="Times New Roman" w:hAnsi="Times New Roman" w:eastAsia="宋体" w:cs="Times New Roman"/>
                <w:b/>
                <w:sz w:val="18"/>
                <w:szCs w:val="22"/>
                <w:shd w:val="clear" w:color="auto" w:fill="FFFFFF"/>
              </w:rPr>
              <w:t>间接排放限值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7" w:hRule="atLeast"/>
        </w:trPr>
        <w:tc>
          <w:tcPr>
            <w:tcW w:w="2694" w:type="dxa"/>
            <w:vAlign w:val="center"/>
          </w:tcPr>
          <w:p>
            <w:pPr>
              <w:jc w:val="center"/>
              <w:rPr>
                <w:rFonts w:ascii="Times New Roman" w:hAnsi="Times New Roman" w:eastAsia="宋体" w:cs="Times New Roman"/>
                <w:sz w:val="18"/>
                <w:szCs w:val="22"/>
                <w:shd w:val="clear" w:color="auto" w:fill="FFFFFF"/>
              </w:rPr>
            </w:pPr>
            <w:r>
              <w:rPr>
                <w:rFonts w:hint="eastAsia" w:ascii="Times New Roman" w:hAnsi="Times New Roman" w:eastAsia="宋体" w:cs="Times New Roman"/>
                <w:sz w:val="18"/>
                <w:szCs w:val="22"/>
                <w:shd w:val="clear" w:color="auto" w:fill="FFFFFF"/>
              </w:rPr>
              <w:t>《皂素工业水污染物排放标准》</w:t>
            </w:r>
          </w:p>
        </w:tc>
        <w:tc>
          <w:tcPr>
            <w:tcW w:w="1417" w:type="dxa"/>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GB20425-2006</w:t>
            </w:r>
          </w:p>
        </w:tc>
        <w:tc>
          <w:tcPr>
            <w:tcW w:w="1418" w:type="dxa"/>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制革企业</w:t>
            </w:r>
          </w:p>
        </w:tc>
        <w:tc>
          <w:tcPr>
            <w:tcW w:w="917" w:type="dxa"/>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3000</w:t>
            </w:r>
          </w:p>
        </w:tc>
        <w:tc>
          <w:tcPr>
            <w:tcW w:w="926" w:type="dxa"/>
            <w:gridSpan w:val="2"/>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4000</w:t>
            </w:r>
          </w:p>
        </w:tc>
        <w:tc>
          <w:tcPr>
            <w:tcW w:w="684" w:type="dxa"/>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1000</w:t>
            </w:r>
          </w:p>
        </w:tc>
        <w:tc>
          <w:tcPr>
            <w:tcW w:w="733" w:type="dxa"/>
            <w:gridSpan w:val="2"/>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40</w:t>
            </w:r>
          </w:p>
        </w:tc>
        <w:tc>
          <w:tcPr>
            <w:tcW w:w="851" w:type="dxa"/>
            <w:gridSpan w:val="2"/>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65</w:t>
            </w:r>
          </w:p>
        </w:tc>
        <w:tc>
          <w:tcPr>
            <w:tcW w:w="766" w:type="dxa"/>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65</w:t>
            </w:r>
          </w:p>
        </w:tc>
        <w:tc>
          <w:tcPr>
            <w:tcW w:w="930" w:type="dxa"/>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3000</w:t>
            </w:r>
          </w:p>
        </w:tc>
        <w:tc>
          <w:tcPr>
            <w:tcW w:w="962" w:type="dxa"/>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4000</w:t>
            </w:r>
          </w:p>
        </w:tc>
        <w:tc>
          <w:tcPr>
            <w:tcW w:w="602" w:type="dxa"/>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1000</w:t>
            </w:r>
          </w:p>
        </w:tc>
        <w:tc>
          <w:tcPr>
            <w:tcW w:w="567" w:type="dxa"/>
            <w:gridSpan w:val="2"/>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40</w:t>
            </w:r>
          </w:p>
        </w:tc>
        <w:tc>
          <w:tcPr>
            <w:tcW w:w="925" w:type="dxa"/>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55</w:t>
            </w:r>
          </w:p>
        </w:tc>
        <w:tc>
          <w:tcPr>
            <w:tcW w:w="910" w:type="dxa"/>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55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7" w:hRule="atLeast"/>
        </w:trPr>
        <w:tc>
          <w:tcPr>
            <w:tcW w:w="2694" w:type="dxa"/>
            <w:vMerge w:val="restart"/>
            <w:vAlign w:val="center"/>
          </w:tcPr>
          <w:p>
            <w:pPr>
              <w:jc w:val="center"/>
              <w:rPr>
                <w:rFonts w:ascii="Times New Roman" w:hAnsi="Times New Roman" w:eastAsia="宋体" w:cs="Times New Roman"/>
                <w:sz w:val="18"/>
                <w:szCs w:val="22"/>
                <w:shd w:val="clear" w:color="auto" w:fill="FFFFFF"/>
              </w:rPr>
            </w:pPr>
            <w:r>
              <w:rPr>
                <w:rFonts w:hint="eastAsia" w:ascii="Times New Roman" w:hAnsi="Times New Roman" w:eastAsia="宋体" w:cs="Times New Roman"/>
                <w:sz w:val="18"/>
                <w:szCs w:val="22"/>
                <w:shd w:val="clear" w:color="auto" w:fill="FFFFFF"/>
              </w:rPr>
              <w:t>《制革及毛皮加工工业水污染物排放标准》</w:t>
            </w:r>
          </w:p>
        </w:tc>
        <w:tc>
          <w:tcPr>
            <w:tcW w:w="1417" w:type="dxa"/>
            <w:vMerge w:val="restart"/>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GB30486-2013</w:t>
            </w:r>
          </w:p>
        </w:tc>
        <w:tc>
          <w:tcPr>
            <w:tcW w:w="1418" w:type="dxa"/>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毛皮加工企业</w:t>
            </w:r>
          </w:p>
        </w:tc>
        <w:tc>
          <w:tcPr>
            <w:tcW w:w="917" w:type="dxa"/>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4000</w:t>
            </w:r>
          </w:p>
        </w:tc>
        <w:tc>
          <w:tcPr>
            <w:tcW w:w="926" w:type="dxa"/>
            <w:gridSpan w:val="2"/>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4000</w:t>
            </w:r>
          </w:p>
        </w:tc>
        <w:tc>
          <w:tcPr>
            <w:tcW w:w="684" w:type="dxa"/>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1000</w:t>
            </w:r>
          </w:p>
        </w:tc>
        <w:tc>
          <w:tcPr>
            <w:tcW w:w="733" w:type="dxa"/>
            <w:gridSpan w:val="2"/>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40</w:t>
            </w:r>
          </w:p>
        </w:tc>
        <w:tc>
          <w:tcPr>
            <w:tcW w:w="851" w:type="dxa"/>
            <w:gridSpan w:val="2"/>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80</w:t>
            </w:r>
          </w:p>
        </w:tc>
        <w:tc>
          <w:tcPr>
            <w:tcW w:w="766" w:type="dxa"/>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80</w:t>
            </w:r>
          </w:p>
        </w:tc>
        <w:tc>
          <w:tcPr>
            <w:tcW w:w="930" w:type="dxa"/>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4000</w:t>
            </w:r>
          </w:p>
        </w:tc>
        <w:tc>
          <w:tcPr>
            <w:tcW w:w="962" w:type="dxa"/>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4000</w:t>
            </w:r>
          </w:p>
        </w:tc>
        <w:tc>
          <w:tcPr>
            <w:tcW w:w="602" w:type="dxa"/>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1000</w:t>
            </w:r>
          </w:p>
        </w:tc>
        <w:tc>
          <w:tcPr>
            <w:tcW w:w="567" w:type="dxa"/>
            <w:gridSpan w:val="2"/>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40</w:t>
            </w:r>
          </w:p>
        </w:tc>
        <w:tc>
          <w:tcPr>
            <w:tcW w:w="925" w:type="dxa"/>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70</w:t>
            </w:r>
          </w:p>
        </w:tc>
        <w:tc>
          <w:tcPr>
            <w:tcW w:w="910" w:type="dxa"/>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70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8" w:hRule="atLeast"/>
        </w:trPr>
        <w:tc>
          <w:tcPr>
            <w:tcW w:w="2694" w:type="dxa"/>
            <w:vMerge w:val="continue"/>
            <w:vAlign w:val="center"/>
          </w:tcPr>
          <w:p>
            <w:pPr>
              <w:jc w:val="center"/>
              <w:rPr>
                <w:rFonts w:ascii="Times New Roman" w:hAnsi="Times New Roman" w:eastAsia="宋体" w:cs="Times New Roman"/>
                <w:sz w:val="18"/>
                <w:szCs w:val="22"/>
                <w:shd w:val="clear" w:color="auto" w:fill="FFFFFF"/>
              </w:rPr>
            </w:pPr>
          </w:p>
        </w:tc>
        <w:tc>
          <w:tcPr>
            <w:tcW w:w="1417" w:type="dxa"/>
            <w:vMerge w:val="continue"/>
            <w:vAlign w:val="center"/>
          </w:tcPr>
          <w:p>
            <w:pPr>
              <w:jc w:val="center"/>
              <w:rPr>
                <w:rFonts w:ascii="Times New Roman" w:hAnsi="Times New Roman" w:eastAsia="宋体" w:cs="Times New Roman"/>
                <w:sz w:val="18"/>
                <w:szCs w:val="22"/>
                <w:shd w:val="clear" w:color="auto" w:fill="FFFFFF"/>
              </w:rPr>
            </w:pPr>
          </w:p>
        </w:tc>
        <w:tc>
          <w:tcPr>
            <w:tcW w:w="1418" w:type="dxa"/>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皂素工业</w:t>
            </w:r>
          </w:p>
        </w:tc>
        <w:tc>
          <w:tcPr>
            <w:tcW w:w="2527" w:type="dxa"/>
            <w:gridSpan w:val="4"/>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600</w:t>
            </w:r>
          </w:p>
        </w:tc>
        <w:tc>
          <w:tcPr>
            <w:tcW w:w="2350" w:type="dxa"/>
            <w:gridSpan w:val="5"/>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600</w:t>
            </w:r>
          </w:p>
        </w:tc>
        <w:tc>
          <w:tcPr>
            <w:tcW w:w="2494" w:type="dxa"/>
            <w:gridSpan w:val="3"/>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300</w:t>
            </w:r>
          </w:p>
        </w:tc>
        <w:tc>
          <w:tcPr>
            <w:tcW w:w="2402" w:type="dxa"/>
            <w:gridSpan w:val="4"/>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400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trPr>
        <w:tc>
          <w:tcPr>
            <w:tcW w:w="2694" w:type="dxa"/>
            <w:vAlign w:val="center"/>
          </w:tcPr>
          <w:p>
            <w:pPr>
              <w:jc w:val="center"/>
              <w:rPr>
                <w:rFonts w:ascii="Times New Roman" w:hAnsi="Times New Roman" w:eastAsia="宋体" w:cs="Times New Roman"/>
                <w:sz w:val="18"/>
                <w:szCs w:val="22"/>
                <w:shd w:val="clear" w:color="auto" w:fill="FFFFFF"/>
              </w:rPr>
            </w:pPr>
            <w:r>
              <w:rPr>
                <w:rFonts w:hint="eastAsia" w:ascii="Times New Roman" w:hAnsi="Times New Roman" w:eastAsia="宋体" w:cs="Times New Roman"/>
                <w:sz w:val="18"/>
                <w:szCs w:val="22"/>
                <w:shd w:val="clear" w:color="auto" w:fill="FFFFFF"/>
              </w:rPr>
              <w:t>《钒工业污染物排放标准》</w:t>
            </w:r>
          </w:p>
        </w:tc>
        <w:tc>
          <w:tcPr>
            <w:tcW w:w="1417" w:type="dxa"/>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GB26452-2011</w:t>
            </w:r>
          </w:p>
        </w:tc>
        <w:tc>
          <w:tcPr>
            <w:tcW w:w="1418" w:type="dxa"/>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钒工业</w:t>
            </w:r>
          </w:p>
        </w:tc>
        <w:tc>
          <w:tcPr>
            <w:tcW w:w="917" w:type="dxa"/>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500</w:t>
            </w:r>
          </w:p>
        </w:tc>
        <w:tc>
          <w:tcPr>
            <w:tcW w:w="836" w:type="dxa"/>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500</w:t>
            </w:r>
          </w:p>
        </w:tc>
        <w:tc>
          <w:tcPr>
            <w:tcW w:w="774" w:type="dxa"/>
            <w:gridSpan w:val="2"/>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200</w:t>
            </w:r>
          </w:p>
        </w:tc>
        <w:tc>
          <w:tcPr>
            <w:tcW w:w="553" w:type="dxa"/>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3</w:t>
            </w:r>
          </w:p>
        </w:tc>
        <w:tc>
          <w:tcPr>
            <w:tcW w:w="889" w:type="dxa"/>
            <w:gridSpan w:val="2"/>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20</w:t>
            </w:r>
          </w:p>
        </w:tc>
        <w:tc>
          <w:tcPr>
            <w:tcW w:w="908" w:type="dxa"/>
            <w:gridSpan w:val="2"/>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20</w:t>
            </w:r>
          </w:p>
        </w:tc>
        <w:tc>
          <w:tcPr>
            <w:tcW w:w="930" w:type="dxa"/>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300</w:t>
            </w:r>
          </w:p>
        </w:tc>
        <w:tc>
          <w:tcPr>
            <w:tcW w:w="962" w:type="dxa"/>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300</w:t>
            </w:r>
          </w:p>
        </w:tc>
        <w:tc>
          <w:tcPr>
            <w:tcW w:w="602" w:type="dxa"/>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200</w:t>
            </w:r>
          </w:p>
        </w:tc>
        <w:tc>
          <w:tcPr>
            <w:tcW w:w="544" w:type="dxa"/>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3</w:t>
            </w:r>
          </w:p>
        </w:tc>
        <w:tc>
          <w:tcPr>
            <w:tcW w:w="948" w:type="dxa"/>
            <w:gridSpan w:val="2"/>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10</w:t>
            </w:r>
          </w:p>
        </w:tc>
        <w:tc>
          <w:tcPr>
            <w:tcW w:w="910" w:type="dxa"/>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10</w:t>
            </w:r>
          </w:p>
        </w:tc>
      </w:tr>
    </w:tbl>
    <w:p>
      <w:pPr>
        <w:spacing w:line="360" w:lineRule="auto"/>
        <w:jc w:val="left"/>
        <w:rPr>
          <w:rFonts w:ascii="Times New Roman" w:hAnsi="Times New Roman" w:eastAsia="宋体" w:cs="Times New Roman"/>
          <w:sz w:val="28"/>
          <w:szCs w:val="22"/>
          <w:shd w:val="clear" w:color="auto" w:fill="FFFFFF"/>
        </w:rPr>
        <w:sectPr>
          <w:pgSz w:w="16838" w:h="11906" w:orient="landscape"/>
          <w:pgMar w:top="1797" w:right="1440" w:bottom="1797" w:left="1440" w:header="851" w:footer="992" w:gutter="0"/>
          <w:cols w:space="425" w:num="1"/>
          <w:docGrid w:type="linesAndChars" w:linePitch="312" w:charSpace="0"/>
        </w:sectPr>
      </w:pPr>
    </w:p>
    <w:p>
      <w:pPr>
        <w:spacing w:line="360" w:lineRule="auto"/>
        <w:ind w:firstLine="420" w:firstLineChars="200"/>
        <w:jc w:val="left"/>
        <w:rPr>
          <w:rFonts w:ascii="Times New Roman" w:hAnsi="Times New Roman" w:eastAsia="宋体" w:cs="Times New Roman"/>
          <w:szCs w:val="22"/>
        </w:rPr>
      </w:pPr>
      <w:r>
        <w:rPr>
          <w:rFonts w:ascii="Times New Roman" w:hAnsi="Times New Roman" w:eastAsia="宋体" w:cs="Times New Roman"/>
          <w:szCs w:val="22"/>
        </w:rPr>
        <w:t>我国现行涉及氯化物排放浓度限值的地方标准见表</w:t>
      </w:r>
      <w:r>
        <w:rPr>
          <w:rFonts w:hint="eastAsia" w:ascii="Times New Roman" w:hAnsi="Times New Roman" w:eastAsia="宋体" w:cs="Times New Roman"/>
          <w:szCs w:val="22"/>
        </w:rPr>
        <w:t>5</w:t>
      </w:r>
      <w:r>
        <w:rPr>
          <w:rFonts w:ascii="Times New Roman" w:hAnsi="Times New Roman" w:eastAsia="宋体" w:cs="Times New Roman"/>
          <w:szCs w:val="22"/>
        </w:rPr>
        <w:t>-</w:t>
      </w:r>
      <w:r>
        <w:rPr>
          <w:rFonts w:hint="eastAsia" w:ascii="Times New Roman" w:hAnsi="Times New Roman" w:eastAsia="宋体" w:cs="Times New Roman"/>
          <w:szCs w:val="22"/>
        </w:rPr>
        <w:t>5</w:t>
      </w:r>
      <w:r>
        <w:rPr>
          <w:rFonts w:ascii="Times New Roman" w:hAnsi="Times New Roman" w:eastAsia="宋体" w:cs="Times New Roman"/>
          <w:szCs w:val="22"/>
        </w:rPr>
        <w:t>。</w:t>
      </w:r>
    </w:p>
    <w:p>
      <w:pPr>
        <w:spacing w:line="440" w:lineRule="exact"/>
        <w:ind w:firstLine="421" w:firstLineChars="200"/>
        <w:jc w:val="center"/>
        <w:rPr>
          <w:rFonts w:ascii="Times New Roman" w:hAnsi="Times New Roman" w:eastAsia="宋体" w:cs="Times New Roman"/>
          <w:b/>
        </w:rPr>
      </w:pPr>
      <w:r>
        <w:rPr>
          <w:rFonts w:ascii="Times New Roman" w:hAnsi="Times New Roman" w:eastAsia="宋体" w:cs="Times New Roman"/>
          <w:b/>
        </w:rPr>
        <w:t>表</w:t>
      </w:r>
      <w:r>
        <w:rPr>
          <w:rFonts w:hint="eastAsia" w:ascii="Times New Roman" w:hAnsi="Times New Roman" w:eastAsia="宋体" w:cs="Times New Roman"/>
          <w:b/>
        </w:rPr>
        <w:t>5</w:t>
      </w:r>
      <w:r>
        <w:rPr>
          <w:rFonts w:ascii="Times New Roman" w:hAnsi="Times New Roman" w:eastAsia="宋体" w:cs="Times New Roman"/>
          <w:b/>
        </w:rPr>
        <w:t>-</w:t>
      </w:r>
      <w:r>
        <w:rPr>
          <w:rFonts w:hint="eastAsia" w:ascii="Times New Roman" w:hAnsi="Times New Roman" w:eastAsia="宋体" w:cs="Times New Roman"/>
          <w:b/>
        </w:rPr>
        <w:t>5 现行涉及氯化物排放浓度限值的地方标准</w:t>
      </w:r>
    </w:p>
    <w:tbl>
      <w:tblPr>
        <w:tblStyle w:val="25"/>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790"/>
        <w:gridCol w:w="3125"/>
        <w:gridCol w:w="260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92" w:type="dxa"/>
          </w:tcPr>
          <w:p>
            <w:pPr>
              <w:jc w:val="center"/>
              <w:rPr>
                <w:rFonts w:ascii="Times New Roman" w:hAnsi="Times New Roman" w:eastAsia="宋体" w:cs="Times New Roman"/>
                <w:b/>
                <w:sz w:val="18"/>
                <w:szCs w:val="22"/>
                <w:shd w:val="clear" w:color="auto" w:fill="FFFFFF"/>
              </w:rPr>
            </w:pPr>
            <w:r>
              <w:rPr>
                <w:rFonts w:hint="eastAsia" w:ascii="Times New Roman" w:hAnsi="Times New Roman" w:eastAsia="宋体" w:cs="Times New Roman"/>
                <w:b/>
                <w:sz w:val="18"/>
                <w:szCs w:val="22"/>
                <w:shd w:val="clear" w:color="auto" w:fill="FFFFFF"/>
              </w:rPr>
              <w:t>地区</w:t>
            </w:r>
          </w:p>
        </w:tc>
        <w:tc>
          <w:tcPr>
            <w:tcW w:w="3128" w:type="dxa"/>
            <w:vAlign w:val="center"/>
          </w:tcPr>
          <w:p>
            <w:pPr>
              <w:jc w:val="center"/>
              <w:rPr>
                <w:rFonts w:ascii="Times New Roman" w:hAnsi="Times New Roman" w:eastAsia="宋体" w:cs="Times New Roman"/>
                <w:b/>
                <w:sz w:val="18"/>
                <w:szCs w:val="22"/>
                <w:shd w:val="clear" w:color="auto" w:fill="FFFFFF"/>
              </w:rPr>
            </w:pPr>
            <w:r>
              <w:rPr>
                <w:rFonts w:hint="eastAsia" w:ascii="Times New Roman" w:hAnsi="Times New Roman" w:eastAsia="宋体" w:cs="Times New Roman"/>
                <w:b/>
                <w:sz w:val="18"/>
                <w:szCs w:val="22"/>
                <w:shd w:val="clear" w:color="auto" w:fill="FFFFFF"/>
              </w:rPr>
              <w:t>标准名称</w:t>
            </w:r>
          </w:p>
        </w:tc>
        <w:tc>
          <w:tcPr>
            <w:tcW w:w="2608" w:type="dxa"/>
            <w:vAlign w:val="center"/>
          </w:tcPr>
          <w:p>
            <w:pPr>
              <w:jc w:val="center"/>
              <w:rPr>
                <w:rFonts w:ascii="Times New Roman" w:hAnsi="Times New Roman" w:eastAsia="宋体" w:cs="Times New Roman"/>
                <w:b/>
                <w:sz w:val="18"/>
                <w:szCs w:val="22"/>
                <w:shd w:val="clear" w:color="auto" w:fill="FFFFFF"/>
              </w:rPr>
            </w:pPr>
            <w:r>
              <w:rPr>
                <w:rFonts w:hint="eastAsia" w:ascii="Times New Roman" w:hAnsi="Times New Roman" w:eastAsia="宋体" w:cs="Times New Roman"/>
                <w:b/>
                <w:sz w:val="18"/>
                <w:szCs w:val="22"/>
                <w:shd w:val="clear" w:color="auto" w:fill="FFFFFF"/>
              </w:rPr>
              <w:t>编号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92" w:type="dxa"/>
          </w:tcPr>
          <w:p>
            <w:pPr>
              <w:jc w:val="center"/>
              <w:rPr>
                <w:rFonts w:ascii="Times New Roman" w:hAnsi="Times New Roman" w:eastAsia="宋体" w:cs="Times New Roman"/>
                <w:sz w:val="18"/>
                <w:szCs w:val="22"/>
                <w:shd w:val="clear" w:color="auto" w:fill="FFFFFF"/>
              </w:rPr>
            </w:pPr>
            <w:r>
              <w:rPr>
                <w:rFonts w:hint="eastAsia" w:ascii="Times New Roman" w:hAnsi="Times New Roman" w:eastAsia="宋体" w:cs="Times New Roman"/>
                <w:sz w:val="18"/>
                <w:szCs w:val="22"/>
                <w:shd w:val="clear" w:color="auto" w:fill="FFFFFF"/>
              </w:rPr>
              <w:t>北京市</w:t>
            </w:r>
          </w:p>
        </w:tc>
        <w:tc>
          <w:tcPr>
            <w:tcW w:w="3128" w:type="dxa"/>
            <w:vAlign w:val="center"/>
          </w:tcPr>
          <w:p>
            <w:pPr>
              <w:jc w:val="center"/>
              <w:rPr>
                <w:rFonts w:ascii="Times New Roman" w:hAnsi="Times New Roman" w:eastAsia="宋体" w:cs="Times New Roman"/>
                <w:sz w:val="18"/>
                <w:szCs w:val="22"/>
                <w:shd w:val="clear" w:color="auto" w:fill="FFFFFF"/>
              </w:rPr>
            </w:pPr>
            <w:r>
              <w:rPr>
                <w:rFonts w:hint="eastAsia" w:ascii="Times New Roman" w:hAnsi="Times New Roman" w:eastAsia="宋体" w:cs="Times New Roman"/>
                <w:sz w:val="18"/>
                <w:szCs w:val="22"/>
                <w:shd w:val="clear" w:color="auto" w:fill="FFFFFF"/>
              </w:rPr>
              <w:t>《水污染物综合排放标准》</w:t>
            </w:r>
          </w:p>
        </w:tc>
        <w:tc>
          <w:tcPr>
            <w:tcW w:w="2608" w:type="dxa"/>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DB11/307-2013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92" w:type="dxa"/>
          </w:tcPr>
          <w:p>
            <w:pPr>
              <w:jc w:val="center"/>
              <w:rPr>
                <w:rFonts w:ascii="Times New Roman" w:hAnsi="Times New Roman" w:eastAsia="宋体" w:cs="Times New Roman"/>
                <w:sz w:val="18"/>
                <w:szCs w:val="22"/>
                <w:shd w:val="clear" w:color="auto" w:fill="FFFFFF"/>
              </w:rPr>
            </w:pPr>
            <w:r>
              <w:rPr>
                <w:rFonts w:hint="eastAsia" w:ascii="Times New Roman" w:hAnsi="Times New Roman" w:eastAsia="宋体" w:cs="Times New Roman"/>
                <w:sz w:val="18"/>
                <w:szCs w:val="22"/>
                <w:shd w:val="clear" w:color="auto" w:fill="FFFFFF"/>
              </w:rPr>
              <w:t>贵州省</w:t>
            </w:r>
          </w:p>
        </w:tc>
        <w:tc>
          <w:tcPr>
            <w:tcW w:w="3128" w:type="dxa"/>
            <w:vAlign w:val="center"/>
          </w:tcPr>
          <w:p>
            <w:pPr>
              <w:jc w:val="center"/>
              <w:rPr>
                <w:rFonts w:ascii="Times New Roman" w:hAnsi="Times New Roman" w:eastAsia="宋体" w:cs="Times New Roman"/>
                <w:sz w:val="18"/>
                <w:szCs w:val="22"/>
                <w:shd w:val="clear" w:color="auto" w:fill="FFFFFF"/>
              </w:rPr>
            </w:pPr>
            <w:r>
              <w:rPr>
                <w:rFonts w:hint="eastAsia" w:ascii="Times New Roman" w:hAnsi="Times New Roman" w:eastAsia="宋体" w:cs="Times New Roman"/>
                <w:sz w:val="18"/>
                <w:szCs w:val="22"/>
                <w:shd w:val="clear" w:color="auto" w:fill="FFFFFF"/>
              </w:rPr>
              <w:t>《环境污染物排放标准》</w:t>
            </w:r>
          </w:p>
        </w:tc>
        <w:tc>
          <w:tcPr>
            <w:tcW w:w="2608" w:type="dxa"/>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DB52 /864-2013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2792" w:type="dxa"/>
          </w:tcPr>
          <w:p>
            <w:pPr>
              <w:jc w:val="center"/>
              <w:rPr>
                <w:rFonts w:ascii="Times New Roman" w:hAnsi="Times New Roman" w:eastAsia="宋体" w:cs="Times New Roman"/>
                <w:sz w:val="18"/>
                <w:szCs w:val="22"/>
                <w:shd w:val="clear" w:color="auto" w:fill="FFFFFF"/>
              </w:rPr>
            </w:pPr>
            <w:r>
              <w:rPr>
                <w:rFonts w:hint="eastAsia" w:ascii="Times New Roman" w:hAnsi="Times New Roman" w:eastAsia="宋体" w:cs="Times New Roman"/>
                <w:sz w:val="18"/>
                <w:szCs w:val="22"/>
                <w:shd w:val="clear" w:color="auto" w:fill="FFFFFF"/>
              </w:rPr>
              <w:t>辽宁省</w:t>
            </w:r>
          </w:p>
        </w:tc>
        <w:tc>
          <w:tcPr>
            <w:tcW w:w="3128" w:type="dxa"/>
            <w:vAlign w:val="center"/>
          </w:tcPr>
          <w:p>
            <w:pPr>
              <w:jc w:val="center"/>
              <w:rPr>
                <w:rFonts w:ascii="Times New Roman" w:hAnsi="Times New Roman" w:eastAsia="宋体" w:cs="Times New Roman"/>
                <w:sz w:val="18"/>
                <w:szCs w:val="22"/>
                <w:shd w:val="clear" w:color="auto" w:fill="FFFFFF"/>
              </w:rPr>
            </w:pPr>
            <w:r>
              <w:rPr>
                <w:rFonts w:hint="eastAsia" w:ascii="Times New Roman" w:hAnsi="Times New Roman" w:eastAsia="宋体" w:cs="Times New Roman"/>
                <w:sz w:val="18"/>
                <w:szCs w:val="22"/>
                <w:shd w:val="clear" w:color="auto" w:fill="FFFFFF"/>
              </w:rPr>
              <w:t>《污水综合排放标准》</w:t>
            </w:r>
          </w:p>
        </w:tc>
        <w:tc>
          <w:tcPr>
            <w:tcW w:w="2608" w:type="dxa"/>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DB21/1627- 2008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92" w:type="dxa"/>
          </w:tcPr>
          <w:p>
            <w:pPr>
              <w:jc w:val="center"/>
              <w:rPr>
                <w:rFonts w:ascii="Times New Roman" w:hAnsi="Times New Roman" w:eastAsia="宋体" w:cs="Times New Roman"/>
                <w:sz w:val="18"/>
                <w:szCs w:val="22"/>
                <w:shd w:val="clear" w:color="auto" w:fill="FFFFFF"/>
              </w:rPr>
            </w:pPr>
            <w:r>
              <w:rPr>
                <w:rFonts w:hint="eastAsia" w:ascii="Times New Roman" w:hAnsi="Times New Roman" w:eastAsia="宋体" w:cs="Times New Roman"/>
                <w:sz w:val="18"/>
                <w:szCs w:val="22"/>
                <w:shd w:val="clear" w:color="auto" w:fill="FFFFFF"/>
              </w:rPr>
              <w:t>四川省</w:t>
            </w:r>
          </w:p>
        </w:tc>
        <w:tc>
          <w:tcPr>
            <w:tcW w:w="3128" w:type="dxa"/>
            <w:vAlign w:val="center"/>
          </w:tcPr>
          <w:p>
            <w:pPr>
              <w:jc w:val="center"/>
              <w:rPr>
                <w:rFonts w:ascii="Times New Roman" w:hAnsi="Times New Roman" w:eastAsia="宋体" w:cs="Times New Roman"/>
                <w:sz w:val="18"/>
                <w:szCs w:val="22"/>
                <w:shd w:val="clear" w:color="auto" w:fill="FFFFFF"/>
              </w:rPr>
            </w:pPr>
            <w:r>
              <w:rPr>
                <w:rFonts w:hint="eastAsia" w:ascii="Times New Roman" w:hAnsi="Times New Roman" w:eastAsia="宋体" w:cs="Times New Roman"/>
                <w:sz w:val="18"/>
                <w:szCs w:val="22"/>
                <w:shd w:val="clear" w:color="auto" w:fill="FFFFFF"/>
              </w:rPr>
              <w:t>《水污染物排放标准》</w:t>
            </w:r>
          </w:p>
        </w:tc>
        <w:tc>
          <w:tcPr>
            <w:tcW w:w="2608" w:type="dxa"/>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DB51/190-93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92" w:type="dxa"/>
          </w:tcPr>
          <w:p>
            <w:pPr>
              <w:jc w:val="center"/>
              <w:rPr>
                <w:rFonts w:ascii="Times New Roman" w:hAnsi="Times New Roman" w:eastAsia="宋体" w:cs="Times New Roman"/>
                <w:sz w:val="18"/>
                <w:szCs w:val="22"/>
                <w:shd w:val="clear" w:color="auto" w:fill="FFFFFF"/>
              </w:rPr>
            </w:pPr>
            <w:r>
              <w:rPr>
                <w:rFonts w:hint="eastAsia" w:ascii="Times New Roman" w:hAnsi="Times New Roman" w:eastAsia="宋体" w:cs="Times New Roman"/>
                <w:sz w:val="18"/>
                <w:szCs w:val="22"/>
                <w:shd w:val="clear" w:color="auto" w:fill="FFFFFF"/>
              </w:rPr>
              <w:t>河南省</w:t>
            </w:r>
          </w:p>
        </w:tc>
        <w:tc>
          <w:tcPr>
            <w:tcW w:w="3128" w:type="dxa"/>
            <w:vAlign w:val="center"/>
          </w:tcPr>
          <w:p>
            <w:pPr>
              <w:jc w:val="center"/>
              <w:rPr>
                <w:rFonts w:ascii="Times New Roman" w:hAnsi="Times New Roman" w:eastAsia="宋体" w:cs="Times New Roman"/>
                <w:sz w:val="18"/>
                <w:szCs w:val="22"/>
                <w:shd w:val="clear" w:color="auto" w:fill="FFFFFF"/>
              </w:rPr>
            </w:pPr>
            <w:r>
              <w:rPr>
                <w:rFonts w:hint="eastAsia" w:ascii="Times New Roman" w:hAnsi="Times New Roman" w:eastAsia="宋体" w:cs="Times New Roman"/>
                <w:sz w:val="18"/>
                <w:szCs w:val="22"/>
                <w:shd w:val="clear" w:color="auto" w:fill="FFFFFF"/>
              </w:rPr>
              <w:t>《盐业、碱业氯化物排放标准》</w:t>
            </w:r>
          </w:p>
        </w:tc>
        <w:tc>
          <w:tcPr>
            <w:tcW w:w="2608" w:type="dxa"/>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DB41/276- 2011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92" w:type="dxa"/>
          </w:tcPr>
          <w:p>
            <w:pPr>
              <w:jc w:val="center"/>
              <w:rPr>
                <w:rFonts w:ascii="Times New Roman" w:hAnsi="Times New Roman" w:eastAsia="宋体" w:cs="Times New Roman"/>
                <w:sz w:val="18"/>
                <w:szCs w:val="22"/>
                <w:shd w:val="clear" w:color="auto" w:fill="FFFFFF"/>
              </w:rPr>
            </w:pPr>
            <w:r>
              <w:rPr>
                <w:rFonts w:hint="eastAsia" w:ascii="Times New Roman" w:hAnsi="Times New Roman" w:eastAsia="宋体" w:cs="Times New Roman"/>
                <w:sz w:val="18"/>
                <w:szCs w:val="22"/>
                <w:shd w:val="clear" w:color="auto" w:fill="FFFFFF"/>
              </w:rPr>
              <w:t>湖北省</w:t>
            </w:r>
          </w:p>
        </w:tc>
        <w:tc>
          <w:tcPr>
            <w:tcW w:w="3128" w:type="dxa"/>
            <w:vAlign w:val="center"/>
          </w:tcPr>
          <w:p>
            <w:pPr>
              <w:jc w:val="center"/>
              <w:rPr>
                <w:rFonts w:ascii="Times New Roman" w:hAnsi="Times New Roman" w:eastAsia="宋体" w:cs="Times New Roman"/>
                <w:sz w:val="18"/>
                <w:szCs w:val="22"/>
                <w:shd w:val="clear" w:color="auto" w:fill="FFFFFF"/>
              </w:rPr>
            </w:pPr>
            <w:r>
              <w:rPr>
                <w:rFonts w:hint="eastAsia" w:ascii="Times New Roman" w:hAnsi="Times New Roman" w:eastAsia="宋体" w:cs="Times New Roman"/>
                <w:sz w:val="18"/>
                <w:szCs w:val="22"/>
                <w:shd w:val="clear" w:color="auto" w:fill="FFFFFF"/>
              </w:rPr>
              <w:t>《府河流域氯化物排放标准》</w:t>
            </w:r>
          </w:p>
        </w:tc>
        <w:tc>
          <w:tcPr>
            <w:tcW w:w="2608" w:type="dxa"/>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DB42/168- 1999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2792" w:type="dxa"/>
          </w:tcPr>
          <w:p>
            <w:pPr>
              <w:jc w:val="center"/>
              <w:rPr>
                <w:rFonts w:ascii="Times New Roman" w:hAnsi="Times New Roman" w:eastAsia="宋体" w:cs="Times New Roman"/>
                <w:sz w:val="18"/>
                <w:szCs w:val="22"/>
                <w:shd w:val="clear" w:color="auto" w:fill="FFFFFF"/>
              </w:rPr>
            </w:pPr>
            <w:r>
              <w:rPr>
                <w:rFonts w:hint="eastAsia" w:ascii="Times New Roman" w:hAnsi="Times New Roman" w:eastAsia="宋体" w:cs="Times New Roman"/>
                <w:sz w:val="18"/>
                <w:szCs w:val="22"/>
                <w:shd w:val="clear" w:color="auto" w:fill="FFFFFF"/>
              </w:rPr>
              <w:t>重庆市</w:t>
            </w:r>
          </w:p>
        </w:tc>
        <w:tc>
          <w:tcPr>
            <w:tcW w:w="3128" w:type="dxa"/>
            <w:vAlign w:val="center"/>
          </w:tcPr>
          <w:p>
            <w:pPr>
              <w:jc w:val="center"/>
              <w:rPr>
                <w:rFonts w:ascii="Times New Roman" w:hAnsi="Times New Roman" w:eastAsia="宋体" w:cs="Times New Roman"/>
                <w:sz w:val="18"/>
                <w:szCs w:val="22"/>
                <w:shd w:val="clear" w:color="auto" w:fill="FFFFFF"/>
              </w:rPr>
            </w:pPr>
            <w:r>
              <w:rPr>
                <w:rFonts w:hint="eastAsia" w:ascii="Times New Roman" w:hAnsi="Times New Roman" w:eastAsia="宋体" w:cs="Times New Roman"/>
                <w:sz w:val="18"/>
                <w:szCs w:val="22"/>
                <w:shd w:val="clear" w:color="auto" w:fill="FFFFFF"/>
              </w:rPr>
              <w:t>《榨菜</w:t>
            </w:r>
            <w:r>
              <w:rPr>
                <w:rFonts w:ascii="Times New Roman" w:hAnsi="Times New Roman" w:eastAsia="宋体" w:cs="Times New Roman"/>
                <w:sz w:val="18"/>
                <w:szCs w:val="22"/>
                <w:shd w:val="clear" w:color="auto" w:fill="FFFFFF"/>
              </w:rPr>
              <w:t>行业水污染物排放标准</w:t>
            </w:r>
            <w:r>
              <w:rPr>
                <w:rFonts w:hint="eastAsia" w:ascii="Times New Roman" w:hAnsi="Times New Roman" w:eastAsia="宋体" w:cs="Times New Roman"/>
                <w:sz w:val="18"/>
                <w:szCs w:val="22"/>
                <w:shd w:val="clear" w:color="auto" w:fill="FFFFFF"/>
              </w:rPr>
              <w:t>》</w:t>
            </w:r>
          </w:p>
        </w:tc>
        <w:tc>
          <w:tcPr>
            <w:tcW w:w="2608" w:type="dxa"/>
            <w:vAlign w:val="center"/>
          </w:tcPr>
          <w:p>
            <w:pPr>
              <w:jc w:val="center"/>
              <w:rPr>
                <w:rFonts w:ascii="Times New Roman" w:hAnsi="Times New Roman" w:eastAsia="宋体" w:cs="Times New Roman"/>
                <w:sz w:val="18"/>
                <w:szCs w:val="22"/>
                <w:shd w:val="clear" w:color="auto" w:fill="FFFFFF"/>
              </w:rPr>
            </w:pPr>
            <w:r>
              <w:rPr>
                <w:rFonts w:hint="eastAsia" w:ascii="Times New Roman" w:hAnsi="Times New Roman" w:eastAsia="宋体" w:cs="Times New Roman"/>
                <w:sz w:val="18"/>
                <w:szCs w:val="22"/>
                <w:shd w:val="clear" w:color="auto" w:fill="FFFFFF"/>
              </w:rPr>
              <w:t>DB 50/1050-2020</w:t>
            </w:r>
          </w:p>
        </w:tc>
      </w:tr>
    </w:tbl>
    <w:p>
      <w:pPr>
        <w:spacing w:line="440" w:lineRule="exact"/>
        <w:ind w:firstLine="420" w:firstLineChars="200"/>
        <w:jc w:val="left"/>
        <w:rPr>
          <w:rFonts w:ascii="Times New Roman" w:hAnsi="Times New Roman" w:eastAsia="宋体" w:cs="Times New Roman"/>
          <w:szCs w:val="22"/>
        </w:rPr>
      </w:pPr>
      <w:r>
        <w:rPr>
          <w:rFonts w:ascii="Times New Roman" w:hAnsi="Times New Roman" w:eastAsia="宋体" w:cs="Times New Roman"/>
          <w:szCs w:val="22"/>
        </w:rPr>
        <w:t>北京市《水污染物综合排放标准》（DB11/307-2013）规定了向公共污水处理系统排放的氯化物浓度不得高于500mg/L，针对直接排放到地表水体的氯化物浓度并无明确规定。</w:t>
      </w:r>
    </w:p>
    <w:p>
      <w:pPr>
        <w:spacing w:line="440" w:lineRule="exact"/>
        <w:ind w:firstLine="420" w:firstLineChars="200"/>
        <w:jc w:val="left"/>
        <w:rPr>
          <w:rFonts w:ascii="Times New Roman" w:hAnsi="Times New Roman" w:eastAsia="宋体" w:cs="Times New Roman"/>
          <w:szCs w:val="22"/>
        </w:rPr>
      </w:pPr>
      <w:r>
        <w:rPr>
          <w:rFonts w:ascii="Times New Roman" w:hAnsi="Times New Roman" w:eastAsia="宋体" w:cs="Times New Roman"/>
          <w:szCs w:val="22"/>
        </w:rPr>
        <w:t>贵州省《环境污染物排放标准》（DB52 /864-2013）将地表水水域划为禁止排放区和允许排放区两类，并将标准进行分级划分，将第二类污染物最高允许排放浓度按照排水去向分为一级和二级，其中直接排入地表水体的污水执行一级排放标准，排入集中式污水处理厂的污水执行二级排放标准。该标准中氯化物一级排放限值为250mg/L，二级排放限值为450mg/L，并对所有污染源执行统一标准。</w:t>
      </w:r>
    </w:p>
    <w:p>
      <w:pPr>
        <w:spacing w:line="440" w:lineRule="exact"/>
        <w:ind w:firstLine="420" w:firstLineChars="200"/>
        <w:jc w:val="left"/>
        <w:rPr>
          <w:rFonts w:ascii="Times New Roman" w:hAnsi="Times New Roman" w:eastAsia="宋体" w:cs="Times New Roman"/>
          <w:szCs w:val="22"/>
        </w:rPr>
      </w:pPr>
      <w:r>
        <w:rPr>
          <w:rFonts w:ascii="Times New Roman" w:hAnsi="Times New Roman" w:eastAsia="宋体" w:cs="Times New Roman"/>
          <w:szCs w:val="22"/>
        </w:rPr>
        <w:t>辽宁省《污水综合排放标准》（DB21/1627-2008）规定直接排放的氯化物最高允许浓度为400mg/L，排入污水处理厂的氯化物限值为1000mg/L，其中还特别规定了排水用于农田灌溉的氯离子浓度限值为250mg/L，污水回用处理反渗透膜浓水排放氯离子浓度限值为1000mg/L。</w:t>
      </w:r>
    </w:p>
    <w:p>
      <w:pPr>
        <w:spacing w:line="440" w:lineRule="exact"/>
        <w:ind w:firstLine="420" w:firstLineChars="200"/>
        <w:jc w:val="left"/>
        <w:rPr>
          <w:rFonts w:ascii="Times New Roman" w:hAnsi="Times New Roman" w:eastAsia="宋体" w:cs="Times New Roman"/>
          <w:szCs w:val="22"/>
        </w:rPr>
      </w:pPr>
      <w:r>
        <w:rPr>
          <w:rFonts w:ascii="Times New Roman" w:hAnsi="Times New Roman" w:eastAsia="宋体" w:cs="Times New Roman"/>
          <w:szCs w:val="22"/>
        </w:rPr>
        <w:t>四川省《水污染物排放标准》（DB51/190-93）根据水体的稀释、自净能力和水质状况，将地面水水域分成A、B、C三类，随后再根据地面水域环境功能划类、地面水水域分类、排污单位性质和污水排放去向将标准划分成一、二、三、四、五、W这六个等级，其中氯化物在六个等级中所对应的最高允许排放浓度分别为300 mg/L、350 mg/L、400 mg/L、500 mg/L、600 mg/L、1000 mg/L。</w:t>
      </w:r>
    </w:p>
    <w:p>
      <w:pPr>
        <w:spacing w:line="440" w:lineRule="exact"/>
        <w:ind w:firstLine="420" w:firstLineChars="200"/>
        <w:jc w:val="left"/>
        <w:rPr>
          <w:rFonts w:ascii="Times New Roman" w:hAnsi="Times New Roman" w:eastAsia="宋体" w:cs="Times New Roman"/>
          <w:szCs w:val="22"/>
        </w:rPr>
      </w:pPr>
      <w:r>
        <w:rPr>
          <w:rFonts w:ascii="Times New Roman" w:hAnsi="Times New Roman" w:eastAsia="宋体" w:cs="Times New Roman"/>
          <w:szCs w:val="22"/>
        </w:rPr>
        <w:t>河北省《氯化物排放标准》（DB13/831-2006）按地表水使用功能要求和废水排放去向将含氯废水最高允许排放限值划分为一级、二级、三级等三个等级，并分成</w:t>
      </w:r>
      <w:r>
        <w:rPr>
          <w:rFonts w:hint="eastAsia" w:ascii="Times New Roman" w:hAnsi="Times New Roman" w:eastAsia="宋体" w:cs="Times New Roman"/>
          <w:szCs w:val="22"/>
        </w:rPr>
        <w:t>Ⅰ</w:t>
      </w:r>
      <w:r>
        <w:rPr>
          <w:rFonts w:ascii="Times New Roman" w:hAnsi="Times New Roman" w:eastAsia="宋体" w:cs="Times New Roman"/>
          <w:szCs w:val="22"/>
        </w:rPr>
        <w:t>类</w:t>
      </w:r>
      <w:r>
        <w:rPr>
          <w:rFonts w:hint="eastAsia" w:ascii="Times New Roman" w:hAnsi="Times New Roman" w:eastAsia="宋体" w:cs="Times New Roman"/>
          <w:szCs w:val="22"/>
        </w:rPr>
        <w:t>Ⅱ</w:t>
      </w:r>
      <w:r>
        <w:rPr>
          <w:rFonts w:ascii="Times New Roman" w:hAnsi="Times New Roman" w:eastAsia="宋体" w:cs="Times New Roman"/>
          <w:szCs w:val="22"/>
        </w:rPr>
        <w:t>类两种排放限值，其中新建、扩建和改造单位执行</w:t>
      </w:r>
      <w:r>
        <w:rPr>
          <w:rFonts w:hint="eastAsia" w:ascii="Times New Roman" w:hAnsi="Times New Roman" w:eastAsia="宋体" w:cs="Times New Roman"/>
          <w:szCs w:val="22"/>
        </w:rPr>
        <w:t>Ⅰ</w:t>
      </w:r>
      <w:r>
        <w:rPr>
          <w:rFonts w:ascii="Times New Roman" w:hAnsi="Times New Roman" w:eastAsia="宋体" w:cs="Times New Roman"/>
          <w:szCs w:val="22"/>
        </w:rPr>
        <w:t>类排放限值，现有单位暂执行</w:t>
      </w:r>
      <w:r>
        <w:rPr>
          <w:rFonts w:hint="eastAsia" w:ascii="Times New Roman" w:hAnsi="Times New Roman" w:eastAsia="宋体" w:cs="Times New Roman"/>
          <w:szCs w:val="22"/>
        </w:rPr>
        <w:t>Ⅱ</w:t>
      </w:r>
      <w:r>
        <w:rPr>
          <w:rFonts w:ascii="Times New Roman" w:hAnsi="Times New Roman" w:eastAsia="宋体" w:cs="Times New Roman"/>
          <w:szCs w:val="22"/>
        </w:rPr>
        <w:t>类排放限值。不同行业和不同类型的企事业单位含氯废水排放标准如表</w:t>
      </w:r>
      <w:r>
        <w:rPr>
          <w:rFonts w:hint="eastAsia" w:ascii="Times New Roman" w:hAnsi="Times New Roman" w:eastAsia="宋体" w:cs="Times New Roman"/>
          <w:szCs w:val="22"/>
        </w:rPr>
        <w:t>5</w:t>
      </w:r>
      <w:r>
        <w:rPr>
          <w:rFonts w:ascii="Times New Roman" w:hAnsi="Times New Roman" w:eastAsia="宋体" w:cs="Times New Roman"/>
          <w:szCs w:val="22"/>
        </w:rPr>
        <w:t>-</w:t>
      </w:r>
      <w:r>
        <w:rPr>
          <w:rFonts w:hint="eastAsia" w:ascii="Times New Roman" w:hAnsi="Times New Roman" w:eastAsia="宋体" w:cs="Times New Roman"/>
          <w:szCs w:val="22"/>
        </w:rPr>
        <w:t>6</w:t>
      </w:r>
      <w:r>
        <w:rPr>
          <w:rFonts w:ascii="Times New Roman" w:hAnsi="Times New Roman" w:eastAsia="宋体" w:cs="Times New Roman"/>
          <w:szCs w:val="22"/>
        </w:rPr>
        <w:t>所示。</w:t>
      </w:r>
    </w:p>
    <w:p>
      <w:pPr>
        <w:spacing w:line="440" w:lineRule="exact"/>
        <w:ind w:firstLine="421" w:firstLineChars="200"/>
        <w:jc w:val="center"/>
        <w:rPr>
          <w:rFonts w:ascii="Times New Roman" w:hAnsi="Times New Roman" w:eastAsia="宋体" w:cs="Times New Roman"/>
          <w:b/>
        </w:rPr>
      </w:pPr>
      <w:r>
        <w:rPr>
          <w:rFonts w:ascii="Times New Roman" w:hAnsi="Times New Roman" w:eastAsia="宋体" w:cs="Times New Roman"/>
          <w:b/>
        </w:rPr>
        <w:t>表</w:t>
      </w:r>
      <w:r>
        <w:rPr>
          <w:rFonts w:hint="eastAsia" w:ascii="Times New Roman" w:hAnsi="Times New Roman" w:eastAsia="宋体" w:cs="Times New Roman"/>
          <w:b/>
        </w:rPr>
        <w:t>5</w:t>
      </w:r>
      <w:r>
        <w:rPr>
          <w:rFonts w:ascii="Times New Roman" w:hAnsi="Times New Roman" w:eastAsia="宋体" w:cs="Times New Roman"/>
          <w:b/>
        </w:rPr>
        <w:t>-</w:t>
      </w:r>
      <w:r>
        <w:rPr>
          <w:rFonts w:hint="eastAsia" w:ascii="Times New Roman" w:hAnsi="Times New Roman" w:eastAsia="宋体" w:cs="Times New Roman"/>
          <w:b/>
        </w:rPr>
        <w:t xml:space="preserve">6 </w:t>
      </w:r>
      <w:r>
        <w:rPr>
          <w:rFonts w:ascii="Times New Roman" w:hAnsi="Times New Roman" w:eastAsia="宋体" w:cs="Times New Roman"/>
          <w:b/>
        </w:rPr>
        <w:t>河北省地方标准中各行业氯化物排放限值</w:t>
      </w:r>
    </w:p>
    <w:tbl>
      <w:tblPr>
        <w:tblStyle w:val="25"/>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704"/>
        <w:gridCol w:w="1704"/>
        <w:gridCol w:w="1704"/>
        <w:gridCol w:w="1705"/>
        <w:gridCol w:w="170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blHeader/>
        </w:trPr>
        <w:tc>
          <w:tcPr>
            <w:tcW w:w="1704" w:type="dxa"/>
            <w:vMerge w:val="restart"/>
            <w:vAlign w:val="center"/>
          </w:tcPr>
          <w:p>
            <w:pPr>
              <w:jc w:val="center"/>
              <w:rPr>
                <w:rFonts w:ascii="Times New Roman" w:hAnsi="Times New Roman" w:eastAsia="宋体" w:cs="Times New Roman"/>
                <w:b/>
                <w:sz w:val="18"/>
                <w:szCs w:val="22"/>
                <w:shd w:val="clear" w:color="auto" w:fill="FFFFFF"/>
              </w:rPr>
            </w:pPr>
            <w:r>
              <w:rPr>
                <w:rFonts w:ascii="Times New Roman" w:hAnsi="Times New Roman" w:eastAsia="宋体" w:cs="Times New Roman"/>
                <w:b/>
                <w:sz w:val="18"/>
                <w:szCs w:val="22"/>
                <w:shd w:val="clear" w:color="auto" w:fill="FFFFFF"/>
              </w:rPr>
              <w:t>行业分类</w:t>
            </w:r>
          </w:p>
        </w:tc>
        <w:tc>
          <w:tcPr>
            <w:tcW w:w="1704" w:type="dxa"/>
            <w:vMerge w:val="restart"/>
            <w:vAlign w:val="center"/>
          </w:tcPr>
          <w:p>
            <w:pPr>
              <w:jc w:val="center"/>
              <w:rPr>
                <w:rFonts w:ascii="Times New Roman" w:hAnsi="Times New Roman" w:eastAsia="宋体" w:cs="Times New Roman"/>
                <w:b/>
                <w:sz w:val="18"/>
                <w:szCs w:val="22"/>
                <w:shd w:val="clear" w:color="auto" w:fill="FFFFFF"/>
              </w:rPr>
            </w:pPr>
            <w:r>
              <w:rPr>
                <w:rFonts w:ascii="Times New Roman" w:hAnsi="Times New Roman" w:eastAsia="宋体" w:cs="Times New Roman"/>
                <w:b/>
                <w:sz w:val="18"/>
                <w:szCs w:val="22"/>
                <w:shd w:val="clear" w:color="auto" w:fill="FFFFFF"/>
              </w:rPr>
              <w:t>分类</w:t>
            </w:r>
          </w:p>
        </w:tc>
        <w:tc>
          <w:tcPr>
            <w:tcW w:w="5114" w:type="dxa"/>
            <w:gridSpan w:val="3"/>
            <w:vAlign w:val="center"/>
          </w:tcPr>
          <w:p>
            <w:pPr>
              <w:jc w:val="center"/>
              <w:rPr>
                <w:rFonts w:ascii="Times New Roman" w:hAnsi="Times New Roman" w:eastAsia="宋体" w:cs="Times New Roman"/>
                <w:b/>
                <w:sz w:val="18"/>
                <w:szCs w:val="22"/>
                <w:shd w:val="clear" w:color="auto" w:fill="FFFFFF"/>
              </w:rPr>
            </w:pPr>
            <w:r>
              <w:rPr>
                <w:rFonts w:ascii="Times New Roman" w:hAnsi="Times New Roman" w:eastAsia="宋体" w:cs="Times New Roman"/>
                <w:b/>
                <w:sz w:val="18"/>
                <w:szCs w:val="22"/>
                <w:shd w:val="clear" w:color="auto" w:fill="FFFFFF"/>
              </w:rPr>
              <w:t>氯化物最高允许排放浓度限值（以Cl</w:t>
            </w:r>
            <w:r>
              <w:rPr>
                <w:rFonts w:ascii="Times New Roman" w:hAnsi="Times New Roman" w:eastAsia="宋体" w:cs="Times New Roman"/>
                <w:b/>
                <w:sz w:val="18"/>
                <w:szCs w:val="22"/>
                <w:shd w:val="clear" w:color="auto" w:fill="FFFFFF"/>
                <w:vertAlign w:val="superscript"/>
              </w:rPr>
              <w:t>-</w:t>
            </w:r>
            <w:r>
              <w:rPr>
                <w:rFonts w:ascii="Times New Roman" w:hAnsi="Times New Roman" w:eastAsia="宋体" w:cs="Times New Roman"/>
                <w:b/>
                <w:sz w:val="18"/>
                <w:szCs w:val="22"/>
                <w:shd w:val="clear" w:color="auto" w:fill="FFFFFF"/>
              </w:rPr>
              <w:t>浓度计）（mg/L）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blHeader/>
        </w:trPr>
        <w:tc>
          <w:tcPr>
            <w:tcW w:w="1704" w:type="dxa"/>
            <w:vMerge w:val="continue"/>
            <w:vAlign w:val="center"/>
          </w:tcPr>
          <w:p>
            <w:pPr>
              <w:jc w:val="center"/>
              <w:rPr>
                <w:rFonts w:ascii="Times New Roman" w:hAnsi="Times New Roman" w:eastAsia="宋体" w:cs="Times New Roman"/>
                <w:b/>
                <w:sz w:val="18"/>
                <w:szCs w:val="22"/>
                <w:shd w:val="clear" w:color="auto" w:fill="FFFFFF"/>
              </w:rPr>
            </w:pPr>
          </w:p>
        </w:tc>
        <w:tc>
          <w:tcPr>
            <w:tcW w:w="1704" w:type="dxa"/>
            <w:vMerge w:val="continue"/>
            <w:vAlign w:val="center"/>
          </w:tcPr>
          <w:p>
            <w:pPr>
              <w:jc w:val="center"/>
              <w:rPr>
                <w:rFonts w:ascii="Times New Roman" w:hAnsi="Times New Roman" w:eastAsia="宋体" w:cs="Times New Roman"/>
                <w:b/>
                <w:sz w:val="18"/>
                <w:szCs w:val="22"/>
                <w:shd w:val="clear" w:color="auto" w:fill="FFFFFF"/>
              </w:rPr>
            </w:pPr>
          </w:p>
        </w:tc>
        <w:tc>
          <w:tcPr>
            <w:tcW w:w="1704" w:type="dxa"/>
            <w:vAlign w:val="center"/>
          </w:tcPr>
          <w:p>
            <w:pPr>
              <w:jc w:val="center"/>
              <w:rPr>
                <w:rFonts w:ascii="Times New Roman" w:hAnsi="Times New Roman" w:eastAsia="宋体" w:cs="Times New Roman"/>
                <w:b/>
                <w:sz w:val="18"/>
                <w:szCs w:val="22"/>
                <w:shd w:val="clear" w:color="auto" w:fill="FFFFFF"/>
              </w:rPr>
            </w:pPr>
            <w:r>
              <w:rPr>
                <w:rFonts w:ascii="Times New Roman" w:hAnsi="Times New Roman" w:eastAsia="宋体" w:cs="Times New Roman"/>
                <w:b/>
                <w:sz w:val="18"/>
                <w:szCs w:val="22"/>
                <w:shd w:val="clear" w:color="auto" w:fill="FFFFFF"/>
              </w:rPr>
              <w:t>一级</w:t>
            </w:r>
          </w:p>
        </w:tc>
        <w:tc>
          <w:tcPr>
            <w:tcW w:w="1705" w:type="dxa"/>
            <w:vAlign w:val="center"/>
          </w:tcPr>
          <w:p>
            <w:pPr>
              <w:jc w:val="center"/>
              <w:rPr>
                <w:rFonts w:ascii="Times New Roman" w:hAnsi="Times New Roman" w:eastAsia="宋体" w:cs="Times New Roman"/>
                <w:b/>
                <w:sz w:val="18"/>
                <w:szCs w:val="22"/>
                <w:shd w:val="clear" w:color="auto" w:fill="FFFFFF"/>
              </w:rPr>
            </w:pPr>
            <w:r>
              <w:rPr>
                <w:rFonts w:ascii="Times New Roman" w:hAnsi="Times New Roman" w:eastAsia="宋体" w:cs="Times New Roman"/>
                <w:b/>
                <w:sz w:val="18"/>
                <w:szCs w:val="22"/>
                <w:shd w:val="clear" w:color="auto" w:fill="FFFFFF"/>
              </w:rPr>
              <w:t>二级</w:t>
            </w:r>
          </w:p>
        </w:tc>
        <w:tc>
          <w:tcPr>
            <w:tcW w:w="1705" w:type="dxa"/>
            <w:vAlign w:val="center"/>
          </w:tcPr>
          <w:p>
            <w:pPr>
              <w:jc w:val="center"/>
              <w:rPr>
                <w:rFonts w:ascii="Times New Roman" w:hAnsi="Times New Roman" w:eastAsia="宋体" w:cs="Times New Roman"/>
                <w:b/>
                <w:sz w:val="18"/>
                <w:szCs w:val="22"/>
                <w:shd w:val="clear" w:color="auto" w:fill="FFFFFF"/>
              </w:rPr>
            </w:pPr>
            <w:r>
              <w:rPr>
                <w:rFonts w:ascii="Times New Roman" w:hAnsi="Times New Roman" w:eastAsia="宋体" w:cs="Times New Roman"/>
                <w:b/>
                <w:sz w:val="18"/>
                <w:szCs w:val="22"/>
                <w:shd w:val="clear" w:color="auto" w:fill="FFFFFF"/>
              </w:rPr>
              <w:t>三级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04" w:type="dxa"/>
            <w:vMerge w:val="restart"/>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盐化工</w:t>
            </w:r>
          </w:p>
        </w:tc>
        <w:tc>
          <w:tcPr>
            <w:tcW w:w="1704" w:type="dxa"/>
            <w:vAlign w:val="center"/>
          </w:tcPr>
          <w:p>
            <w:pPr>
              <w:jc w:val="center"/>
              <w:rPr>
                <w:rFonts w:ascii="Times New Roman" w:hAnsi="Times New Roman" w:eastAsia="宋体" w:cs="Times New Roman"/>
                <w:sz w:val="18"/>
                <w:szCs w:val="22"/>
                <w:shd w:val="clear" w:color="auto" w:fill="FFFFFF"/>
              </w:rPr>
            </w:pPr>
            <w:r>
              <w:rPr>
                <w:rFonts w:hint="eastAsia" w:ascii="宋体" w:hAnsi="宋体" w:eastAsia="宋体" w:cs="宋体"/>
                <w:sz w:val="18"/>
                <w:szCs w:val="22"/>
                <w:shd w:val="clear" w:color="auto" w:fill="FFFFFF"/>
              </w:rPr>
              <w:t>Ⅰ</w:t>
            </w:r>
          </w:p>
        </w:tc>
        <w:tc>
          <w:tcPr>
            <w:tcW w:w="3409" w:type="dxa"/>
            <w:gridSpan w:val="2"/>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300</w:t>
            </w:r>
          </w:p>
        </w:tc>
        <w:tc>
          <w:tcPr>
            <w:tcW w:w="1705" w:type="dxa"/>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500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1704" w:type="dxa"/>
            <w:vMerge w:val="continue"/>
            <w:vAlign w:val="center"/>
          </w:tcPr>
          <w:p>
            <w:pPr>
              <w:jc w:val="center"/>
              <w:rPr>
                <w:rFonts w:ascii="Times New Roman" w:hAnsi="Times New Roman" w:eastAsia="宋体" w:cs="Times New Roman"/>
                <w:sz w:val="18"/>
                <w:szCs w:val="22"/>
                <w:shd w:val="clear" w:color="auto" w:fill="FFFFFF"/>
              </w:rPr>
            </w:pPr>
          </w:p>
        </w:tc>
        <w:tc>
          <w:tcPr>
            <w:tcW w:w="1704" w:type="dxa"/>
            <w:vAlign w:val="center"/>
          </w:tcPr>
          <w:p>
            <w:pPr>
              <w:jc w:val="center"/>
              <w:rPr>
                <w:rFonts w:ascii="Times New Roman" w:hAnsi="Times New Roman" w:eastAsia="宋体" w:cs="Times New Roman"/>
                <w:sz w:val="18"/>
                <w:szCs w:val="22"/>
                <w:shd w:val="clear" w:color="auto" w:fill="FFFFFF"/>
              </w:rPr>
            </w:pPr>
            <w:r>
              <w:rPr>
                <w:rFonts w:hint="eastAsia" w:ascii="宋体" w:hAnsi="宋体" w:eastAsia="宋体" w:cs="宋体"/>
                <w:sz w:val="18"/>
                <w:szCs w:val="22"/>
                <w:shd w:val="clear" w:color="auto" w:fill="FFFFFF"/>
              </w:rPr>
              <w:t>Ⅱ</w:t>
            </w:r>
          </w:p>
        </w:tc>
        <w:tc>
          <w:tcPr>
            <w:tcW w:w="1704" w:type="dxa"/>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350</w:t>
            </w:r>
          </w:p>
        </w:tc>
        <w:tc>
          <w:tcPr>
            <w:tcW w:w="1705" w:type="dxa"/>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400</w:t>
            </w:r>
          </w:p>
        </w:tc>
        <w:tc>
          <w:tcPr>
            <w:tcW w:w="1705" w:type="dxa"/>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600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04" w:type="dxa"/>
            <w:vMerge w:val="restart"/>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金属表面处理及热处理加工</w:t>
            </w:r>
          </w:p>
        </w:tc>
        <w:tc>
          <w:tcPr>
            <w:tcW w:w="1704" w:type="dxa"/>
            <w:vAlign w:val="center"/>
          </w:tcPr>
          <w:p>
            <w:pPr>
              <w:jc w:val="center"/>
              <w:rPr>
                <w:rFonts w:ascii="Times New Roman" w:hAnsi="Times New Roman" w:eastAsia="宋体" w:cs="Times New Roman"/>
                <w:sz w:val="18"/>
                <w:szCs w:val="22"/>
                <w:shd w:val="clear" w:color="auto" w:fill="FFFFFF"/>
              </w:rPr>
            </w:pPr>
            <w:r>
              <w:rPr>
                <w:rFonts w:hint="eastAsia" w:ascii="宋体" w:hAnsi="宋体" w:eastAsia="宋体" w:cs="宋体"/>
                <w:sz w:val="18"/>
                <w:szCs w:val="22"/>
                <w:shd w:val="clear" w:color="auto" w:fill="FFFFFF"/>
              </w:rPr>
              <w:t>Ⅰ</w:t>
            </w:r>
          </w:p>
        </w:tc>
        <w:tc>
          <w:tcPr>
            <w:tcW w:w="1704" w:type="dxa"/>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250</w:t>
            </w:r>
          </w:p>
        </w:tc>
        <w:tc>
          <w:tcPr>
            <w:tcW w:w="1705" w:type="dxa"/>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300</w:t>
            </w:r>
          </w:p>
        </w:tc>
        <w:tc>
          <w:tcPr>
            <w:tcW w:w="1705" w:type="dxa"/>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400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04" w:type="dxa"/>
            <w:vMerge w:val="continue"/>
            <w:vAlign w:val="center"/>
          </w:tcPr>
          <w:p>
            <w:pPr>
              <w:jc w:val="center"/>
              <w:rPr>
                <w:rFonts w:ascii="Times New Roman" w:hAnsi="Times New Roman" w:eastAsia="宋体" w:cs="Times New Roman"/>
                <w:sz w:val="18"/>
                <w:szCs w:val="22"/>
                <w:shd w:val="clear" w:color="auto" w:fill="FFFFFF"/>
              </w:rPr>
            </w:pPr>
          </w:p>
        </w:tc>
        <w:tc>
          <w:tcPr>
            <w:tcW w:w="1704" w:type="dxa"/>
            <w:vAlign w:val="center"/>
          </w:tcPr>
          <w:p>
            <w:pPr>
              <w:jc w:val="center"/>
              <w:rPr>
                <w:rFonts w:ascii="Times New Roman" w:hAnsi="Times New Roman" w:eastAsia="宋体" w:cs="Times New Roman"/>
                <w:sz w:val="18"/>
                <w:szCs w:val="22"/>
                <w:shd w:val="clear" w:color="auto" w:fill="FFFFFF"/>
              </w:rPr>
            </w:pPr>
            <w:r>
              <w:rPr>
                <w:rFonts w:hint="eastAsia" w:ascii="宋体" w:hAnsi="宋体" w:eastAsia="宋体" w:cs="宋体"/>
                <w:sz w:val="18"/>
                <w:szCs w:val="22"/>
                <w:shd w:val="clear" w:color="auto" w:fill="FFFFFF"/>
              </w:rPr>
              <w:t>Ⅱ</w:t>
            </w:r>
          </w:p>
        </w:tc>
        <w:tc>
          <w:tcPr>
            <w:tcW w:w="1704" w:type="dxa"/>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300</w:t>
            </w:r>
          </w:p>
        </w:tc>
        <w:tc>
          <w:tcPr>
            <w:tcW w:w="1705" w:type="dxa"/>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350</w:t>
            </w:r>
          </w:p>
        </w:tc>
        <w:tc>
          <w:tcPr>
            <w:tcW w:w="1705" w:type="dxa"/>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450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04" w:type="dxa"/>
            <w:vMerge w:val="restart"/>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皮革、毛皮及其制品业</w:t>
            </w:r>
          </w:p>
        </w:tc>
        <w:tc>
          <w:tcPr>
            <w:tcW w:w="1704" w:type="dxa"/>
            <w:vAlign w:val="center"/>
          </w:tcPr>
          <w:p>
            <w:pPr>
              <w:jc w:val="center"/>
              <w:rPr>
                <w:rFonts w:ascii="Times New Roman" w:hAnsi="Times New Roman" w:eastAsia="宋体" w:cs="Times New Roman"/>
                <w:sz w:val="18"/>
                <w:szCs w:val="22"/>
                <w:shd w:val="clear" w:color="auto" w:fill="FFFFFF"/>
              </w:rPr>
            </w:pPr>
            <w:r>
              <w:rPr>
                <w:rFonts w:hint="eastAsia" w:ascii="宋体" w:hAnsi="宋体" w:eastAsia="宋体" w:cs="宋体"/>
                <w:sz w:val="18"/>
                <w:szCs w:val="22"/>
                <w:shd w:val="clear" w:color="auto" w:fill="FFFFFF"/>
              </w:rPr>
              <w:t>Ⅰ</w:t>
            </w:r>
          </w:p>
        </w:tc>
        <w:tc>
          <w:tcPr>
            <w:tcW w:w="1704" w:type="dxa"/>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250</w:t>
            </w:r>
          </w:p>
        </w:tc>
        <w:tc>
          <w:tcPr>
            <w:tcW w:w="1705" w:type="dxa"/>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300</w:t>
            </w:r>
          </w:p>
        </w:tc>
        <w:tc>
          <w:tcPr>
            <w:tcW w:w="1705" w:type="dxa"/>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400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1704" w:type="dxa"/>
            <w:vMerge w:val="continue"/>
            <w:vAlign w:val="center"/>
          </w:tcPr>
          <w:p>
            <w:pPr>
              <w:jc w:val="center"/>
              <w:rPr>
                <w:rFonts w:ascii="Times New Roman" w:hAnsi="Times New Roman" w:eastAsia="宋体" w:cs="Times New Roman"/>
                <w:sz w:val="18"/>
                <w:szCs w:val="22"/>
                <w:shd w:val="clear" w:color="auto" w:fill="FFFFFF"/>
              </w:rPr>
            </w:pPr>
          </w:p>
        </w:tc>
        <w:tc>
          <w:tcPr>
            <w:tcW w:w="1704" w:type="dxa"/>
            <w:vAlign w:val="center"/>
          </w:tcPr>
          <w:p>
            <w:pPr>
              <w:jc w:val="center"/>
              <w:rPr>
                <w:rFonts w:ascii="Times New Roman" w:hAnsi="Times New Roman" w:eastAsia="宋体" w:cs="Times New Roman"/>
                <w:sz w:val="18"/>
                <w:szCs w:val="22"/>
                <w:shd w:val="clear" w:color="auto" w:fill="FFFFFF"/>
              </w:rPr>
            </w:pPr>
            <w:r>
              <w:rPr>
                <w:rFonts w:hint="eastAsia" w:ascii="宋体" w:hAnsi="宋体" w:eastAsia="宋体" w:cs="宋体"/>
                <w:sz w:val="18"/>
                <w:szCs w:val="22"/>
                <w:shd w:val="clear" w:color="auto" w:fill="FFFFFF"/>
              </w:rPr>
              <w:t>Ⅱ</w:t>
            </w:r>
          </w:p>
        </w:tc>
        <w:tc>
          <w:tcPr>
            <w:tcW w:w="1704" w:type="dxa"/>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300</w:t>
            </w:r>
          </w:p>
        </w:tc>
        <w:tc>
          <w:tcPr>
            <w:tcW w:w="1705" w:type="dxa"/>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350</w:t>
            </w:r>
          </w:p>
        </w:tc>
        <w:tc>
          <w:tcPr>
            <w:tcW w:w="1705" w:type="dxa"/>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450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04" w:type="dxa"/>
            <w:vMerge w:val="restart"/>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其它行业</w:t>
            </w:r>
          </w:p>
        </w:tc>
        <w:tc>
          <w:tcPr>
            <w:tcW w:w="1704" w:type="dxa"/>
            <w:vAlign w:val="center"/>
          </w:tcPr>
          <w:p>
            <w:pPr>
              <w:jc w:val="center"/>
              <w:rPr>
                <w:rFonts w:ascii="Times New Roman" w:hAnsi="Times New Roman" w:eastAsia="宋体" w:cs="Times New Roman"/>
                <w:sz w:val="18"/>
                <w:szCs w:val="22"/>
                <w:shd w:val="clear" w:color="auto" w:fill="FFFFFF"/>
              </w:rPr>
            </w:pPr>
            <w:r>
              <w:rPr>
                <w:rFonts w:hint="eastAsia" w:ascii="宋体" w:hAnsi="宋体" w:eastAsia="宋体" w:cs="宋体"/>
                <w:sz w:val="18"/>
                <w:szCs w:val="22"/>
                <w:shd w:val="clear" w:color="auto" w:fill="FFFFFF"/>
              </w:rPr>
              <w:t>Ⅰ</w:t>
            </w:r>
          </w:p>
        </w:tc>
        <w:tc>
          <w:tcPr>
            <w:tcW w:w="3409" w:type="dxa"/>
            <w:gridSpan w:val="2"/>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300</w:t>
            </w:r>
          </w:p>
        </w:tc>
        <w:tc>
          <w:tcPr>
            <w:tcW w:w="1705" w:type="dxa"/>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350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04" w:type="dxa"/>
            <w:vMerge w:val="continue"/>
            <w:vAlign w:val="center"/>
          </w:tcPr>
          <w:p>
            <w:pPr>
              <w:jc w:val="center"/>
              <w:rPr>
                <w:rFonts w:ascii="Times New Roman" w:hAnsi="Times New Roman" w:eastAsia="宋体" w:cs="Times New Roman"/>
                <w:sz w:val="18"/>
                <w:szCs w:val="22"/>
                <w:shd w:val="clear" w:color="auto" w:fill="FFFFFF"/>
              </w:rPr>
            </w:pPr>
          </w:p>
        </w:tc>
        <w:tc>
          <w:tcPr>
            <w:tcW w:w="1704" w:type="dxa"/>
            <w:vAlign w:val="center"/>
          </w:tcPr>
          <w:p>
            <w:pPr>
              <w:jc w:val="center"/>
              <w:rPr>
                <w:rFonts w:ascii="Times New Roman" w:hAnsi="Times New Roman" w:eastAsia="宋体" w:cs="Times New Roman"/>
                <w:sz w:val="18"/>
                <w:szCs w:val="22"/>
                <w:shd w:val="clear" w:color="auto" w:fill="FFFFFF"/>
              </w:rPr>
            </w:pPr>
            <w:r>
              <w:rPr>
                <w:rFonts w:hint="eastAsia" w:ascii="宋体" w:hAnsi="宋体" w:eastAsia="宋体" w:cs="宋体"/>
                <w:sz w:val="18"/>
                <w:szCs w:val="22"/>
                <w:shd w:val="clear" w:color="auto" w:fill="FFFFFF"/>
              </w:rPr>
              <w:t>Ⅱ</w:t>
            </w:r>
          </w:p>
        </w:tc>
        <w:tc>
          <w:tcPr>
            <w:tcW w:w="3409" w:type="dxa"/>
            <w:gridSpan w:val="2"/>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400</w:t>
            </w:r>
          </w:p>
        </w:tc>
        <w:tc>
          <w:tcPr>
            <w:tcW w:w="1705" w:type="dxa"/>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500</w:t>
            </w:r>
          </w:p>
        </w:tc>
      </w:tr>
    </w:tbl>
    <w:p>
      <w:pPr>
        <w:spacing w:line="440" w:lineRule="exact"/>
        <w:ind w:firstLine="420" w:firstLineChars="200"/>
        <w:jc w:val="left"/>
        <w:rPr>
          <w:rFonts w:ascii="Times New Roman" w:hAnsi="Times New Roman" w:eastAsia="黑体" w:cs="Times New Roman"/>
          <w:szCs w:val="21"/>
        </w:rPr>
      </w:pPr>
      <w:r>
        <w:rPr>
          <w:rFonts w:ascii="Times New Roman" w:hAnsi="Times New Roman" w:eastAsia="宋体" w:cs="Times New Roman"/>
          <w:szCs w:val="22"/>
        </w:rPr>
        <w:t>河南省《盐业、碱业氯化物排放标准》(DB41/276- 2011)规定了制盐企业和制碱企业的氯化物排放限值以及单位产品基准排水量，具体信息见表</w:t>
      </w:r>
      <w:r>
        <w:rPr>
          <w:rFonts w:hint="eastAsia" w:ascii="Times New Roman" w:hAnsi="Times New Roman" w:eastAsia="宋体" w:cs="Times New Roman"/>
          <w:szCs w:val="22"/>
        </w:rPr>
        <w:t>5</w:t>
      </w:r>
      <w:r>
        <w:rPr>
          <w:rFonts w:ascii="Times New Roman" w:hAnsi="Times New Roman" w:eastAsia="宋体" w:cs="Times New Roman"/>
          <w:szCs w:val="22"/>
        </w:rPr>
        <w:t>-</w:t>
      </w:r>
      <w:r>
        <w:rPr>
          <w:rFonts w:hint="eastAsia" w:ascii="Times New Roman" w:hAnsi="Times New Roman" w:eastAsia="宋体" w:cs="Times New Roman"/>
          <w:szCs w:val="22"/>
        </w:rPr>
        <w:t>7</w:t>
      </w:r>
      <w:r>
        <w:rPr>
          <w:rFonts w:ascii="Times New Roman" w:hAnsi="Times New Roman" w:eastAsia="宋体" w:cs="Times New Roman"/>
          <w:szCs w:val="22"/>
        </w:rPr>
        <w:t>。</w:t>
      </w:r>
    </w:p>
    <w:p>
      <w:pPr>
        <w:spacing w:line="440" w:lineRule="exact"/>
        <w:ind w:firstLine="421" w:firstLineChars="200"/>
        <w:jc w:val="center"/>
        <w:rPr>
          <w:rFonts w:ascii="Times New Roman" w:hAnsi="Times New Roman" w:eastAsia="宋体" w:cs="Times New Roman"/>
          <w:b/>
        </w:rPr>
      </w:pPr>
      <w:r>
        <w:rPr>
          <w:rFonts w:ascii="Times New Roman" w:hAnsi="Times New Roman" w:eastAsia="宋体" w:cs="Times New Roman"/>
          <w:b/>
        </w:rPr>
        <w:t>表</w:t>
      </w:r>
      <w:r>
        <w:rPr>
          <w:rFonts w:hint="eastAsia" w:ascii="Times New Roman" w:hAnsi="Times New Roman" w:eastAsia="宋体" w:cs="Times New Roman"/>
          <w:b/>
        </w:rPr>
        <w:t>5</w:t>
      </w:r>
      <w:r>
        <w:rPr>
          <w:rFonts w:ascii="Times New Roman" w:hAnsi="Times New Roman" w:eastAsia="宋体" w:cs="Times New Roman"/>
          <w:b/>
        </w:rPr>
        <w:t>-</w:t>
      </w:r>
      <w:r>
        <w:rPr>
          <w:rFonts w:hint="eastAsia" w:ascii="Times New Roman" w:hAnsi="Times New Roman" w:eastAsia="宋体" w:cs="Times New Roman"/>
          <w:b/>
        </w:rPr>
        <w:t xml:space="preserve">7 </w:t>
      </w:r>
      <w:r>
        <w:rPr>
          <w:rFonts w:ascii="Times New Roman" w:hAnsi="Times New Roman" w:eastAsia="宋体" w:cs="Times New Roman"/>
          <w:b/>
        </w:rPr>
        <w:t>河南省地方标准中各行业氯化物排放限值</w:t>
      </w:r>
    </w:p>
    <w:tbl>
      <w:tblPr>
        <w:tblStyle w:val="25"/>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65"/>
        <w:gridCol w:w="1065"/>
        <w:gridCol w:w="2130"/>
        <w:gridCol w:w="2131"/>
        <w:gridCol w:w="213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30" w:type="dxa"/>
            <w:gridSpan w:val="2"/>
            <w:vAlign w:val="center"/>
          </w:tcPr>
          <w:p>
            <w:pPr>
              <w:jc w:val="center"/>
              <w:rPr>
                <w:rFonts w:ascii="Times New Roman" w:hAnsi="Times New Roman" w:eastAsia="宋体" w:cs="Times New Roman"/>
                <w:b/>
                <w:sz w:val="18"/>
                <w:szCs w:val="22"/>
                <w:shd w:val="clear" w:color="auto" w:fill="FFFFFF"/>
              </w:rPr>
            </w:pPr>
            <w:r>
              <w:rPr>
                <w:rFonts w:ascii="Times New Roman" w:hAnsi="Times New Roman" w:eastAsia="宋体" w:cs="Times New Roman"/>
                <w:b/>
                <w:sz w:val="18"/>
                <w:szCs w:val="22"/>
                <w:shd w:val="clear" w:color="auto" w:fill="FFFFFF"/>
              </w:rPr>
              <w:t>行业类别</w:t>
            </w:r>
          </w:p>
        </w:tc>
        <w:tc>
          <w:tcPr>
            <w:tcW w:w="2130" w:type="dxa"/>
            <w:vAlign w:val="center"/>
          </w:tcPr>
          <w:p>
            <w:pPr>
              <w:jc w:val="center"/>
              <w:rPr>
                <w:rFonts w:ascii="Times New Roman" w:hAnsi="Times New Roman" w:eastAsia="宋体" w:cs="Times New Roman"/>
                <w:b/>
                <w:sz w:val="18"/>
                <w:szCs w:val="22"/>
                <w:shd w:val="clear" w:color="auto" w:fill="FFFFFF"/>
              </w:rPr>
            </w:pPr>
            <w:r>
              <w:rPr>
                <w:rFonts w:ascii="Times New Roman" w:hAnsi="Times New Roman" w:eastAsia="宋体" w:cs="Times New Roman"/>
                <w:b/>
                <w:sz w:val="18"/>
                <w:szCs w:val="22"/>
                <w:shd w:val="clear" w:color="auto" w:fill="FFFFFF"/>
              </w:rPr>
              <w:t>排放标准</w:t>
            </w:r>
          </w:p>
          <w:p>
            <w:pPr>
              <w:jc w:val="center"/>
              <w:rPr>
                <w:rFonts w:ascii="Times New Roman" w:hAnsi="Times New Roman" w:eastAsia="宋体" w:cs="Times New Roman"/>
                <w:b/>
                <w:sz w:val="18"/>
                <w:szCs w:val="22"/>
                <w:shd w:val="clear" w:color="auto" w:fill="FFFFFF"/>
              </w:rPr>
            </w:pPr>
            <w:r>
              <w:rPr>
                <w:rFonts w:ascii="Times New Roman" w:hAnsi="Times New Roman" w:eastAsia="宋体" w:cs="Times New Roman"/>
                <w:b/>
                <w:sz w:val="18"/>
                <w:szCs w:val="22"/>
                <w:shd w:val="clear" w:color="auto" w:fill="FFFFFF"/>
              </w:rPr>
              <w:t>（mg/L）</w:t>
            </w:r>
          </w:p>
        </w:tc>
        <w:tc>
          <w:tcPr>
            <w:tcW w:w="2131" w:type="dxa"/>
            <w:vAlign w:val="center"/>
          </w:tcPr>
          <w:p>
            <w:pPr>
              <w:jc w:val="center"/>
              <w:rPr>
                <w:rFonts w:ascii="Times New Roman" w:hAnsi="Times New Roman" w:eastAsia="宋体" w:cs="Times New Roman"/>
                <w:b/>
                <w:sz w:val="18"/>
                <w:szCs w:val="22"/>
                <w:shd w:val="clear" w:color="auto" w:fill="FFFFFF"/>
              </w:rPr>
            </w:pPr>
            <w:r>
              <w:rPr>
                <w:rFonts w:ascii="Times New Roman" w:hAnsi="Times New Roman" w:eastAsia="宋体" w:cs="Times New Roman"/>
                <w:b/>
                <w:sz w:val="18"/>
                <w:szCs w:val="22"/>
                <w:shd w:val="clear" w:color="auto" w:fill="FFFFFF"/>
              </w:rPr>
              <w:t>单位产品基准排水量（m</w:t>
            </w:r>
            <w:r>
              <w:rPr>
                <w:rFonts w:ascii="Times New Roman" w:hAnsi="Times New Roman" w:eastAsia="宋体" w:cs="Times New Roman"/>
                <w:b/>
                <w:sz w:val="18"/>
                <w:szCs w:val="22"/>
                <w:shd w:val="clear" w:color="auto" w:fill="FFFFFF"/>
                <w:vertAlign w:val="superscript"/>
              </w:rPr>
              <w:t>3</w:t>
            </w:r>
            <w:r>
              <w:rPr>
                <w:rFonts w:ascii="Times New Roman" w:hAnsi="Times New Roman" w:eastAsia="宋体" w:cs="Times New Roman"/>
                <w:b/>
                <w:sz w:val="18"/>
                <w:szCs w:val="22"/>
                <w:shd w:val="clear" w:color="auto" w:fill="FFFFFF"/>
              </w:rPr>
              <w:t>/t）</w:t>
            </w:r>
          </w:p>
        </w:tc>
        <w:tc>
          <w:tcPr>
            <w:tcW w:w="2131" w:type="dxa"/>
            <w:vAlign w:val="center"/>
          </w:tcPr>
          <w:p>
            <w:pPr>
              <w:jc w:val="center"/>
              <w:rPr>
                <w:rFonts w:ascii="Times New Roman" w:hAnsi="Times New Roman" w:eastAsia="宋体" w:cs="Times New Roman"/>
                <w:b/>
                <w:sz w:val="18"/>
                <w:szCs w:val="22"/>
                <w:shd w:val="clear" w:color="auto" w:fill="FFFFFF"/>
              </w:rPr>
            </w:pPr>
            <w:r>
              <w:rPr>
                <w:rFonts w:ascii="Times New Roman" w:hAnsi="Times New Roman" w:eastAsia="宋体" w:cs="Times New Roman"/>
                <w:b/>
                <w:sz w:val="18"/>
                <w:szCs w:val="22"/>
                <w:shd w:val="clear" w:color="auto" w:fill="FFFFFF"/>
              </w:rPr>
              <w:t>污染物排放监控位置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30" w:type="dxa"/>
            <w:gridSpan w:val="2"/>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制盐企业</w:t>
            </w:r>
          </w:p>
        </w:tc>
        <w:tc>
          <w:tcPr>
            <w:tcW w:w="2130" w:type="dxa"/>
            <w:vMerge w:val="restart"/>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350</w:t>
            </w:r>
          </w:p>
        </w:tc>
        <w:tc>
          <w:tcPr>
            <w:tcW w:w="2131" w:type="dxa"/>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1.0</w:t>
            </w:r>
          </w:p>
        </w:tc>
        <w:tc>
          <w:tcPr>
            <w:tcW w:w="2131" w:type="dxa"/>
            <w:vMerge w:val="restart"/>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企业废水排口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65" w:type="dxa"/>
            <w:vMerge w:val="restart"/>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制碱企业</w:t>
            </w:r>
          </w:p>
        </w:tc>
        <w:tc>
          <w:tcPr>
            <w:tcW w:w="1065" w:type="dxa"/>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烧碱</w:t>
            </w:r>
          </w:p>
        </w:tc>
        <w:tc>
          <w:tcPr>
            <w:tcW w:w="2130" w:type="dxa"/>
            <w:vMerge w:val="continue"/>
            <w:vAlign w:val="center"/>
          </w:tcPr>
          <w:p>
            <w:pPr>
              <w:jc w:val="center"/>
              <w:rPr>
                <w:rFonts w:ascii="Times New Roman" w:hAnsi="Times New Roman" w:eastAsia="宋体" w:cs="Times New Roman"/>
                <w:sz w:val="18"/>
                <w:szCs w:val="22"/>
                <w:shd w:val="clear" w:color="auto" w:fill="FFFFFF"/>
              </w:rPr>
            </w:pPr>
          </w:p>
        </w:tc>
        <w:tc>
          <w:tcPr>
            <w:tcW w:w="2131" w:type="dxa"/>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1.5</w:t>
            </w:r>
          </w:p>
        </w:tc>
        <w:tc>
          <w:tcPr>
            <w:tcW w:w="2131" w:type="dxa"/>
            <w:vMerge w:val="continue"/>
            <w:vAlign w:val="center"/>
          </w:tcPr>
          <w:p>
            <w:pPr>
              <w:jc w:val="center"/>
              <w:rPr>
                <w:rFonts w:ascii="Times New Roman" w:hAnsi="Times New Roman" w:eastAsia="宋体" w:cs="Times New Roman"/>
                <w:sz w:val="18"/>
                <w:szCs w:val="22"/>
                <w:shd w:val="clear" w:color="auto" w:fill="FFFFFF"/>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1065" w:type="dxa"/>
            <w:vMerge w:val="continue"/>
            <w:vAlign w:val="center"/>
          </w:tcPr>
          <w:p>
            <w:pPr>
              <w:spacing w:line="360" w:lineRule="auto"/>
              <w:jc w:val="center"/>
              <w:rPr>
                <w:rFonts w:ascii="Times New Roman" w:hAnsi="Times New Roman" w:eastAsia="宋体" w:cs="Times New Roman"/>
                <w:szCs w:val="21"/>
                <w:shd w:val="clear" w:color="auto" w:fill="FFFFFF"/>
              </w:rPr>
            </w:pPr>
          </w:p>
        </w:tc>
        <w:tc>
          <w:tcPr>
            <w:tcW w:w="1065" w:type="dxa"/>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纯碱</w:t>
            </w:r>
          </w:p>
        </w:tc>
        <w:tc>
          <w:tcPr>
            <w:tcW w:w="2130" w:type="dxa"/>
            <w:vMerge w:val="continue"/>
            <w:vAlign w:val="center"/>
          </w:tcPr>
          <w:p>
            <w:pPr>
              <w:jc w:val="center"/>
              <w:rPr>
                <w:rFonts w:ascii="Times New Roman" w:hAnsi="Times New Roman" w:eastAsia="宋体" w:cs="Times New Roman"/>
                <w:sz w:val="18"/>
                <w:szCs w:val="22"/>
                <w:shd w:val="clear" w:color="auto" w:fill="FFFFFF"/>
              </w:rPr>
            </w:pPr>
          </w:p>
        </w:tc>
        <w:tc>
          <w:tcPr>
            <w:tcW w:w="2131" w:type="dxa"/>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2.0</w:t>
            </w:r>
          </w:p>
        </w:tc>
        <w:tc>
          <w:tcPr>
            <w:tcW w:w="2131" w:type="dxa"/>
            <w:vMerge w:val="continue"/>
            <w:vAlign w:val="center"/>
          </w:tcPr>
          <w:p>
            <w:pPr>
              <w:spacing w:line="360" w:lineRule="auto"/>
              <w:jc w:val="center"/>
              <w:rPr>
                <w:rFonts w:ascii="Times New Roman" w:hAnsi="Times New Roman" w:eastAsia="宋体" w:cs="Times New Roman"/>
                <w:szCs w:val="21"/>
                <w:shd w:val="clear" w:color="auto" w:fill="FFFFFF"/>
              </w:rPr>
            </w:pPr>
          </w:p>
        </w:tc>
      </w:tr>
    </w:tbl>
    <w:p>
      <w:pPr>
        <w:spacing w:line="440" w:lineRule="exact"/>
        <w:ind w:firstLine="420" w:firstLineChars="200"/>
        <w:jc w:val="left"/>
        <w:rPr>
          <w:rFonts w:ascii="Times New Roman" w:hAnsi="Times New Roman" w:eastAsia="宋体" w:cs="Times New Roman"/>
          <w:szCs w:val="22"/>
        </w:rPr>
      </w:pPr>
      <w:r>
        <w:rPr>
          <w:rFonts w:ascii="Times New Roman" w:hAnsi="Times New Roman" w:eastAsia="宋体" w:cs="Times New Roman"/>
          <w:szCs w:val="22"/>
        </w:rPr>
        <w:t>湖北省《府河流域氯化物排放标准》（DB42/168-1999）规定了府河流域不同企事业单位的氯化物排放限值以及单位产品最高允许排放水量，具体规定见表</w:t>
      </w:r>
      <w:r>
        <w:rPr>
          <w:rFonts w:hint="eastAsia" w:ascii="Times New Roman" w:hAnsi="Times New Roman" w:eastAsia="宋体" w:cs="Times New Roman"/>
          <w:szCs w:val="22"/>
        </w:rPr>
        <w:t>5</w:t>
      </w:r>
      <w:r>
        <w:rPr>
          <w:rFonts w:ascii="Times New Roman" w:hAnsi="Times New Roman" w:eastAsia="宋体" w:cs="Times New Roman"/>
          <w:szCs w:val="22"/>
        </w:rPr>
        <w:t>-</w:t>
      </w:r>
      <w:r>
        <w:rPr>
          <w:rFonts w:hint="eastAsia" w:ascii="Times New Roman" w:hAnsi="Times New Roman" w:eastAsia="宋体" w:cs="Times New Roman"/>
          <w:szCs w:val="22"/>
        </w:rPr>
        <w:t>8</w:t>
      </w:r>
      <w:r>
        <w:rPr>
          <w:rFonts w:ascii="Times New Roman" w:hAnsi="Times New Roman" w:eastAsia="宋体" w:cs="Times New Roman"/>
          <w:szCs w:val="22"/>
        </w:rPr>
        <w:t>。</w:t>
      </w:r>
    </w:p>
    <w:p>
      <w:pPr>
        <w:spacing w:line="440" w:lineRule="exact"/>
        <w:ind w:firstLine="421" w:firstLineChars="200"/>
        <w:jc w:val="center"/>
        <w:rPr>
          <w:rFonts w:ascii="Times New Roman" w:hAnsi="Times New Roman" w:eastAsia="宋体" w:cs="Times New Roman"/>
          <w:b/>
        </w:rPr>
      </w:pPr>
      <w:r>
        <w:rPr>
          <w:rFonts w:ascii="Times New Roman" w:hAnsi="Times New Roman" w:eastAsia="宋体" w:cs="Times New Roman"/>
          <w:b/>
        </w:rPr>
        <w:t>表</w:t>
      </w:r>
      <w:r>
        <w:rPr>
          <w:rFonts w:hint="eastAsia" w:ascii="Times New Roman" w:hAnsi="Times New Roman" w:eastAsia="宋体" w:cs="Times New Roman"/>
          <w:b/>
        </w:rPr>
        <w:t>5</w:t>
      </w:r>
      <w:r>
        <w:rPr>
          <w:rFonts w:ascii="Times New Roman" w:hAnsi="Times New Roman" w:eastAsia="宋体" w:cs="Times New Roman"/>
          <w:b/>
        </w:rPr>
        <w:t>-</w:t>
      </w:r>
      <w:r>
        <w:rPr>
          <w:rFonts w:hint="eastAsia" w:ascii="Times New Roman" w:hAnsi="Times New Roman" w:eastAsia="宋体" w:cs="Times New Roman"/>
          <w:b/>
        </w:rPr>
        <w:t xml:space="preserve">8 </w:t>
      </w:r>
      <w:r>
        <w:rPr>
          <w:rFonts w:ascii="Times New Roman" w:hAnsi="Times New Roman" w:eastAsia="宋体" w:cs="Times New Roman"/>
          <w:b/>
        </w:rPr>
        <w:t>湖北省地方标准中各行业氯化物排放限值</w:t>
      </w:r>
    </w:p>
    <w:tbl>
      <w:tblPr>
        <w:tblStyle w:val="25"/>
        <w:tblW w:w="9961" w:type="dxa"/>
        <w:tblInd w:w="-497" w:type="dxa"/>
        <w:tblLayout w:type="fixed"/>
        <w:tblCellMar>
          <w:top w:w="0" w:type="dxa"/>
          <w:left w:w="108" w:type="dxa"/>
          <w:bottom w:w="0" w:type="dxa"/>
          <w:right w:w="108" w:type="dxa"/>
        </w:tblCellMar>
      </w:tblPr>
      <w:tblGrid>
        <w:gridCol w:w="747"/>
        <w:gridCol w:w="709"/>
        <w:gridCol w:w="1134"/>
        <w:gridCol w:w="850"/>
        <w:gridCol w:w="921"/>
        <w:gridCol w:w="992"/>
        <w:gridCol w:w="1276"/>
        <w:gridCol w:w="1064"/>
        <w:gridCol w:w="1134"/>
        <w:gridCol w:w="1134"/>
      </w:tblGrid>
      <w:tr>
        <w:tblPrEx>
          <w:tblCellMar>
            <w:top w:w="0" w:type="dxa"/>
            <w:left w:w="108" w:type="dxa"/>
            <w:bottom w:w="0" w:type="dxa"/>
            <w:right w:w="108" w:type="dxa"/>
          </w:tblCellMar>
        </w:tblPrEx>
        <w:tc>
          <w:tcPr>
            <w:tcW w:w="747" w:type="dxa"/>
            <w:vMerge w:val="restar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b/>
                <w:sz w:val="18"/>
                <w:szCs w:val="22"/>
                <w:shd w:val="clear" w:color="auto" w:fill="FFFFFF"/>
              </w:rPr>
            </w:pPr>
            <w:r>
              <w:rPr>
                <w:rFonts w:ascii="Times New Roman" w:hAnsi="Times New Roman" w:eastAsia="宋体" w:cs="Times New Roman"/>
                <w:b/>
                <w:sz w:val="18"/>
                <w:szCs w:val="22"/>
                <w:shd w:val="clear" w:color="auto" w:fill="FFFFFF"/>
              </w:rPr>
              <w:t>行业分类</w:t>
            </w:r>
          </w:p>
        </w:tc>
        <w:tc>
          <w:tcPr>
            <w:tcW w:w="709" w:type="dxa"/>
            <w:vMerge w:val="restar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b/>
                <w:sz w:val="18"/>
                <w:szCs w:val="22"/>
                <w:shd w:val="clear" w:color="auto" w:fill="FFFFFF"/>
              </w:rPr>
            </w:pPr>
            <w:r>
              <w:rPr>
                <w:rFonts w:ascii="Times New Roman" w:hAnsi="Times New Roman" w:eastAsia="宋体" w:cs="Times New Roman"/>
                <w:b/>
                <w:sz w:val="18"/>
                <w:szCs w:val="22"/>
                <w:shd w:val="clear" w:color="auto" w:fill="FFFFFF"/>
              </w:rPr>
              <w:t>企业性质</w:t>
            </w:r>
          </w:p>
        </w:tc>
        <w:tc>
          <w:tcPr>
            <w:tcW w:w="1134" w:type="dxa"/>
            <w:vMerge w:val="restar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b/>
                <w:sz w:val="18"/>
                <w:szCs w:val="22"/>
                <w:shd w:val="clear" w:color="auto" w:fill="FFFFFF"/>
              </w:rPr>
            </w:pPr>
            <w:r>
              <w:rPr>
                <w:rFonts w:ascii="Times New Roman" w:hAnsi="Times New Roman" w:eastAsia="宋体" w:cs="Times New Roman"/>
                <w:b/>
                <w:sz w:val="18"/>
                <w:szCs w:val="22"/>
                <w:shd w:val="clear" w:color="auto" w:fill="FFFFFF"/>
              </w:rPr>
              <w:t>最高允许排放水量（m</w:t>
            </w:r>
            <w:r>
              <w:rPr>
                <w:rFonts w:ascii="Times New Roman" w:hAnsi="Times New Roman" w:eastAsia="宋体" w:cs="Times New Roman"/>
                <w:b/>
                <w:sz w:val="18"/>
                <w:szCs w:val="22"/>
                <w:shd w:val="clear" w:color="auto" w:fill="FFFFFF"/>
                <w:vertAlign w:val="superscript"/>
              </w:rPr>
              <w:t>3</w:t>
            </w:r>
            <w:r>
              <w:rPr>
                <w:rFonts w:ascii="Times New Roman" w:hAnsi="Times New Roman" w:eastAsia="宋体" w:cs="Times New Roman"/>
                <w:b/>
                <w:sz w:val="18"/>
                <w:szCs w:val="22"/>
                <w:shd w:val="clear" w:color="auto" w:fill="FFFFFF"/>
              </w:rPr>
              <w:t>/t）</w:t>
            </w:r>
          </w:p>
        </w:tc>
        <w:tc>
          <w:tcPr>
            <w:tcW w:w="7371" w:type="dxa"/>
            <w:gridSpan w:val="7"/>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b/>
                <w:sz w:val="18"/>
                <w:szCs w:val="22"/>
                <w:shd w:val="clear" w:color="auto" w:fill="FFFFFF"/>
              </w:rPr>
            </w:pPr>
            <w:r>
              <w:rPr>
                <w:rFonts w:ascii="Times New Roman" w:hAnsi="Times New Roman" w:eastAsia="宋体" w:cs="Times New Roman"/>
                <w:b/>
                <w:sz w:val="18"/>
                <w:szCs w:val="22"/>
                <w:shd w:val="clear" w:color="auto" w:fill="FFFFFF"/>
              </w:rPr>
              <w:t>氯化物最高允许排放浓度限值（mg/L）</w:t>
            </w:r>
          </w:p>
        </w:tc>
      </w:tr>
      <w:tr>
        <w:tblPrEx>
          <w:tblCellMar>
            <w:top w:w="0" w:type="dxa"/>
            <w:left w:w="108" w:type="dxa"/>
            <w:bottom w:w="0" w:type="dxa"/>
            <w:right w:w="108" w:type="dxa"/>
          </w:tblCellMar>
        </w:tblPrEx>
        <w:tc>
          <w:tcPr>
            <w:tcW w:w="747"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b/>
                <w:sz w:val="18"/>
                <w:szCs w:val="22"/>
                <w:shd w:val="clear" w:color="auto" w:fill="FFFFFF"/>
              </w:rPr>
            </w:pPr>
          </w:p>
        </w:tc>
        <w:tc>
          <w:tcPr>
            <w:tcW w:w="709"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b/>
                <w:sz w:val="18"/>
                <w:szCs w:val="22"/>
                <w:shd w:val="clear" w:color="auto" w:fill="FFFFFF"/>
              </w:rPr>
            </w:pPr>
          </w:p>
        </w:tc>
        <w:tc>
          <w:tcPr>
            <w:tcW w:w="1134"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b/>
                <w:sz w:val="18"/>
                <w:szCs w:val="22"/>
                <w:shd w:val="clear" w:color="auto" w:fill="FFFFFF"/>
              </w:rPr>
            </w:pPr>
          </w:p>
        </w:tc>
        <w:tc>
          <w:tcPr>
            <w:tcW w:w="850" w:type="dxa"/>
            <w:vMerge w:val="restar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b/>
                <w:sz w:val="18"/>
                <w:szCs w:val="22"/>
                <w:shd w:val="clear" w:color="auto" w:fill="FFFFFF"/>
              </w:rPr>
            </w:pPr>
            <w:r>
              <w:rPr>
                <w:rFonts w:ascii="Times New Roman" w:hAnsi="Times New Roman" w:eastAsia="宋体" w:cs="Times New Roman"/>
                <w:b/>
                <w:sz w:val="18"/>
                <w:szCs w:val="22"/>
                <w:shd w:val="clear" w:color="auto" w:fill="FFFFFF"/>
              </w:rPr>
              <w:t>水期</w:t>
            </w:r>
          </w:p>
        </w:tc>
        <w:tc>
          <w:tcPr>
            <w:tcW w:w="3189" w:type="dxa"/>
            <w:gridSpan w:val="3"/>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b/>
                <w:sz w:val="18"/>
                <w:szCs w:val="22"/>
                <w:shd w:val="clear" w:color="auto" w:fill="FFFFFF"/>
              </w:rPr>
            </w:pPr>
            <w:r>
              <w:rPr>
                <w:rFonts w:ascii="Times New Roman" w:hAnsi="Times New Roman" w:eastAsia="宋体" w:cs="Times New Roman"/>
                <w:b/>
                <w:sz w:val="18"/>
                <w:szCs w:val="22"/>
                <w:shd w:val="clear" w:color="auto" w:fill="FFFFFF"/>
              </w:rPr>
              <w:t>1999年-2004年</w:t>
            </w:r>
          </w:p>
        </w:tc>
        <w:tc>
          <w:tcPr>
            <w:tcW w:w="3332" w:type="dxa"/>
            <w:gridSpan w:val="3"/>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b/>
                <w:sz w:val="18"/>
                <w:szCs w:val="22"/>
                <w:shd w:val="clear" w:color="auto" w:fill="FFFFFF"/>
              </w:rPr>
            </w:pPr>
            <w:r>
              <w:rPr>
                <w:rFonts w:ascii="Times New Roman" w:hAnsi="Times New Roman" w:eastAsia="宋体" w:cs="Times New Roman"/>
                <w:b/>
                <w:sz w:val="18"/>
                <w:szCs w:val="22"/>
                <w:shd w:val="clear" w:color="auto" w:fill="FFFFFF"/>
              </w:rPr>
              <w:t>2005年-2010年</w:t>
            </w:r>
          </w:p>
        </w:tc>
      </w:tr>
      <w:tr>
        <w:tblPrEx>
          <w:tblCellMar>
            <w:top w:w="0" w:type="dxa"/>
            <w:left w:w="108" w:type="dxa"/>
            <w:bottom w:w="0" w:type="dxa"/>
            <w:right w:w="108" w:type="dxa"/>
          </w:tblCellMar>
        </w:tblPrEx>
        <w:tc>
          <w:tcPr>
            <w:tcW w:w="747"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b/>
                <w:sz w:val="18"/>
                <w:szCs w:val="22"/>
                <w:shd w:val="clear" w:color="auto" w:fill="FFFFFF"/>
              </w:rPr>
            </w:pPr>
          </w:p>
        </w:tc>
        <w:tc>
          <w:tcPr>
            <w:tcW w:w="709"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b/>
                <w:sz w:val="18"/>
                <w:szCs w:val="22"/>
                <w:shd w:val="clear" w:color="auto" w:fill="FFFFFF"/>
              </w:rPr>
            </w:pPr>
          </w:p>
        </w:tc>
        <w:tc>
          <w:tcPr>
            <w:tcW w:w="1134"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b/>
                <w:sz w:val="18"/>
                <w:szCs w:val="22"/>
                <w:shd w:val="clear" w:color="auto" w:fill="FFFFFF"/>
              </w:rPr>
            </w:pPr>
          </w:p>
        </w:tc>
        <w:tc>
          <w:tcPr>
            <w:tcW w:w="850"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b/>
                <w:sz w:val="18"/>
                <w:szCs w:val="22"/>
                <w:shd w:val="clear" w:color="auto" w:fill="FFFFFF"/>
              </w:rPr>
            </w:pPr>
          </w:p>
        </w:tc>
        <w:tc>
          <w:tcPr>
            <w:tcW w:w="921" w:type="dxa"/>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b/>
                <w:sz w:val="18"/>
                <w:szCs w:val="22"/>
                <w:shd w:val="clear" w:color="auto" w:fill="FFFFFF"/>
              </w:rPr>
            </w:pPr>
            <w:r>
              <w:rPr>
                <w:rFonts w:ascii="Times New Roman" w:hAnsi="Times New Roman" w:eastAsia="宋体" w:cs="Times New Roman"/>
                <w:b/>
                <w:sz w:val="18"/>
                <w:szCs w:val="22"/>
                <w:shd w:val="clear" w:color="auto" w:fill="FFFFFF"/>
              </w:rPr>
              <w:t>一级</w:t>
            </w:r>
          </w:p>
          <w:p>
            <w:pPr>
              <w:jc w:val="center"/>
              <w:rPr>
                <w:rFonts w:ascii="Times New Roman" w:hAnsi="Times New Roman" w:eastAsia="宋体" w:cs="Times New Roman"/>
                <w:b/>
                <w:sz w:val="18"/>
                <w:szCs w:val="22"/>
                <w:shd w:val="clear" w:color="auto" w:fill="FFFFFF"/>
              </w:rPr>
            </w:pPr>
            <w:r>
              <w:rPr>
                <w:rFonts w:ascii="Times New Roman" w:hAnsi="Times New Roman" w:eastAsia="宋体" w:cs="Times New Roman"/>
                <w:b/>
                <w:sz w:val="18"/>
                <w:szCs w:val="22"/>
                <w:shd w:val="clear" w:color="auto" w:fill="FFFFFF"/>
              </w:rPr>
              <w:t>（</w:t>
            </w:r>
            <w:r>
              <w:rPr>
                <w:rFonts w:hint="eastAsia" w:ascii="宋体" w:hAnsi="宋体" w:eastAsia="宋体" w:cs="宋体"/>
                <w:b/>
                <w:sz w:val="18"/>
                <w:szCs w:val="22"/>
                <w:shd w:val="clear" w:color="auto" w:fill="FFFFFF"/>
              </w:rPr>
              <w:t>Ⅱ</w:t>
            </w:r>
            <w:r>
              <w:rPr>
                <w:rFonts w:ascii="Times New Roman" w:hAnsi="Times New Roman" w:eastAsia="宋体" w:cs="Times New Roman"/>
                <w:b/>
                <w:sz w:val="18"/>
                <w:szCs w:val="22"/>
                <w:shd w:val="clear" w:color="auto" w:fill="FFFFFF"/>
              </w:rPr>
              <w:t>类）</w:t>
            </w:r>
          </w:p>
        </w:tc>
        <w:tc>
          <w:tcPr>
            <w:tcW w:w="992" w:type="dxa"/>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b/>
                <w:sz w:val="18"/>
                <w:szCs w:val="22"/>
                <w:shd w:val="clear" w:color="auto" w:fill="FFFFFF"/>
              </w:rPr>
            </w:pPr>
            <w:r>
              <w:rPr>
                <w:rFonts w:ascii="Times New Roman" w:hAnsi="Times New Roman" w:eastAsia="宋体" w:cs="Times New Roman"/>
                <w:b/>
                <w:sz w:val="18"/>
                <w:szCs w:val="22"/>
                <w:shd w:val="clear" w:color="auto" w:fill="FFFFFF"/>
              </w:rPr>
              <w:t>二级</w:t>
            </w:r>
          </w:p>
          <w:p>
            <w:pPr>
              <w:jc w:val="center"/>
              <w:rPr>
                <w:rFonts w:ascii="Times New Roman" w:hAnsi="Times New Roman" w:eastAsia="宋体" w:cs="Times New Roman"/>
                <w:b/>
                <w:sz w:val="18"/>
                <w:szCs w:val="22"/>
                <w:shd w:val="clear" w:color="auto" w:fill="FFFFFF"/>
              </w:rPr>
            </w:pPr>
            <w:r>
              <w:rPr>
                <w:rFonts w:ascii="Times New Roman" w:hAnsi="Times New Roman" w:eastAsia="宋体" w:cs="Times New Roman"/>
                <w:b/>
                <w:sz w:val="18"/>
                <w:szCs w:val="22"/>
                <w:shd w:val="clear" w:color="auto" w:fill="FFFFFF"/>
              </w:rPr>
              <w:t>（</w:t>
            </w:r>
            <w:r>
              <w:rPr>
                <w:rFonts w:hint="eastAsia" w:ascii="宋体" w:hAnsi="宋体" w:eastAsia="宋体" w:cs="宋体"/>
                <w:b/>
                <w:sz w:val="18"/>
                <w:szCs w:val="22"/>
                <w:shd w:val="clear" w:color="auto" w:fill="FFFFFF"/>
              </w:rPr>
              <w:t>Ⅲ</w:t>
            </w:r>
            <w:r>
              <w:rPr>
                <w:rFonts w:ascii="Times New Roman" w:hAnsi="Times New Roman" w:eastAsia="宋体" w:cs="Times New Roman"/>
                <w:b/>
                <w:sz w:val="18"/>
                <w:szCs w:val="22"/>
                <w:shd w:val="clear" w:color="auto" w:fill="FFFFFF"/>
              </w:rPr>
              <w:t>类）</w:t>
            </w:r>
          </w:p>
        </w:tc>
        <w:tc>
          <w:tcPr>
            <w:tcW w:w="1276" w:type="dxa"/>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b/>
                <w:sz w:val="18"/>
                <w:szCs w:val="22"/>
                <w:shd w:val="clear" w:color="auto" w:fill="FFFFFF"/>
              </w:rPr>
            </w:pPr>
            <w:r>
              <w:rPr>
                <w:rFonts w:ascii="Times New Roman" w:hAnsi="Times New Roman" w:eastAsia="宋体" w:cs="Times New Roman"/>
                <w:b/>
                <w:sz w:val="18"/>
                <w:szCs w:val="22"/>
                <w:shd w:val="clear" w:color="auto" w:fill="FFFFFF"/>
              </w:rPr>
              <w:t>三级</w:t>
            </w:r>
          </w:p>
          <w:p>
            <w:pPr>
              <w:jc w:val="center"/>
              <w:rPr>
                <w:rFonts w:ascii="Times New Roman" w:hAnsi="Times New Roman" w:eastAsia="宋体" w:cs="Times New Roman"/>
                <w:b/>
                <w:sz w:val="18"/>
                <w:szCs w:val="22"/>
                <w:shd w:val="clear" w:color="auto" w:fill="FFFFFF"/>
              </w:rPr>
            </w:pPr>
            <w:r>
              <w:rPr>
                <w:rFonts w:ascii="Times New Roman" w:hAnsi="Times New Roman" w:eastAsia="宋体" w:cs="Times New Roman"/>
                <w:b/>
                <w:sz w:val="18"/>
                <w:szCs w:val="22"/>
                <w:shd w:val="clear" w:color="auto" w:fill="FFFFFF"/>
              </w:rPr>
              <w:t>（</w:t>
            </w:r>
            <w:r>
              <w:rPr>
                <w:rFonts w:hint="eastAsia" w:ascii="宋体" w:hAnsi="宋体" w:eastAsia="宋体" w:cs="宋体"/>
                <w:b/>
                <w:sz w:val="18"/>
                <w:szCs w:val="22"/>
                <w:shd w:val="clear" w:color="auto" w:fill="FFFFFF"/>
              </w:rPr>
              <w:t>Ⅳ</w:t>
            </w:r>
            <w:r>
              <w:rPr>
                <w:rFonts w:ascii="Times New Roman" w:hAnsi="Times New Roman" w:eastAsia="宋体" w:cs="Times New Roman"/>
                <w:b/>
                <w:sz w:val="18"/>
                <w:szCs w:val="22"/>
                <w:shd w:val="clear" w:color="auto" w:fill="FFFFFF"/>
              </w:rPr>
              <w:t>、</w:t>
            </w:r>
            <w:r>
              <w:rPr>
                <w:rFonts w:hint="eastAsia" w:ascii="宋体" w:hAnsi="宋体" w:eastAsia="宋体" w:cs="宋体"/>
                <w:b/>
                <w:sz w:val="18"/>
                <w:szCs w:val="22"/>
                <w:shd w:val="clear" w:color="auto" w:fill="FFFFFF"/>
              </w:rPr>
              <w:t>Ⅴ</w:t>
            </w:r>
            <w:r>
              <w:rPr>
                <w:rFonts w:ascii="Times New Roman" w:hAnsi="Times New Roman" w:eastAsia="宋体" w:cs="Times New Roman"/>
                <w:b/>
                <w:sz w:val="18"/>
                <w:szCs w:val="22"/>
                <w:shd w:val="clear" w:color="auto" w:fill="FFFFFF"/>
              </w:rPr>
              <w:t>类）</w:t>
            </w:r>
          </w:p>
        </w:tc>
        <w:tc>
          <w:tcPr>
            <w:tcW w:w="1064" w:type="dxa"/>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b/>
                <w:sz w:val="18"/>
                <w:szCs w:val="22"/>
                <w:shd w:val="clear" w:color="auto" w:fill="FFFFFF"/>
              </w:rPr>
            </w:pPr>
            <w:r>
              <w:rPr>
                <w:rFonts w:ascii="Times New Roman" w:hAnsi="Times New Roman" w:eastAsia="宋体" w:cs="Times New Roman"/>
                <w:b/>
                <w:sz w:val="18"/>
                <w:szCs w:val="22"/>
                <w:shd w:val="clear" w:color="auto" w:fill="FFFFFF"/>
              </w:rPr>
              <w:t>一级</w:t>
            </w:r>
          </w:p>
          <w:p>
            <w:pPr>
              <w:jc w:val="center"/>
              <w:rPr>
                <w:rFonts w:ascii="Times New Roman" w:hAnsi="Times New Roman" w:eastAsia="宋体" w:cs="Times New Roman"/>
                <w:b/>
                <w:sz w:val="18"/>
                <w:szCs w:val="22"/>
                <w:shd w:val="clear" w:color="auto" w:fill="FFFFFF"/>
              </w:rPr>
            </w:pPr>
            <w:r>
              <w:rPr>
                <w:rFonts w:ascii="Times New Roman" w:hAnsi="Times New Roman" w:eastAsia="宋体" w:cs="Times New Roman"/>
                <w:b/>
                <w:sz w:val="18"/>
                <w:szCs w:val="22"/>
                <w:shd w:val="clear" w:color="auto" w:fill="FFFFFF"/>
              </w:rPr>
              <w:t>（</w:t>
            </w:r>
            <w:r>
              <w:rPr>
                <w:rFonts w:hint="eastAsia" w:ascii="宋体" w:hAnsi="宋体" w:eastAsia="宋体" w:cs="宋体"/>
                <w:b/>
                <w:sz w:val="18"/>
                <w:szCs w:val="22"/>
                <w:shd w:val="clear" w:color="auto" w:fill="FFFFFF"/>
              </w:rPr>
              <w:t>Ⅱ</w:t>
            </w:r>
            <w:r>
              <w:rPr>
                <w:rFonts w:ascii="Times New Roman" w:hAnsi="Times New Roman" w:eastAsia="宋体" w:cs="Times New Roman"/>
                <w:b/>
                <w:sz w:val="18"/>
                <w:szCs w:val="22"/>
                <w:shd w:val="clear" w:color="auto" w:fill="FFFFFF"/>
              </w:rPr>
              <w:t>类）</w:t>
            </w:r>
          </w:p>
        </w:tc>
        <w:tc>
          <w:tcPr>
            <w:tcW w:w="1134" w:type="dxa"/>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b/>
                <w:sz w:val="18"/>
                <w:szCs w:val="22"/>
                <w:shd w:val="clear" w:color="auto" w:fill="FFFFFF"/>
              </w:rPr>
            </w:pPr>
            <w:r>
              <w:rPr>
                <w:rFonts w:ascii="Times New Roman" w:hAnsi="Times New Roman" w:eastAsia="宋体" w:cs="Times New Roman"/>
                <w:b/>
                <w:sz w:val="18"/>
                <w:szCs w:val="22"/>
                <w:shd w:val="clear" w:color="auto" w:fill="FFFFFF"/>
              </w:rPr>
              <w:t>二级</w:t>
            </w:r>
          </w:p>
          <w:p>
            <w:pPr>
              <w:jc w:val="center"/>
              <w:rPr>
                <w:rFonts w:ascii="Times New Roman" w:hAnsi="Times New Roman" w:eastAsia="宋体" w:cs="Times New Roman"/>
                <w:b/>
                <w:sz w:val="18"/>
                <w:szCs w:val="22"/>
                <w:shd w:val="clear" w:color="auto" w:fill="FFFFFF"/>
              </w:rPr>
            </w:pPr>
            <w:r>
              <w:rPr>
                <w:rFonts w:ascii="Times New Roman" w:hAnsi="Times New Roman" w:eastAsia="宋体" w:cs="Times New Roman"/>
                <w:b/>
                <w:sz w:val="18"/>
                <w:szCs w:val="22"/>
                <w:shd w:val="clear" w:color="auto" w:fill="FFFFFF"/>
              </w:rPr>
              <w:t>（</w:t>
            </w:r>
            <w:r>
              <w:rPr>
                <w:rFonts w:hint="eastAsia" w:ascii="宋体" w:hAnsi="宋体" w:eastAsia="宋体" w:cs="宋体"/>
                <w:b/>
                <w:sz w:val="18"/>
                <w:szCs w:val="22"/>
                <w:shd w:val="clear" w:color="auto" w:fill="FFFFFF"/>
              </w:rPr>
              <w:t>Ⅲ</w:t>
            </w:r>
            <w:r>
              <w:rPr>
                <w:rFonts w:ascii="Times New Roman" w:hAnsi="Times New Roman" w:eastAsia="宋体" w:cs="Times New Roman"/>
                <w:b/>
                <w:sz w:val="18"/>
                <w:szCs w:val="22"/>
                <w:shd w:val="clear" w:color="auto" w:fill="FFFFFF"/>
              </w:rPr>
              <w:t>类）</w:t>
            </w:r>
          </w:p>
        </w:tc>
        <w:tc>
          <w:tcPr>
            <w:tcW w:w="1134" w:type="dxa"/>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b/>
                <w:sz w:val="18"/>
                <w:szCs w:val="22"/>
                <w:shd w:val="clear" w:color="auto" w:fill="FFFFFF"/>
              </w:rPr>
            </w:pPr>
            <w:r>
              <w:rPr>
                <w:rFonts w:ascii="Times New Roman" w:hAnsi="Times New Roman" w:eastAsia="宋体" w:cs="Times New Roman"/>
                <w:b/>
                <w:sz w:val="18"/>
                <w:szCs w:val="22"/>
                <w:shd w:val="clear" w:color="auto" w:fill="FFFFFF"/>
              </w:rPr>
              <w:t>三级</w:t>
            </w:r>
          </w:p>
          <w:p>
            <w:pPr>
              <w:jc w:val="center"/>
              <w:rPr>
                <w:rFonts w:ascii="Times New Roman" w:hAnsi="Times New Roman" w:eastAsia="宋体" w:cs="Times New Roman"/>
                <w:b/>
                <w:sz w:val="18"/>
                <w:szCs w:val="22"/>
                <w:shd w:val="clear" w:color="auto" w:fill="FFFFFF"/>
              </w:rPr>
            </w:pPr>
            <w:r>
              <w:rPr>
                <w:rFonts w:ascii="Times New Roman" w:hAnsi="Times New Roman" w:eastAsia="宋体" w:cs="Times New Roman"/>
                <w:b/>
                <w:sz w:val="18"/>
                <w:szCs w:val="22"/>
                <w:shd w:val="clear" w:color="auto" w:fill="FFFFFF"/>
              </w:rPr>
              <w:t>（</w:t>
            </w:r>
            <w:r>
              <w:rPr>
                <w:rFonts w:hint="eastAsia" w:ascii="宋体" w:hAnsi="宋体" w:eastAsia="宋体" w:cs="宋体"/>
                <w:b/>
                <w:sz w:val="18"/>
                <w:szCs w:val="22"/>
                <w:shd w:val="clear" w:color="auto" w:fill="FFFFFF"/>
              </w:rPr>
              <w:t>Ⅳ</w:t>
            </w:r>
            <w:r>
              <w:rPr>
                <w:rFonts w:ascii="Times New Roman" w:hAnsi="Times New Roman" w:eastAsia="宋体" w:cs="Times New Roman"/>
                <w:b/>
                <w:sz w:val="18"/>
                <w:szCs w:val="22"/>
                <w:shd w:val="clear" w:color="auto" w:fill="FFFFFF"/>
              </w:rPr>
              <w:t>、</w:t>
            </w:r>
            <w:r>
              <w:rPr>
                <w:rFonts w:hint="eastAsia" w:ascii="宋体" w:hAnsi="宋体" w:eastAsia="宋体" w:cs="宋体"/>
                <w:b/>
                <w:sz w:val="18"/>
                <w:szCs w:val="22"/>
                <w:shd w:val="clear" w:color="auto" w:fill="FFFFFF"/>
              </w:rPr>
              <w:t>Ⅴ</w:t>
            </w:r>
            <w:r>
              <w:rPr>
                <w:rFonts w:ascii="Times New Roman" w:hAnsi="Times New Roman" w:eastAsia="宋体" w:cs="Times New Roman"/>
                <w:b/>
                <w:sz w:val="18"/>
                <w:szCs w:val="22"/>
                <w:shd w:val="clear" w:color="auto" w:fill="FFFFFF"/>
              </w:rPr>
              <w:t>类）</w:t>
            </w:r>
          </w:p>
        </w:tc>
      </w:tr>
      <w:tr>
        <w:tc>
          <w:tcPr>
            <w:tcW w:w="747" w:type="dxa"/>
            <w:vMerge w:val="restar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制盐工业</w:t>
            </w:r>
          </w:p>
        </w:tc>
        <w:tc>
          <w:tcPr>
            <w:tcW w:w="709" w:type="dxa"/>
            <w:vMerge w:val="restar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新扩改</w:t>
            </w:r>
          </w:p>
        </w:tc>
        <w:tc>
          <w:tcPr>
            <w:tcW w:w="1134" w:type="dxa"/>
            <w:vMerge w:val="restar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10</w:t>
            </w:r>
          </w:p>
        </w:tc>
        <w:tc>
          <w:tcPr>
            <w:tcW w:w="850" w:type="dxa"/>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平、枯水</w:t>
            </w:r>
          </w:p>
        </w:tc>
        <w:tc>
          <w:tcPr>
            <w:tcW w:w="1913" w:type="dxa"/>
            <w:gridSpan w:val="2"/>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800</w:t>
            </w:r>
          </w:p>
        </w:tc>
        <w:tc>
          <w:tcPr>
            <w:tcW w:w="1276" w:type="dxa"/>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900</w:t>
            </w:r>
          </w:p>
        </w:tc>
        <w:tc>
          <w:tcPr>
            <w:tcW w:w="2198" w:type="dxa"/>
            <w:gridSpan w:val="2"/>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700</w:t>
            </w:r>
          </w:p>
        </w:tc>
        <w:tc>
          <w:tcPr>
            <w:tcW w:w="1134" w:type="dxa"/>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800</w:t>
            </w:r>
          </w:p>
        </w:tc>
      </w:tr>
      <w:tr>
        <w:tblPrEx>
          <w:tblCellMar>
            <w:top w:w="0" w:type="dxa"/>
            <w:left w:w="108" w:type="dxa"/>
            <w:bottom w:w="0" w:type="dxa"/>
            <w:right w:w="108" w:type="dxa"/>
          </w:tblCellMar>
        </w:tblPrEx>
        <w:tc>
          <w:tcPr>
            <w:tcW w:w="747"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p>
        </w:tc>
        <w:tc>
          <w:tcPr>
            <w:tcW w:w="709"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p>
        </w:tc>
        <w:tc>
          <w:tcPr>
            <w:tcW w:w="1134"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p>
        </w:tc>
        <w:tc>
          <w:tcPr>
            <w:tcW w:w="850" w:type="dxa"/>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丰水</w:t>
            </w:r>
          </w:p>
        </w:tc>
        <w:tc>
          <w:tcPr>
            <w:tcW w:w="1913" w:type="dxa"/>
            <w:gridSpan w:val="2"/>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1100</w:t>
            </w:r>
          </w:p>
        </w:tc>
        <w:tc>
          <w:tcPr>
            <w:tcW w:w="1276" w:type="dxa"/>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1200</w:t>
            </w:r>
          </w:p>
        </w:tc>
        <w:tc>
          <w:tcPr>
            <w:tcW w:w="2198" w:type="dxa"/>
            <w:gridSpan w:val="2"/>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1000</w:t>
            </w:r>
          </w:p>
        </w:tc>
        <w:tc>
          <w:tcPr>
            <w:tcW w:w="1134" w:type="dxa"/>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1000</w:t>
            </w:r>
          </w:p>
        </w:tc>
      </w:tr>
      <w:tr>
        <w:tblPrEx>
          <w:tblCellMar>
            <w:top w:w="0" w:type="dxa"/>
            <w:left w:w="108" w:type="dxa"/>
            <w:bottom w:w="0" w:type="dxa"/>
            <w:right w:w="108" w:type="dxa"/>
          </w:tblCellMar>
        </w:tblPrEx>
        <w:tc>
          <w:tcPr>
            <w:tcW w:w="747"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p>
        </w:tc>
        <w:tc>
          <w:tcPr>
            <w:tcW w:w="709" w:type="dxa"/>
            <w:vMerge w:val="restar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现有</w:t>
            </w:r>
          </w:p>
        </w:tc>
        <w:tc>
          <w:tcPr>
            <w:tcW w:w="1134" w:type="dxa"/>
            <w:vMerge w:val="restar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15</w:t>
            </w:r>
          </w:p>
        </w:tc>
        <w:tc>
          <w:tcPr>
            <w:tcW w:w="850" w:type="dxa"/>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平、枯水</w:t>
            </w:r>
          </w:p>
        </w:tc>
        <w:tc>
          <w:tcPr>
            <w:tcW w:w="921" w:type="dxa"/>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800</w:t>
            </w:r>
          </w:p>
        </w:tc>
        <w:tc>
          <w:tcPr>
            <w:tcW w:w="992" w:type="dxa"/>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900</w:t>
            </w:r>
          </w:p>
        </w:tc>
        <w:tc>
          <w:tcPr>
            <w:tcW w:w="1276" w:type="dxa"/>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1000</w:t>
            </w:r>
          </w:p>
        </w:tc>
        <w:tc>
          <w:tcPr>
            <w:tcW w:w="1064" w:type="dxa"/>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700</w:t>
            </w:r>
          </w:p>
        </w:tc>
        <w:tc>
          <w:tcPr>
            <w:tcW w:w="1134" w:type="dxa"/>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800</w:t>
            </w:r>
          </w:p>
        </w:tc>
        <w:tc>
          <w:tcPr>
            <w:tcW w:w="1134" w:type="dxa"/>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900</w:t>
            </w:r>
          </w:p>
        </w:tc>
      </w:tr>
      <w:tr>
        <w:tblPrEx>
          <w:tblCellMar>
            <w:top w:w="0" w:type="dxa"/>
            <w:left w:w="108" w:type="dxa"/>
            <w:bottom w:w="0" w:type="dxa"/>
            <w:right w:w="108" w:type="dxa"/>
          </w:tblCellMar>
        </w:tblPrEx>
        <w:tc>
          <w:tcPr>
            <w:tcW w:w="747"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p>
        </w:tc>
        <w:tc>
          <w:tcPr>
            <w:tcW w:w="709"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p>
        </w:tc>
        <w:tc>
          <w:tcPr>
            <w:tcW w:w="1134"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p>
        </w:tc>
        <w:tc>
          <w:tcPr>
            <w:tcW w:w="850" w:type="dxa"/>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丰水</w:t>
            </w:r>
          </w:p>
        </w:tc>
        <w:tc>
          <w:tcPr>
            <w:tcW w:w="921" w:type="dxa"/>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1100</w:t>
            </w:r>
          </w:p>
        </w:tc>
        <w:tc>
          <w:tcPr>
            <w:tcW w:w="992" w:type="dxa"/>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1200</w:t>
            </w:r>
          </w:p>
        </w:tc>
        <w:tc>
          <w:tcPr>
            <w:tcW w:w="1276" w:type="dxa"/>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1300</w:t>
            </w:r>
          </w:p>
        </w:tc>
        <w:tc>
          <w:tcPr>
            <w:tcW w:w="1064" w:type="dxa"/>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1000</w:t>
            </w:r>
          </w:p>
        </w:tc>
        <w:tc>
          <w:tcPr>
            <w:tcW w:w="1134" w:type="dxa"/>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1100</w:t>
            </w:r>
          </w:p>
        </w:tc>
        <w:tc>
          <w:tcPr>
            <w:tcW w:w="1134" w:type="dxa"/>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1200</w:t>
            </w:r>
          </w:p>
        </w:tc>
      </w:tr>
      <w:tr>
        <w:tc>
          <w:tcPr>
            <w:tcW w:w="747" w:type="dxa"/>
            <w:vMerge w:val="restar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化工行业</w:t>
            </w:r>
          </w:p>
        </w:tc>
        <w:tc>
          <w:tcPr>
            <w:tcW w:w="709" w:type="dxa"/>
            <w:vMerge w:val="restar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新扩改</w:t>
            </w:r>
          </w:p>
        </w:tc>
        <w:tc>
          <w:tcPr>
            <w:tcW w:w="1134" w:type="dxa"/>
            <w:vMerge w:val="restar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50</w:t>
            </w:r>
          </w:p>
        </w:tc>
        <w:tc>
          <w:tcPr>
            <w:tcW w:w="850" w:type="dxa"/>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平、枯水</w:t>
            </w:r>
          </w:p>
        </w:tc>
        <w:tc>
          <w:tcPr>
            <w:tcW w:w="1913" w:type="dxa"/>
            <w:gridSpan w:val="2"/>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350</w:t>
            </w:r>
          </w:p>
        </w:tc>
        <w:tc>
          <w:tcPr>
            <w:tcW w:w="1276" w:type="dxa"/>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400</w:t>
            </w:r>
          </w:p>
        </w:tc>
        <w:tc>
          <w:tcPr>
            <w:tcW w:w="2198" w:type="dxa"/>
            <w:gridSpan w:val="2"/>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300</w:t>
            </w:r>
          </w:p>
        </w:tc>
        <w:tc>
          <w:tcPr>
            <w:tcW w:w="1134" w:type="dxa"/>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350</w:t>
            </w:r>
          </w:p>
        </w:tc>
      </w:tr>
      <w:tr>
        <w:tblPrEx>
          <w:tblCellMar>
            <w:top w:w="0" w:type="dxa"/>
            <w:left w:w="108" w:type="dxa"/>
            <w:bottom w:w="0" w:type="dxa"/>
            <w:right w:w="108" w:type="dxa"/>
          </w:tblCellMar>
        </w:tblPrEx>
        <w:tc>
          <w:tcPr>
            <w:tcW w:w="747"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p>
        </w:tc>
        <w:tc>
          <w:tcPr>
            <w:tcW w:w="709"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p>
        </w:tc>
        <w:tc>
          <w:tcPr>
            <w:tcW w:w="1134"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p>
        </w:tc>
        <w:tc>
          <w:tcPr>
            <w:tcW w:w="850" w:type="dxa"/>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丰水</w:t>
            </w:r>
          </w:p>
        </w:tc>
        <w:tc>
          <w:tcPr>
            <w:tcW w:w="1913" w:type="dxa"/>
            <w:gridSpan w:val="2"/>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450</w:t>
            </w:r>
          </w:p>
        </w:tc>
        <w:tc>
          <w:tcPr>
            <w:tcW w:w="1276" w:type="dxa"/>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500</w:t>
            </w:r>
          </w:p>
        </w:tc>
        <w:tc>
          <w:tcPr>
            <w:tcW w:w="2198" w:type="dxa"/>
            <w:gridSpan w:val="2"/>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400</w:t>
            </w:r>
          </w:p>
        </w:tc>
        <w:tc>
          <w:tcPr>
            <w:tcW w:w="1134" w:type="dxa"/>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450</w:t>
            </w:r>
          </w:p>
        </w:tc>
      </w:tr>
      <w:tr>
        <w:tblPrEx>
          <w:tblCellMar>
            <w:top w:w="0" w:type="dxa"/>
            <w:left w:w="108" w:type="dxa"/>
            <w:bottom w:w="0" w:type="dxa"/>
            <w:right w:w="108" w:type="dxa"/>
          </w:tblCellMar>
        </w:tblPrEx>
        <w:tc>
          <w:tcPr>
            <w:tcW w:w="747"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p>
        </w:tc>
        <w:tc>
          <w:tcPr>
            <w:tcW w:w="709" w:type="dxa"/>
            <w:vMerge w:val="restar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现有</w:t>
            </w:r>
          </w:p>
        </w:tc>
        <w:tc>
          <w:tcPr>
            <w:tcW w:w="1134" w:type="dxa"/>
            <w:vMerge w:val="restar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60</w:t>
            </w:r>
          </w:p>
        </w:tc>
        <w:tc>
          <w:tcPr>
            <w:tcW w:w="850" w:type="dxa"/>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平、枯水</w:t>
            </w:r>
          </w:p>
        </w:tc>
        <w:tc>
          <w:tcPr>
            <w:tcW w:w="921" w:type="dxa"/>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350</w:t>
            </w:r>
          </w:p>
        </w:tc>
        <w:tc>
          <w:tcPr>
            <w:tcW w:w="992" w:type="dxa"/>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400</w:t>
            </w:r>
          </w:p>
        </w:tc>
        <w:tc>
          <w:tcPr>
            <w:tcW w:w="1276" w:type="dxa"/>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450</w:t>
            </w:r>
          </w:p>
        </w:tc>
        <w:tc>
          <w:tcPr>
            <w:tcW w:w="1064" w:type="dxa"/>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300</w:t>
            </w:r>
          </w:p>
        </w:tc>
        <w:tc>
          <w:tcPr>
            <w:tcW w:w="1134" w:type="dxa"/>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350</w:t>
            </w:r>
          </w:p>
        </w:tc>
        <w:tc>
          <w:tcPr>
            <w:tcW w:w="1134" w:type="dxa"/>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400</w:t>
            </w:r>
          </w:p>
        </w:tc>
      </w:tr>
      <w:tr>
        <w:tblPrEx>
          <w:tblCellMar>
            <w:top w:w="0" w:type="dxa"/>
            <w:left w:w="108" w:type="dxa"/>
            <w:bottom w:w="0" w:type="dxa"/>
            <w:right w:w="108" w:type="dxa"/>
          </w:tblCellMar>
        </w:tblPrEx>
        <w:tc>
          <w:tcPr>
            <w:tcW w:w="747"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p>
        </w:tc>
        <w:tc>
          <w:tcPr>
            <w:tcW w:w="709"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p>
        </w:tc>
        <w:tc>
          <w:tcPr>
            <w:tcW w:w="1134"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p>
        </w:tc>
        <w:tc>
          <w:tcPr>
            <w:tcW w:w="850" w:type="dxa"/>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丰水</w:t>
            </w:r>
          </w:p>
        </w:tc>
        <w:tc>
          <w:tcPr>
            <w:tcW w:w="921" w:type="dxa"/>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500</w:t>
            </w:r>
          </w:p>
        </w:tc>
        <w:tc>
          <w:tcPr>
            <w:tcW w:w="992" w:type="dxa"/>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550</w:t>
            </w:r>
          </w:p>
        </w:tc>
        <w:tc>
          <w:tcPr>
            <w:tcW w:w="1276" w:type="dxa"/>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600</w:t>
            </w:r>
          </w:p>
        </w:tc>
        <w:tc>
          <w:tcPr>
            <w:tcW w:w="1064" w:type="dxa"/>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450</w:t>
            </w:r>
          </w:p>
        </w:tc>
        <w:tc>
          <w:tcPr>
            <w:tcW w:w="1134" w:type="dxa"/>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500</w:t>
            </w:r>
          </w:p>
        </w:tc>
        <w:tc>
          <w:tcPr>
            <w:tcW w:w="1134" w:type="dxa"/>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550</w:t>
            </w:r>
          </w:p>
        </w:tc>
      </w:tr>
      <w:tr>
        <w:tblPrEx>
          <w:tblCellMar>
            <w:top w:w="0" w:type="dxa"/>
            <w:left w:w="108" w:type="dxa"/>
            <w:bottom w:w="0" w:type="dxa"/>
            <w:right w:w="108" w:type="dxa"/>
          </w:tblCellMar>
        </w:tblPrEx>
        <w:trPr>
          <w:trHeight w:val="422" w:hRule="atLeast"/>
        </w:trPr>
        <w:tc>
          <w:tcPr>
            <w:tcW w:w="747" w:type="dxa"/>
            <w:vMerge w:val="restar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其它行业</w:t>
            </w:r>
          </w:p>
        </w:tc>
        <w:tc>
          <w:tcPr>
            <w:tcW w:w="709" w:type="dxa"/>
            <w:vMerge w:val="restar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新扩改</w:t>
            </w:r>
          </w:p>
        </w:tc>
        <w:tc>
          <w:tcPr>
            <w:tcW w:w="1134" w:type="dxa"/>
            <w:vMerge w:val="restar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参照国家污水综合排放标准或行业废水排放标准执行</w:t>
            </w:r>
          </w:p>
        </w:tc>
        <w:tc>
          <w:tcPr>
            <w:tcW w:w="850" w:type="dxa"/>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平、枯水</w:t>
            </w:r>
          </w:p>
        </w:tc>
        <w:tc>
          <w:tcPr>
            <w:tcW w:w="3189" w:type="dxa"/>
            <w:gridSpan w:val="3"/>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300</w:t>
            </w:r>
          </w:p>
        </w:tc>
        <w:tc>
          <w:tcPr>
            <w:tcW w:w="3332" w:type="dxa"/>
            <w:gridSpan w:val="3"/>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250</w:t>
            </w:r>
          </w:p>
        </w:tc>
      </w:tr>
      <w:tr>
        <w:tblPrEx>
          <w:tblCellMar>
            <w:top w:w="0" w:type="dxa"/>
            <w:left w:w="108" w:type="dxa"/>
            <w:bottom w:w="0" w:type="dxa"/>
            <w:right w:w="108" w:type="dxa"/>
          </w:tblCellMar>
        </w:tblPrEx>
        <w:trPr>
          <w:trHeight w:val="385" w:hRule="atLeast"/>
        </w:trPr>
        <w:tc>
          <w:tcPr>
            <w:tcW w:w="747"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p>
        </w:tc>
        <w:tc>
          <w:tcPr>
            <w:tcW w:w="709"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p>
        </w:tc>
        <w:tc>
          <w:tcPr>
            <w:tcW w:w="1134"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p>
        </w:tc>
        <w:tc>
          <w:tcPr>
            <w:tcW w:w="850" w:type="dxa"/>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丰水</w:t>
            </w:r>
          </w:p>
        </w:tc>
        <w:tc>
          <w:tcPr>
            <w:tcW w:w="3189" w:type="dxa"/>
            <w:gridSpan w:val="3"/>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350</w:t>
            </w:r>
          </w:p>
        </w:tc>
        <w:tc>
          <w:tcPr>
            <w:tcW w:w="3332" w:type="dxa"/>
            <w:gridSpan w:val="3"/>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300</w:t>
            </w:r>
          </w:p>
        </w:tc>
      </w:tr>
      <w:tr>
        <w:tblPrEx>
          <w:tblCellMar>
            <w:top w:w="0" w:type="dxa"/>
            <w:left w:w="108" w:type="dxa"/>
            <w:bottom w:w="0" w:type="dxa"/>
            <w:right w:w="108" w:type="dxa"/>
          </w:tblCellMar>
        </w:tblPrEx>
        <w:trPr>
          <w:trHeight w:val="449" w:hRule="atLeast"/>
        </w:trPr>
        <w:tc>
          <w:tcPr>
            <w:tcW w:w="747"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p>
        </w:tc>
        <w:tc>
          <w:tcPr>
            <w:tcW w:w="709" w:type="dxa"/>
            <w:vMerge w:val="restar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现有</w:t>
            </w:r>
          </w:p>
        </w:tc>
        <w:tc>
          <w:tcPr>
            <w:tcW w:w="1134"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p>
        </w:tc>
        <w:tc>
          <w:tcPr>
            <w:tcW w:w="850" w:type="dxa"/>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平、枯水</w:t>
            </w:r>
          </w:p>
        </w:tc>
        <w:tc>
          <w:tcPr>
            <w:tcW w:w="3189" w:type="dxa"/>
            <w:gridSpan w:val="3"/>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350</w:t>
            </w:r>
          </w:p>
        </w:tc>
        <w:tc>
          <w:tcPr>
            <w:tcW w:w="3332" w:type="dxa"/>
            <w:gridSpan w:val="3"/>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300</w:t>
            </w:r>
          </w:p>
        </w:tc>
      </w:tr>
      <w:tr>
        <w:tblPrEx>
          <w:tblCellMar>
            <w:top w:w="0" w:type="dxa"/>
            <w:left w:w="108" w:type="dxa"/>
            <w:bottom w:w="0" w:type="dxa"/>
            <w:right w:w="108" w:type="dxa"/>
          </w:tblCellMar>
        </w:tblPrEx>
        <w:trPr>
          <w:trHeight w:val="413" w:hRule="atLeast"/>
        </w:trPr>
        <w:tc>
          <w:tcPr>
            <w:tcW w:w="747"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p>
        </w:tc>
        <w:tc>
          <w:tcPr>
            <w:tcW w:w="709"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p>
        </w:tc>
        <w:tc>
          <w:tcPr>
            <w:tcW w:w="1134"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p>
        </w:tc>
        <w:tc>
          <w:tcPr>
            <w:tcW w:w="850" w:type="dxa"/>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丰水</w:t>
            </w:r>
          </w:p>
        </w:tc>
        <w:tc>
          <w:tcPr>
            <w:tcW w:w="3189" w:type="dxa"/>
            <w:gridSpan w:val="3"/>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400</w:t>
            </w:r>
          </w:p>
        </w:tc>
        <w:tc>
          <w:tcPr>
            <w:tcW w:w="3332" w:type="dxa"/>
            <w:gridSpan w:val="3"/>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350</w:t>
            </w:r>
          </w:p>
        </w:tc>
      </w:tr>
    </w:tbl>
    <w:p>
      <w:pPr>
        <w:widowControl/>
        <w:spacing w:line="440" w:lineRule="exact"/>
        <w:ind w:firstLine="560" w:firstLineChars="200"/>
        <w:jc w:val="left"/>
        <w:rPr>
          <w:rFonts w:ascii="Times New Roman" w:hAnsi="Times New Roman" w:eastAsia="宋体" w:cs="Times New Roman"/>
          <w:szCs w:val="22"/>
        </w:rPr>
      </w:pPr>
      <w:r>
        <w:rPr>
          <w:rFonts w:ascii="Calibri" w:hAnsi="Calibri" w:eastAsia="宋体" w:cs="Times New Roman"/>
          <w:sz w:val="28"/>
          <w:szCs w:val="22"/>
        </w:rPr>
        <w:br w:type="page"/>
      </w:r>
      <w:r>
        <w:rPr>
          <w:rFonts w:hint="eastAsia" w:ascii="Times New Roman" w:hAnsi="Times New Roman" w:eastAsia="宋体" w:cs="Times New Roman"/>
          <w:szCs w:val="22"/>
        </w:rPr>
        <w:t>重庆市《榨菜行业水污染物排放标准》（DB 50/1050-2020）规定</w:t>
      </w:r>
      <w:r>
        <w:rPr>
          <w:rFonts w:ascii="Times New Roman" w:hAnsi="Times New Roman" w:eastAsia="宋体" w:cs="Times New Roman"/>
          <w:szCs w:val="22"/>
        </w:rPr>
        <w:t>了</w:t>
      </w:r>
      <w:r>
        <w:rPr>
          <w:rFonts w:hint="eastAsia" w:ascii="Times New Roman" w:hAnsi="Times New Roman" w:eastAsia="宋体" w:cs="Times New Roman"/>
          <w:szCs w:val="22"/>
        </w:rPr>
        <w:t>榨菜</w:t>
      </w:r>
      <w:r>
        <w:rPr>
          <w:rFonts w:ascii="Times New Roman" w:hAnsi="Times New Roman" w:eastAsia="宋体" w:cs="Times New Roman"/>
          <w:szCs w:val="22"/>
        </w:rPr>
        <w:t>产品企业</w:t>
      </w:r>
      <w:r>
        <w:rPr>
          <w:rFonts w:hint="eastAsia" w:ascii="Times New Roman" w:hAnsi="Times New Roman" w:eastAsia="宋体" w:cs="Times New Roman"/>
          <w:szCs w:val="22"/>
        </w:rPr>
        <w:t>氯化物</w:t>
      </w:r>
      <w:r>
        <w:rPr>
          <w:rFonts w:ascii="Times New Roman" w:hAnsi="Times New Roman" w:eastAsia="宋体" w:cs="Times New Roman"/>
          <w:szCs w:val="22"/>
        </w:rPr>
        <w:t>的</w:t>
      </w:r>
      <w:r>
        <w:rPr>
          <w:rFonts w:hint="eastAsia" w:ascii="Times New Roman" w:hAnsi="Times New Roman" w:eastAsia="宋体" w:cs="Times New Roman"/>
          <w:szCs w:val="22"/>
        </w:rPr>
        <w:t>排放</w:t>
      </w:r>
      <w:r>
        <w:rPr>
          <w:rFonts w:ascii="Times New Roman" w:hAnsi="Times New Roman" w:eastAsia="宋体" w:cs="Times New Roman"/>
          <w:szCs w:val="22"/>
        </w:rPr>
        <w:t>限值</w:t>
      </w:r>
      <w:r>
        <w:rPr>
          <w:rFonts w:hint="eastAsia" w:ascii="Times New Roman" w:hAnsi="Times New Roman" w:eastAsia="宋体" w:cs="Times New Roman"/>
          <w:szCs w:val="22"/>
        </w:rPr>
        <w:t>和企业</w:t>
      </w:r>
      <w:r>
        <w:rPr>
          <w:rFonts w:ascii="Times New Roman" w:hAnsi="Times New Roman" w:eastAsia="宋体" w:cs="Times New Roman"/>
          <w:szCs w:val="22"/>
        </w:rPr>
        <w:t>的单位产品基准排水量，</w:t>
      </w:r>
      <w:r>
        <w:rPr>
          <w:rFonts w:hint="eastAsia" w:ascii="Times New Roman" w:hAnsi="Times New Roman" w:eastAsia="宋体" w:cs="Times New Roman"/>
          <w:szCs w:val="22"/>
        </w:rPr>
        <w:t>具体</w:t>
      </w:r>
      <w:r>
        <w:rPr>
          <w:rFonts w:ascii="Times New Roman" w:hAnsi="Times New Roman" w:eastAsia="宋体" w:cs="Times New Roman"/>
          <w:szCs w:val="22"/>
        </w:rPr>
        <w:t>规定见</w:t>
      </w:r>
      <w:r>
        <w:rPr>
          <w:rFonts w:hint="eastAsia" w:ascii="Times New Roman" w:hAnsi="Times New Roman" w:eastAsia="宋体" w:cs="Times New Roman"/>
          <w:szCs w:val="22"/>
        </w:rPr>
        <w:t>表5</w:t>
      </w:r>
      <w:r>
        <w:rPr>
          <w:rFonts w:ascii="Times New Roman" w:hAnsi="Times New Roman" w:eastAsia="宋体" w:cs="Times New Roman"/>
          <w:szCs w:val="22"/>
        </w:rPr>
        <w:t>-9</w:t>
      </w:r>
      <w:r>
        <w:rPr>
          <w:rFonts w:hint="eastAsia" w:ascii="Times New Roman" w:hAnsi="Times New Roman" w:eastAsia="宋体" w:cs="Times New Roman"/>
          <w:szCs w:val="22"/>
        </w:rPr>
        <w:t>所示。</w:t>
      </w:r>
    </w:p>
    <w:p>
      <w:pPr>
        <w:spacing w:line="440" w:lineRule="exact"/>
        <w:ind w:firstLine="421" w:firstLineChars="200"/>
        <w:jc w:val="center"/>
        <w:rPr>
          <w:rFonts w:ascii="Times New Roman" w:hAnsi="Times New Roman" w:eastAsia="宋体" w:cs="Times New Roman"/>
          <w:b/>
        </w:rPr>
      </w:pPr>
      <w:r>
        <w:rPr>
          <w:rFonts w:ascii="Times New Roman" w:hAnsi="Times New Roman" w:eastAsia="宋体" w:cs="Times New Roman"/>
          <w:b/>
        </w:rPr>
        <w:t>表</w:t>
      </w:r>
      <w:r>
        <w:rPr>
          <w:rFonts w:hint="eastAsia" w:ascii="Times New Roman" w:hAnsi="Times New Roman" w:eastAsia="宋体" w:cs="Times New Roman"/>
          <w:b/>
        </w:rPr>
        <w:t>5</w:t>
      </w:r>
      <w:r>
        <w:rPr>
          <w:rFonts w:ascii="Times New Roman" w:hAnsi="Times New Roman" w:eastAsia="宋体" w:cs="Times New Roman"/>
          <w:b/>
        </w:rPr>
        <w:t>-9</w:t>
      </w:r>
      <w:r>
        <w:rPr>
          <w:rFonts w:hint="eastAsia" w:ascii="Times New Roman" w:hAnsi="Times New Roman" w:eastAsia="宋体" w:cs="Times New Roman"/>
          <w:b/>
        </w:rPr>
        <w:t xml:space="preserve"> 重庆市</w:t>
      </w:r>
      <w:r>
        <w:rPr>
          <w:rFonts w:ascii="Times New Roman" w:hAnsi="Times New Roman" w:eastAsia="宋体" w:cs="Times New Roman"/>
          <w:b/>
        </w:rPr>
        <w:t>地方标准中氯化物排放限值</w:t>
      </w:r>
    </w:p>
    <w:tbl>
      <w:tblPr>
        <w:tblStyle w:val="25"/>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30"/>
        <w:gridCol w:w="2130"/>
        <w:gridCol w:w="2131"/>
        <w:gridCol w:w="213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30" w:type="dxa"/>
            <w:vAlign w:val="center"/>
          </w:tcPr>
          <w:p>
            <w:pPr>
              <w:jc w:val="center"/>
              <w:rPr>
                <w:rFonts w:ascii="Times New Roman" w:hAnsi="Times New Roman" w:eastAsia="宋体" w:cs="Times New Roman"/>
                <w:b/>
                <w:sz w:val="18"/>
                <w:szCs w:val="22"/>
                <w:shd w:val="clear" w:color="auto" w:fill="FFFFFF"/>
              </w:rPr>
            </w:pPr>
            <w:r>
              <w:rPr>
                <w:rFonts w:ascii="Times New Roman" w:hAnsi="Times New Roman" w:eastAsia="宋体" w:cs="Times New Roman"/>
                <w:b/>
                <w:sz w:val="18"/>
                <w:szCs w:val="22"/>
                <w:shd w:val="clear" w:color="auto" w:fill="FFFFFF"/>
              </w:rPr>
              <w:t>行业类别</w:t>
            </w:r>
          </w:p>
        </w:tc>
        <w:tc>
          <w:tcPr>
            <w:tcW w:w="2130" w:type="dxa"/>
            <w:vAlign w:val="center"/>
          </w:tcPr>
          <w:p>
            <w:pPr>
              <w:jc w:val="center"/>
              <w:rPr>
                <w:rFonts w:ascii="Times New Roman" w:hAnsi="Times New Roman" w:eastAsia="宋体" w:cs="Times New Roman"/>
                <w:b/>
                <w:sz w:val="18"/>
                <w:szCs w:val="22"/>
                <w:shd w:val="clear" w:color="auto" w:fill="FFFFFF"/>
              </w:rPr>
            </w:pPr>
            <w:r>
              <w:rPr>
                <w:rFonts w:ascii="Times New Roman" w:hAnsi="Times New Roman" w:eastAsia="宋体" w:cs="Times New Roman"/>
                <w:b/>
                <w:sz w:val="18"/>
                <w:szCs w:val="22"/>
                <w:shd w:val="clear" w:color="auto" w:fill="FFFFFF"/>
              </w:rPr>
              <w:t>排放标准</w:t>
            </w:r>
          </w:p>
          <w:p>
            <w:pPr>
              <w:jc w:val="center"/>
              <w:rPr>
                <w:rFonts w:ascii="Times New Roman" w:hAnsi="Times New Roman" w:eastAsia="宋体" w:cs="Times New Roman"/>
                <w:b/>
                <w:sz w:val="18"/>
                <w:szCs w:val="22"/>
                <w:shd w:val="clear" w:color="auto" w:fill="FFFFFF"/>
              </w:rPr>
            </w:pPr>
            <w:r>
              <w:rPr>
                <w:rFonts w:ascii="Times New Roman" w:hAnsi="Times New Roman" w:eastAsia="宋体" w:cs="Times New Roman"/>
                <w:b/>
                <w:sz w:val="18"/>
                <w:szCs w:val="22"/>
                <w:shd w:val="clear" w:color="auto" w:fill="FFFFFF"/>
              </w:rPr>
              <w:t>（mg/L）</w:t>
            </w:r>
          </w:p>
        </w:tc>
        <w:tc>
          <w:tcPr>
            <w:tcW w:w="2131" w:type="dxa"/>
            <w:vAlign w:val="center"/>
          </w:tcPr>
          <w:p>
            <w:pPr>
              <w:jc w:val="center"/>
              <w:rPr>
                <w:rFonts w:ascii="Times New Roman" w:hAnsi="Times New Roman" w:eastAsia="宋体" w:cs="Times New Roman"/>
                <w:b/>
                <w:sz w:val="18"/>
                <w:szCs w:val="22"/>
                <w:shd w:val="clear" w:color="auto" w:fill="FFFFFF"/>
              </w:rPr>
            </w:pPr>
            <w:r>
              <w:rPr>
                <w:rFonts w:ascii="Times New Roman" w:hAnsi="Times New Roman" w:eastAsia="宋体" w:cs="Times New Roman"/>
                <w:b/>
                <w:sz w:val="18"/>
                <w:szCs w:val="22"/>
                <w:shd w:val="clear" w:color="auto" w:fill="FFFFFF"/>
              </w:rPr>
              <w:t>单位产品基准排水量（m</w:t>
            </w:r>
            <w:r>
              <w:rPr>
                <w:rFonts w:ascii="Times New Roman" w:hAnsi="Times New Roman" w:eastAsia="宋体" w:cs="Times New Roman"/>
                <w:b/>
                <w:sz w:val="18"/>
                <w:szCs w:val="22"/>
                <w:shd w:val="clear" w:color="auto" w:fill="FFFFFF"/>
                <w:vertAlign w:val="superscript"/>
              </w:rPr>
              <w:t>3</w:t>
            </w:r>
            <w:r>
              <w:rPr>
                <w:rFonts w:ascii="Times New Roman" w:hAnsi="Times New Roman" w:eastAsia="宋体" w:cs="Times New Roman"/>
                <w:b/>
                <w:sz w:val="18"/>
                <w:szCs w:val="22"/>
                <w:shd w:val="clear" w:color="auto" w:fill="FFFFFF"/>
              </w:rPr>
              <w:t>/t）</w:t>
            </w:r>
          </w:p>
        </w:tc>
        <w:tc>
          <w:tcPr>
            <w:tcW w:w="2131" w:type="dxa"/>
            <w:vAlign w:val="center"/>
          </w:tcPr>
          <w:p>
            <w:pPr>
              <w:jc w:val="center"/>
              <w:rPr>
                <w:rFonts w:ascii="Times New Roman" w:hAnsi="Times New Roman" w:eastAsia="宋体" w:cs="Times New Roman"/>
                <w:b/>
                <w:sz w:val="18"/>
                <w:szCs w:val="22"/>
                <w:shd w:val="clear" w:color="auto" w:fill="FFFFFF"/>
              </w:rPr>
            </w:pPr>
            <w:r>
              <w:rPr>
                <w:rFonts w:ascii="Times New Roman" w:hAnsi="Times New Roman" w:eastAsia="宋体" w:cs="Times New Roman"/>
                <w:b/>
                <w:sz w:val="18"/>
                <w:szCs w:val="22"/>
                <w:shd w:val="clear" w:color="auto" w:fill="FFFFFF"/>
              </w:rPr>
              <w:t>污染物排放监控位置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30" w:type="dxa"/>
            <w:vAlign w:val="center"/>
          </w:tcPr>
          <w:p>
            <w:pPr>
              <w:jc w:val="center"/>
              <w:rPr>
                <w:rFonts w:ascii="Times New Roman" w:hAnsi="Times New Roman" w:eastAsia="宋体" w:cs="Times New Roman"/>
                <w:sz w:val="18"/>
                <w:szCs w:val="22"/>
                <w:shd w:val="clear" w:color="auto" w:fill="FFFFFF"/>
              </w:rPr>
            </w:pPr>
            <w:r>
              <w:rPr>
                <w:rFonts w:hint="eastAsia" w:ascii="Times New Roman" w:hAnsi="Times New Roman" w:eastAsia="宋体" w:cs="Times New Roman"/>
                <w:sz w:val="18"/>
                <w:szCs w:val="22"/>
                <w:shd w:val="clear" w:color="auto" w:fill="FFFFFF"/>
              </w:rPr>
              <w:t>榨菜</w:t>
            </w:r>
            <w:r>
              <w:rPr>
                <w:rFonts w:ascii="Times New Roman" w:hAnsi="Times New Roman" w:eastAsia="宋体" w:cs="Times New Roman"/>
                <w:sz w:val="18"/>
                <w:szCs w:val="22"/>
                <w:shd w:val="clear" w:color="auto" w:fill="FFFFFF"/>
              </w:rPr>
              <w:t>型产品企业</w:t>
            </w:r>
          </w:p>
        </w:tc>
        <w:tc>
          <w:tcPr>
            <w:tcW w:w="2130" w:type="dxa"/>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8000</w:t>
            </w:r>
          </w:p>
        </w:tc>
        <w:tc>
          <w:tcPr>
            <w:tcW w:w="2131" w:type="dxa"/>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18</w:t>
            </w:r>
          </w:p>
        </w:tc>
        <w:tc>
          <w:tcPr>
            <w:tcW w:w="2131" w:type="dxa"/>
            <w:vMerge w:val="restart"/>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企业废水</w:t>
            </w:r>
            <w:r>
              <w:rPr>
                <w:rFonts w:hint="eastAsia" w:ascii="Times New Roman" w:hAnsi="Times New Roman" w:eastAsia="宋体" w:cs="Times New Roman"/>
                <w:sz w:val="18"/>
                <w:szCs w:val="22"/>
                <w:shd w:val="clear" w:color="auto" w:fill="FFFFFF"/>
              </w:rPr>
              <w:t>总</w:t>
            </w:r>
            <w:r>
              <w:rPr>
                <w:rFonts w:ascii="Times New Roman" w:hAnsi="Times New Roman" w:eastAsia="宋体" w:cs="Times New Roman"/>
                <w:sz w:val="18"/>
                <w:szCs w:val="22"/>
                <w:shd w:val="clear" w:color="auto" w:fill="FFFFFF"/>
              </w:rPr>
              <w:t>排放口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30" w:type="dxa"/>
            <w:vAlign w:val="center"/>
          </w:tcPr>
          <w:p>
            <w:pPr>
              <w:jc w:val="center"/>
              <w:rPr>
                <w:rFonts w:ascii="Times New Roman" w:hAnsi="Times New Roman" w:eastAsia="宋体" w:cs="Times New Roman"/>
                <w:sz w:val="18"/>
                <w:szCs w:val="22"/>
                <w:shd w:val="clear" w:color="auto" w:fill="FFFFFF"/>
              </w:rPr>
            </w:pPr>
            <w:r>
              <w:rPr>
                <w:rFonts w:hint="eastAsia" w:ascii="Times New Roman" w:hAnsi="Times New Roman" w:eastAsia="宋体" w:cs="Times New Roman"/>
                <w:sz w:val="18"/>
                <w:szCs w:val="22"/>
                <w:shd w:val="clear" w:color="auto" w:fill="FFFFFF"/>
              </w:rPr>
              <w:t>混合型</w:t>
            </w:r>
            <w:r>
              <w:rPr>
                <w:rFonts w:ascii="Times New Roman" w:hAnsi="Times New Roman" w:eastAsia="宋体" w:cs="Times New Roman"/>
                <w:sz w:val="18"/>
                <w:szCs w:val="22"/>
                <w:shd w:val="clear" w:color="auto" w:fill="FFFFFF"/>
              </w:rPr>
              <w:t>产品企业</w:t>
            </w:r>
          </w:p>
        </w:tc>
        <w:tc>
          <w:tcPr>
            <w:tcW w:w="2130" w:type="dxa"/>
            <w:vAlign w:val="center"/>
          </w:tcPr>
          <w:p>
            <w:pPr>
              <w:jc w:val="center"/>
              <w:rPr>
                <w:rFonts w:ascii="Times New Roman" w:hAnsi="Times New Roman" w:eastAsia="宋体" w:cs="Times New Roman"/>
                <w:sz w:val="18"/>
                <w:szCs w:val="22"/>
                <w:shd w:val="clear" w:color="auto" w:fill="FFFFFF"/>
              </w:rPr>
            </w:pPr>
            <w:r>
              <w:rPr>
                <w:rFonts w:hint="eastAsia" w:ascii="Times New Roman" w:hAnsi="Times New Roman" w:eastAsia="宋体" w:cs="Times New Roman"/>
                <w:sz w:val="18"/>
                <w:szCs w:val="22"/>
                <w:shd w:val="clear" w:color="auto" w:fill="FFFFFF"/>
              </w:rPr>
              <w:t>5000</w:t>
            </w:r>
          </w:p>
        </w:tc>
        <w:tc>
          <w:tcPr>
            <w:tcW w:w="2131" w:type="dxa"/>
            <w:vAlign w:val="center"/>
          </w:tcPr>
          <w:p>
            <w:pPr>
              <w:jc w:val="center"/>
              <w:rPr>
                <w:rFonts w:ascii="Times New Roman" w:hAnsi="Times New Roman" w:eastAsia="宋体" w:cs="Times New Roman"/>
                <w:sz w:val="18"/>
                <w:szCs w:val="22"/>
                <w:shd w:val="clear" w:color="auto" w:fill="FFFFFF"/>
              </w:rPr>
            </w:pPr>
            <w:r>
              <w:rPr>
                <w:rFonts w:hint="eastAsia" w:ascii="Times New Roman" w:hAnsi="Times New Roman" w:eastAsia="宋体" w:cs="Times New Roman"/>
                <w:sz w:val="18"/>
                <w:szCs w:val="22"/>
                <w:shd w:val="clear" w:color="auto" w:fill="FFFFFF"/>
              </w:rPr>
              <w:t>12</w:t>
            </w:r>
            <w:r>
              <w:rPr>
                <w:rFonts w:ascii="Times New Roman" w:hAnsi="Times New Roman" w:eastAsia="宋体" w:cs="Times New Roman"/>
                <w:sz w:val="18"/>
                <w:szCs w:val="22"/>
                <w:shd w:val="clear" w:color="auto" w:fill="FFFFFF"/>
              </w:rPr>
              <w:t>~18</w:t>
            </w:r>
          </w:p>
        </w:tc>
        <w:tc>
          <w:tcPr>
            <w:tcW w:w="2131" w:type="dxa"/>
            <w:vMerge w:val="continue"/>
            <w:vAlign w:val="center"/>
          </w:tcPr>
          <w:p>
            <w:pPr>
              <w:jc w:val="center"/>
              <w:rPr>
                <w:rFonts w:ascii="Times New Roman" w:hAnsi="Times New Roman" w:eastAsia="宋体" w:cs="Times New Roman"/>
                <w:sz w:val="18"/>
                <w:szCs w:val="22"/>
                <w:shd w:val="clear" w:color="auto" w:fill="FFFFFF"/>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2130" w:type="dxa"/>
            <w:vAlign w:val="center"/>
          </w:tcPr>
          <w:p>
            <w:pPr>
              <w:jc w:val="center"/>
              <w:rPr>
                <w:rFonts w:ascii="Times New Roman" w:hAnsi="Times New Roman" w:eastAsia="宋体" w:cs="Times New Roman"/>
                <w:sz w:val="18"/>
                <w:szCs w:val="22"/>
                <w:shd w:val="clear" w:color="auto" w:fill="FFFFFF"/>
              </w:rPr>
            </w:pPr>
            <w:r>
              <w:rPr>
                <w:rFonts w:hint="eastAsia" w:ascii="Times New Roman" w:hAnsi="Times New Roman" w:eastAsia="宋体" w:cs="Times New Roman"/>
                <w:sz w:val="18"/>
                <w:szCs w:val="22"/>
                <w:shd w:val="clear" w:color="auto" w:fill="FFFFFF"/>
              </w:rPr>
              <w:t>其他</w:t>
            </w:r>
            <w:r>
              <w:rPr>
                <w:rFonts w:ascii="Times New Roman" w:hAnsi="Times New Roman" w:eastAsia="宋体" w:cs="Times New Roman"/>
                <w:sz w:val="18"/>
                <w:szCs w:val="22"/>
                <w:shd w:val="clear" w:color="auto" w:fill="FFFFFF"/>
              </w:rPr>
              <w:t>腌制蔬菜产品企业</w:t>
            </w:r>
          </w:p>
        </w:tc>
        <w:tc>
          <w:tcPr>
            <w:tcW w:w="2130" w:type="dxa"/>
            <w:vAlign w:val="center"/>
          </w:tcPr>
          <w:p>
            <w:pPr>
              <w:jc w:val="center"/>
              <w:rPr>
                <w:rFonts w:ascii="Times New Roman" w:hAnsi="Times New Roman" w:eastAsia="宋体" w:cs="Times New Roman"/>
                <w:sz w:val="18"/>
                <w:szCs w:val="22"/>
                <w:shd w:val="clear" w:color="auto" w:fill="FFFFFF"/>
              </w:rPr>
            </w:pPr>
            <w:r>
              <w:rPr>
                <w:rFonts w:hint="eastAsia" w:ascii="Times New Roman" w:hAnsi="Times New Roman" w:eastAsia="宋体" w:cs="Times New Roman"/>
                <w:sz w:val="18"/>
                <w:szCs w:val="22"/>
                <w:shd w:val="clear" w:color="auto" w:fill="FFFFFF"/>
              </w:rPr>
              <w:t>2000</w:t>
            </w:r>
          </w:p>
        </w:tc>
        <w:tc>
          <w:tcPr>
            <w:tcW w:w="2131" w:type="dxa"/>
            <w:vAlign w:val="center"/>
          </w:tcPr>
          <w:p>
            <w:pPr>
              <w:jc w:val="center"/>
              <w:rPr>
                <w:rFonts w:ascii="Times New Roman" w:hAnsi="Times New Roman" w:eastAsia="宋体" w:cs="Times New Roman"/>
                <w:sz w:val="18"/>
                <w:szCs w:val="22"/>
                <w:shd w:val="clear" w:color="auto" w:fill="FFFFFF"/>
              </w:rPr>
            </w:pPr>
            <w:r>
              <w:rPr>
                <w:rFonts w:hint="eastAsia" w:ascii="Times New Roman" w:hAnsi="Times New Roman" w:eastAsia="宋体" w:cs="Times New Roman"/>
                <w:sz w:val="18"/>
                <w:szCs w:val="22"/>
                <w:shd w:val="clear" w:color="auto" w:fill="FFFFFF"/>
              </w:rPr>
              <w:t>12</w:t>
            </w:r>
          </w:p>
        </w:tc>
        <w:tc>
          <w:tcPr>
            <w:tcW w:w="2131" w:type="dxa"/>
            <w:vMerge w:val="continue"/>
            <w:vAlign w:val="center"/>
          </w:tcPr>
          <w:p>
            <w:pPr>
              <w:jc w:val="center"/>
              <w:rPr>
                <w:rFonts w:ascii="Times New Roman" w:hAnsi="Times New Roman" w:eastAsia="宋体" w:cs="Times New Roman"/>
                <w:sz w:val="18"/>
                <w:szCs w:val="22"/>
                <w:shd w:val="clear" w:color="auto" w:fill="FFFFFF"/>
              </w:rPr>
            </w:pPr>
          </w:p>
        </w:tc>
      </w:tr>
    </w:tbl>
    <w:p>
      <w:pPr>
        <w:keepNext/>
        <w:keepLines/>
        <w:spacing w:before="120" w:after="120" w:line="415" w:lineRule="auto"/>
        <w:jc w:val="left"/>
        <w:outlineLvl w:val="1"/>
        <w:rPr>
          <w:rFonts w:ascii="Times New Roman" w:hAnsi="Times New Roman" w:eastAsia="宋体" w:cs="Times New Roman"/>
          <w:b/>
          <w:bCs/>
          <w:sz w:val="30"/>
          <w:szCs w:val="32"/>
        </w:rPr>
      </w:pPr>
      <w:bookmarkStart w:id="35" w:name="_Toc76386113"/>
      <w:r>
        <w:rPr>
          <w:rFonts w:hint="eastAsia" w:ascii="Times New Roman" w:hAnsi="Times New Roman" w:eastAsia="宋体" w:cs="Times New Roman"/>
          <w:b/>
          <w:bCs/>
          <w:sz w:val="30"/>
          <w:szCs w:val="32"/>
        </w:rPr>
        <w:t>5.</w:t>
      </w:r>
      <w:r>
        <w:rPr>
          <w:rFonts w:ascii="Times New Roman" w:hAnsi="Times New Roman" w:eastAsia="宋体" w:cs="Times New Roman"/>
          <w:b/>
          <w:bCs/>
          <w:sz w:val="30"/>
          <w:szCs w:val="32"/>
        </w:rPr>
        <w:t>3四川省</w:t>
      </w:r>
      <w:r>
        <w:rPr>
          <w:rFonts w:hint="eastAsia" w:ascii="Times New Roman" w:hAnsi="Times New Roman" w:eastAsia="宋体" w:cs="Times New Roman"/>
          <w:b/>
          <w:bCs/>
          <w:sz w:val="30"/>
          <w:szCs w:val="32"/>
        </w:rPr>
        <w:t>氯离子</w:t>
      </w:r>
      <w:r>
        <w:rPr>
          <w:rFonts w:hint="eastAsia" w:ascii="Times New Roman" w:hAnsi="Times New Roman" w:eastAsia="宋体" w:cs="Times New Roman"/>
          <w:b/>
          <w:bCs/>
          <w:sz w:val="30"/>
          <w:szCs w:val="32"/>
          <w:lang w:eastAsia="zh-CN"/>
        </w:rPr>
        <w:t>排放</w:t>
      </w:r>
      <w:r>
        <w:rPr>
          <w:rFonts w:hint="eastAsia" w:ascii="Times New Roman" w:hAnsi="Times New Roman" w:eastAsia="宋体" w:cs="Times New Roman"/>
          <w:b/>
          <w:bCs/>
          <w:sz w:val="30"/>
          <w:szCs w:val="32"/>
        </w:rPr>
        <w:t>现状</w:t>
      </w:r>
      <w:bookmarkEnd w:id="35"/>
    </w:p>
    <w:p>
      <w:pPr>
        <w:keepNext/>
        <w:keepLines/>
        <w:spacing w:before="156" w:beforeLines="50" w:after="156" w:afterLines="50" w:line="360" w:lineRule="auto"/>
        <w:jc w:val="left"/>
        <w:outlineLvl w:val="2"/>
        <w:rPr>
          <w:rFonts w:ascii="Times New Roman" w:hAnsi="Times New Roman" w:eastAsia="宋体" w:cs="Times New Roman"/>
          <w:b/>
          <w:bCs/>
          <w:sz w:val="24"/>
          <w:szCs w:val="32"/>
        </w:rPr>
      </w:pPr>
      <w:bookmarkStart w:id="36" w:name="_Toc76386114"/>
      <w:r>
        <w:rPr>
          <w:rFonts w:hint="eastAsia" w:ascii="Times New Roman" w:hAnsi="Times New Roman" w:eastAsia="宋体" w:cs="Times New Roman"/>
          <w:b/>
          <w:bCs/>
          <w:sz w:val="24"/>
          <w:szCs w:val="32"/>
        </w:rPr>
        <w:t>5</w:t>
      </w:r>
      <w:r>
        <w:rPr>
          <w:rFonts w:ascii="Times New Roman" w:hAnsi="Times New Roman" w:eastAsia="宋体" w:cs="Times New Roman"/>
          <w:b/>
          <w:bCs/>
          <w:sz w:val="24"/>
          <w:szCs w:val="32"/>
        </w:rPr>
        <w:t>.3.1</w:t>
      </w:r>
      <w:r>
        <w:rPr>
          <w:rFonts w:hint="eastAsia" w:ascii="Times New Roman" w:hAnsi="Times New Roman" w:eastAsia="宋体" w:cs="Times New Roman"/>
          <w:b/>
          <w:bCs/>
          <w:sz w:val="24"/>
          <w:szCs w:val="32"/>
        </w:rPr>
        <w:t>饮用水氯离子调查统计</w:t>
      </w:r>
      <w:bookmarkEnd w:id="36"/>
    </w:p>
    <w:p>
      <w:pPr>
        <w:widowControl/>
        <w:spacing w:line="440" w:lineRule="exact"/>
        <w:ind w:firstLine="420" w:firstLineChars="200"/>
        <w:jc w:val="left"/>
        <w:rPr>
          <w:rFonts w:ascii="Times New Roman" w:hAnsi="Times New Roman" w:eastAsia="宋体" w:cs="Times New Roman"/>
          <w:szCs w:val="22"/>
        </w:rPr>
      </w:pPr>
      <w:r>
        <w:rPr>
          <w:rFonts w:ascii="Times New Roman" w:hAnsi="Times New Roman" w:eastAsia="宋体" w:cs="Times New Roman"/>
          <w:szCs w:val="22"/>
        </w:rPr>
        <w:t>根据四川省各地区地表水和地下水水源地水质</w:t>
      </w:r>
      <w:r>
        <w:rPr>
          <w:rFonts w:hint="eastAsia" w:ascii="Times New Roman" w:hAnsi="Times New Roman" w:eastAsia="宋体" w:cs="Times New Roman"/>
          <w:szCs w:val="22"/>
        </w:rPr>
        <w:t>上报数据，四川省饮用水</w:t>
      </w:r>
      <w:r>
        <w:rPr>
          <w:rFonts w:ascii="Times New Roman" w:hAnsi="Times New Roman" w:eastAsia="宋体" w:cs="Times New Roman"/>
          <w:szCs w:val="22"/>
        </w:rPr>
        <w:t>水体氯化物年平均浓度数据见表</w:t>
      </w:r>
      <w:r>
        <w:rPr>
          <w:rFonts w:hint="eastAsia" w:ascii="Times New Roman" w:hAnsi="Times New Roman" w:eastAsia="宋体" w:cs="Times New Roman"/>
          <w:szCs w:val="22"/>
        </w:rPr>
        <w:t>5</w:t>
      </w:r>
      <w:r>
        <w:rPr>
          <w:rFonts w:ascii="Times New Roman" w:hAnsi="Times New Roman" w:eastAsia="宋体" w:cs="Times New Roman"/>
          <w:szCs w:val="22"/>
        </w:rPr>
        <w:t>-10和</w:t>
      </w:r>
      <w:r>
        <w:rPr>
          <w:rFonts w:hint="eastAsia" w:ascii="Times New Roman" w:hAnsi="Times New Roman" w:eastAsia="宋体" w:cs="Times New Roman"/>
          <w:szCs w:val="22"/>
        </w:rPr>
        <w:t>5</w:t>
      </w:r>
      <w:r>
        <w:rPr>
          <w:rFonts w:ascii="Times New Roman" w:hAnsi="Times New Roman" w:eastAsia="宋体" w:cs="Times New Roman"/>
          <w:szCs w:val="22"/>
        </w:rPr>
        <w:t>-11。</w:t>
      </w:r>
    </w:p>
    <w:p>
      <w:pPr>
        <w:spacing w:line="440" w:lineRule="exact"/>
        <w:ind w:firstLine="421" w:firstLineChars="200"/>
        <w:jc w:val="center"/>
        <w:rPr>
          <w:rFonts w:ascii="Times New Roman" w:hAnsi="Times New Roman" w:eastAsia="宋体" w:cs="Times New Roman"/>
          <w:b/>
        </w:rPr>
      </w:pPr>
      <w:r>
        <w:rPr>
          <w:rFonts w:ascii="Times New Roman" w:hAnsi="Times New Roman" w:eastAsia="宋体" w:cs="Times New Roman"/>
          <w:b/>
        </w:rPr>
        <w:t>表</w:t>
      </w:r>
      <w:r>
        <w:rPr>
          <w:rFonts w:hint="eastAsia" w:ascii="Times New Roman" w:hAnsi="Times New Roman" w:eastAsia="宋体" w:cs="Times New Roman"/>
          <w:b/>
        </w:rPr>
        <w:t>5</w:t>
      </w:r>
      <w:r>
        <w:rPr>
          <w:rFonts w:ascii="Times New Roman" w:hAnsi="Times New Roman" w:eastAsia="宋体" w:cs="Times New Roman"/>
          <w:b/>
        </w:rPr>
        <w:t>-10 2017年四川省各地区地表水水源地水体氯化物年平均浓度</w:t>
      </w:r>
    </w:p>
    <w:tbl>
      <w:tblPr>
        <w:tblStyle w:val="25"/>
        <w:tblW w:w="8647" w:type="dxa"/>
        <w:tblInd w:w="-3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686"/>
        <w:gridCol w:w="1134"/>
        <w:gridCol w:w="2694"/>
        <w:gridCol w:w="113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686" w:type="dxa"/>
            <w:vAlign w:val="center"/>
          </w:tcPr>
          <w:p>
            <w:pPr>
              <w:jc w:val="center"/>
              <w:rPr>
                <w:rFonts w:ascii="Times New Roman" w:hAnsi="Times New Roman" w:eastAsia="宋体" w:cs="Times New Roman"/>
                <w:b/>
                <w:sz w:val="18"/>
                <w:szCs w:val="18"/>
              </w:rPr>
            </w:pPr>
            <w:r>
              <w:rPr>
                <w:rFonts w:ascii="Times New Roman" w:hAnsi="Times New Roman" w:eastAsia="宋体" w:cs="Times New Roman"/>
                <w:b/>
                <w:sz w:val="18"/>
                <w:szCs w:val="18"/>
              </w:rPr>
              <w:t>水源地</w:t>
            </w:r>
          </w:p>
        </w:tc>
        <w:tc>
          <w:tcPr>
            <w:tcW w:w="1134" w:type="dxa"/>
            <w:vAlign w:val="center"/>
          </w:tcPr>
          <w:p>
            <w:pPr>
              <w:jc w:val="center"/>
              <w:rPr>
                <w:rFonts w:ascii="Times New Roman" w:hAnsi="Times New Roman" w:eastAsia="宋体" w:cs="Times New Roman"/>
                <w:b/>
                <w:sz w:val="18"/>
                <w:szCs w:val="18"/>
              </w:rPr>
            </w:pPr>
            <w:r>
              <w:rPr>
                <w:rFonts w:ascii="Times New Roman" w:hAnsi="Times New Roman" w:eastAsia="宋体" w:cs="Times New Roman"/>
                <w:b/>
                <w:sz w:val="18"/>
                <w:szCs w:val="18"/>
              </w:rPr>
              <w:t>氯化物浓度（mg/L）</w:t>
            </w:r>
          </w:p>
        </w:tc>
        <w:tc>
          <w:tcPr>
            <w:tcW w:w="2694" w:type="dxa"/>
            <w:vAlign w:val="center"/>
          </w:tcPr>
          <w:p>
            <w:pPr>
              <w:jc w:val="center"/>
              <w:rPr>
                <w:rFonts w:ascii="Times New Roman" w:hAnsi="Times New Roman" w:eastAsia="宋体" w:cs="Times New Roman"/>
                <w:b/>
                <w:sz w:val="18"/>
                <w:szCs w:val="18"/>
              </w:rPr>
            </w:pPr>
            <w:r>
              <w:rPr>
                <w:rFonts w:ascii="Times New Roman" w:hAnsi="Times New Roman" w:eastAsia="宋体" w:cs="Times New Roman"/>
                <w:b/>
                <w:sz w:val="18"/>
                <w:szCs w:val="18"/>
              </w:rPr>
              <w:t>水源地</w:t>
            </w:r>
          </w:p>
        </w:tc>
        <w:tc>
          <w:tcPr>
            <w:tcW w:w="1133" w:type="dxa"/>
            <w:vAlign w:val="center"/>
          </w:tcPr>
          <w:p>
            <w:pPr>
              <w:jc w:val="center"/>
              <w:rPr>
                <w:rFonts w:ascii="Times New Roman" w:hAnsi="Times New Roman" w:eastAsia="宋体" w:cs="Times New Roman"/>
                <w:b/>
                <w:sz w:val="18"/>
                <w:szCs w:val="18"/>
              </w:rPr>
            </w:pPr>
            <w:r>
              <w:rPr>
                <w:rFonts w:ascii="Times New Roman" w:hAnsi="Times New Roman" w:eastAsia="宋体" w:cs="Times New Roman"/>
                <w:b/>
                <w:sz w:val="18"/>
                <w:szCs w:val="18"/>
              </w:rPr>
              <w:t>氯化物浓度（mg/L）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686" w:type="dxa"/>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大渡河李码头</w:t>
            </w:r>
          </w:p>
        </w:tc>
        <w:tc>
          <w:tcPr>
            <w:tcW w:w="1134" w:type="dxa"/>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0.58</w:t>
            </w:r>
          </w:p>
        </w:tc>
        <w:tc>
          <w:tcPr>
            <w:tcW w:w="2694" w:type="dxa"/>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西湾爱心水厂水源地</w:t>
            </w:r>
          </w:p>
        </w:tc>
        <w:tc>
          <w:tcPr>
            <w:tcW w:w="1133" w:type="dxa"/>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5.92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686" w:type="dxa"/>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磨子沟水源地</w:t>
            </w:r>
          </w:p>
        </w:tc>
        <w:tc>
          <w:tcPr>
            <w:tcW w:w="1134" w:type="dxa"/>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0.75</w:t>
            </w:r>
          </w:p>
        </w:tc>
        <w:tc>
          <w:tcPr>
            <w:tcW w:w="2694" w:type="dxa"/>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邛海</w:t>
            </w:r>
          </w:p>
        </w:tc>
        <w:tc>
          <w:tcPr>
            <w:tcW w:w="1133" w:type="dxa"/>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8.24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3686" w:type="dxa"/>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西河官坝堰水源地</w:t>
            </w:r>
          </w:p>
        </w:tc>
        <w:tc>
          <w:tcPr>
            <w:tcW w:w="1134" w:type="dxa"/>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1.21</w:t>
            </w:r>
          </w:p>
        </w:tc>
        <w:tc>
          <w:tcPr>
            <w:tcW w:w="2694" w:type="dxa"/>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渠江西来寺饮用水源地</w:t>
            </w:r>
          </w:p>
        </w:tc>
        <w:tc>
          <w:tcPr>
            <w:tcW w:w="1133" w:type="dxa"/>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8.74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686" w:type="dxa"/>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任家沟饮用水源地</w:t>
            </w:r>
          </w:p>
        </w:tc>
        <w:tc>
          <w:tcPr>
            <w:tcW w:w="1134" w:type="dxa"/>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1.26</w:t>
            </w:r>
          </w:p>
        </w:tc>
        <w:tc>
          <w:tcPr>
            <w:tcW w:w="2694" w:type="dxa"/>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老鹰水库</w:t>
            </w:r>
          </w:p>
        </w:tc>
        <w:tc>
          <w:tcPr>
            <w:tcW w:w="1133" w:type="dxa"/>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9.74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686" w:type="dxa"/>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大郎足沟水源地</w:t>
            </w:r>
          </w:p>
        </w:tc>
        <w:tc>
          <w:tcPr>
            <w:tcW w:w="1134" w:type="dxa"/>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1.27</w:t>
            </w:r>
          </w:p>
        </w:tc>
        <w:tc>
          <w:tcPr>
            <w:tcW w:w="2694" w:type="dxa"/>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岷江豆腐石（一水厂）、大佛沱（二水厂）水源地</w:t>
            </w:r>
          </w:p>
        </w:tc>
        <w:tc>
          <w:tcPr>
            <w:tcW w:w="1133" w:type="dxa"/>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10.58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686" w:type="dxa"/>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绵阳市仙鹤湖水库集中式饮用水水源保护区</w:t>
            </w:r>
          </w:p>
        </w:tc>
        <w:tc>
          <w:tcPr>
            <w:tcW w:w="1134" w:type="dxa"/>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1.42</w:t>
            </w:r>
          </w:p>
        </w:tc>
        <w:tc>
          <w:tcPr>
            <w:tcW w:w="2694" w:type="dxa"/>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渠河水源地</w:t>
            </w:r>
          </w:p>
        </w:tc>
        <w:tc>
          <w:tcPr>
            <w:tcW w:w="1133" w:type="dxa"/>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12.46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3686" w:type="dxa"/>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郫县徐堰河、柏条河饮用水源地</w:t>
            </w:r>
          </w:p>
        </w:tc>
        <w:tc>
          <w:tcPr>
            <w:tcW w:w="1134" w:type="dxa"/>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2.43</w:t>
            </w:r>
          </w:p>
        </w:tc>
        <w:tc>
          <w:tcPr>
            <w:tcW w:w="2694" w:type="dxa"/>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长江五渡溪水源地</w:t>
            </w:r>
          </w:p>
        </w:tc>
        <w:tc>
          <w:tcPr>
            <w:tcW w:w="1133" w:type="dxa"/>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19.38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686" w:type="dxa"/>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西郊水厂人民渠水源地（含射水河）保护区</w:t>
            </w:r>
          </w:p>
        </w:tc>
        <w:tc>
          <w:tcPr>
            <w:tcW w:w="1134" w:type="dxa"/>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2.52</w:t>
            </w:r>
          </w:p>
        </w:tc>
        <w:tc>
          <w:tcPr>
            <w:tcW w:w="2694" w:type="dxa"/>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长江石堡湾</w:t>
            </w:r>
          </w:p>
        </w:tc>
        <w:tc>
          <w:tcPr>
            <w:tcW w:w="1133" w:type="dxa"/>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20.26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686" w:type="dxa"/>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青衣江猪儿嘴饮用水水源地</w:t>
            </w:r>
          </w:p>
        </w:tc>
        <w:tc>
          <w:tcPr>
            <w:tcW w:w="1134" w:type="dxa"/>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2.54</w:t>
            </w:r>
          </w:p>
        </w:tc>
        <w:tc>
          <w:tcPr>
            <w:tcW w:w="2694" w:type="dxa"/>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金沙江雪滩（四水厂）水源地</w:t>
            </w:r>
          </w:p>
        </w:tc>
        <w:tc>
          <w:tcPr>
            <w:tcW w:w="1133" w:type="dxa"/>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24.17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686" w:type="dxa"/>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涪江铁桥水源地</w:t>
            </w:r>
          </w:p>
        </w:tc>
        <w:tc>
          <w:tcPr>
            <w:tcW w:w="1134" w:type="dxa"/>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2.65</w:t>
            </w:r>
          </w:p>
        </w:tc>
        <w:tc>
          <w:tcPr>
            <w:tcW w:w="2694" w:type="dxa"/>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金沙金江水源地</w:t>
            </w:r>
          </w:p>
        </w:tc>
        <w:tc>
          <w:tcPr>
            <w:tcW w:w="1133" w:type="dxa"/>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25.32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3686" w:type="dxa"/>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乐山市观音桥集中式饮用水水源地</w:t>
            </w:r>
          </w:p>
        </w:tc>
        <w:tc>
          <w:tcPr>
            <w:tcW w:w="1134" w:type="dxa"/>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3.39</w:t>
            </w:r>
          </w:p>
        </w:tc>
        <w:tc>
          <w:tcPr>
            <w:tcW w:w="2694" w:type="dxa"/>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濛溪河头滩坝水源地</w:t>
            </w:r>
          </w:p>
        </w:tc>
        <w:tc>
          <w:tcPr>
            <w:tcW w:w="1133" w:type="dxa"/>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27.19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686" w:type="dxa"/>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成都市沙河刘家碾集中式饮用水水源保护区</w:t>
            </w:r>
          </w:p>
        </w:tc>
        <w:tc>
          <w:tcPr>
            <w:tcW w:w="1134" w:type="dxa"/>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3.79</w:t>
            </w:r>
          </w:p>
        </w:tc>
        <w:tc>
          <w:tcPr>
            <w:tcW w:w="2694" w:type="dxa"/>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花园滩水源地</w:t>
            </w:r>
          </w:p>
        </w:tc>
        <w:tc>
          <w:tcPr>
            <w:tcW w:w="1133" w:type="dxa"/>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27.43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686" w:type="dxa"/>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涪江东方红大桥水源地</w:t>
            </w:r>
          </w:p>
        </w:tc>
        <w:tc>
          <w:tcPr>
            <w:tcW w:w="1134" w:type="dxa"/>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3.99</w:t>
            </w:r>
          </w:p>
        </w:tc>
        <w:tc>
          <w:tcPr>
            <w:tcW w:w="2694" w:type="dxa"/>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长沙坝-葫芦口水库</w:t>
            </w:r>
          </w:p>
        </w:tc>
        <w:tc>
          <w:tcPr>
            <w:tcW w:w="1133" w:type="dxa"/>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28.14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686" w:type="dxa"/>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黑龙滩水库</w:t>
            </w:r>
          </w:p>
        </w:tc>
        <w:tc>
          <w:tcPr>
            <w:tcW w:w="1134" w:type="dxa"/>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4.02</w:t>
            </w:r>
          </w:p>
        </w:tc>
        <w:tc>
          <w:tcPr>
            <w:tcW w:w="2694" w:type="dxa"/>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金沙格里坪水源地</w:t>
            </w:r>
          </w:p>
        </w:tc>
        <w:tc>
          <w:tcPr>
            <w:tcW w:w="1133" w:type="dxa"/>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44.06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3686" w:type="dxa"/>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巴河大佛寺水源地</w:t>
            </w:r>
          </w:p>
        </w:tc>
        <w:tc>
          <w:tcPr>
            <w:tcW w:w="1134" w:type="dxa"/>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5.09</w:t>
            </w:r>
          </w:p>
        </w:tc>
        <w:tc>
          <w:tcPr>
            <w:tcW w:w="2694" w:type="dxa"/>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双溪水库</w:t>
            </w:r>
          </w:p>
        </w:tc>
        <w:tc>
          <w:tcPr>
            <w:tcW w:w="1133" w:type="dxa"/>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47.32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686" w:type="dxa"/>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南充市主城区嘉陵江饮用水水源保护区</w:t>
            </w:r>
          </w:p>
        </w:tc>
        <w:tc>
          <w:tcPr>
            <w:tcW w:w="1134" w:type="dxa"/>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5.17</w:t>
            </w:r>
          </w:p>
        </w:tc>
        <w:tc>
          <w:tcPr>
            <w:tcW w:w="2694" w:type="dxa"/>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金沙河门口水源地</w:t>
            </w:r>
          </w:p>
        </w:tc>
        <w:tc>
          <w:tcPr>
            <w:tcW w:w="1133" w:type="dxa"/>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54.31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686" w:type="dxa"/>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达州市罗江库区集中式饮用水水源保护区</w:t>
            </w:r>
          </w:p>
        </w:tc>
        <w:tc>
          <w:tcPr>
            <w:tcW w:w="1134" w:type="dxa"/>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5.62</w:t>
            </w:r>
          </w:p>
        </w:tc>
        <w:tc>
          <w:tcPr>
            <w:tcW w:w="2694" w:type="dxa"/>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金沙炳草岗水源地</w:t>
            </w:r>
          </w:p>
        </w:tc>
        <w:tc>
          <w:tcPr>
            <w:tcW w:w="1133" w:type="dxa"/>
            <w:vAlign w:val="center"/>
          </w:tcPr>
          <w:p>
            <w:pPr>
              <w:jc w:val="center"/>
              <w:rPr>
                <w:rFonts w:ascii="Times New Roman" w:hAnsi="Times New Roman" w:eastAsia="宋体" w:cs="Times New Roman"/>
                <w:sz w:val="18"/>
                <w:szCs w:val="18"/>
              </w:rPr>
            </w:pPr>
            <w:r>
              <w:rPr>
                <w:rFonts w:ascii="Times New Roman" w:hAnsi="Times New Roman" w:eastAsia="宋体" w:cs="Times New Roman"/>
                <w:sz w:val="18"/>
                <w:szCs w:val="18"/>
              </w:rPr>
              <w:t>54.75</w:t>
            </w:r>
          </w:p>
        </w:tc>
      </w:tr>
    </w:tbl>
    <w:p>
      <w:pPr>
        <w:spacing w:line="360" w:lineRule="auto"/>
        <w:jc w:val="center"/>
        <w:rPr>
          <w:rFonts w:ascii="Times New Roman" w:hAnsi="Times New Roman" w:eastAsia="宋体" w:cs="Times New Roman"/>
          <w:sz w:val="28"/>
          <w:szCs w:val="22"/>
        </w:rPr>
      </w:pPr>
      <w:r>
        <w:rPr>
          <w:rFonts w:ascii="Times New Roman" w:hAnsi="Times New Roman" w:eastAsia="宋体" w:cs="Times New Roman"/>
          <w:sz w:val="28"/>
          <w:szCs w:val="22"/>
        </w:rPr>
        <w:drawing>
          <wp:inline distT="0" distB="0" distL="0" distR="0">
            <wp:extent cx="5086350" cy="3195955"/>
            <wp:effectExtent l="19050" t="0" r="19050" b="4445"/>
            <wp:docPr id="36" name="图表 40"/>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pPr>
        <w:spacing w:line="440" w:lineRule="exact"/>
        <w:ind w:firstLine="421" w:firstLineChars="200"/>
        <w:jc w:val="center"/>
        <w:rPr>
          <w:rFonts w:ascii="Times New Roman" w:hAnsi="Times New Roman" w:eastAsia="宋体" w:cs="Times New Roman"/>
          <w:b/>
        </w:rPr>
      </w:pPr>
      <w:r>
        <w:rPr>
          <w:rFonts w:ascii="Times New Roman" w:hAnsi="Times New Roman" w:eastAsia="宋体" w:cs="Times New Roman"/>
          <w:b/>
        </w:rPr>
        <w:t>图</w:t>
      </w:r>
      <w:r>
        <w:rPr>
          <w:rFonts w:hint="eastAsia" w:ascii="Times New Roman" w:hAnsi="Times New Roman" w:eastAsia="宋体" w:cs="Times New Roman"/>
          <w:b/>
        </w:rPr>
        <w:t xml:space="preserve">5-1 </w:t>
      </w:r>
      <w:r>
        <w:rPr>
          <w:rFonts w:ascii="Times New Roman" w:hAnsi="Times New Roman" w:eastAsia="宋体" w:cs="Times New Roman"/>
          <w:b/>
        </w:rPr>
        <w:t>2017年四川省各地区地表水水源地水体所含氯化物概况</w:t>
      </w:r>
    </w:p>
    <w:p>
      <w:pPr>
        <w:spacing w:line="360" w:lineRule="auto"/>
        <w:jc w:val="center"/>
        <w:rPr>
          <w:rFonts w:ascii="Times New Roman" w:hAnsi="Times New Roman" w:eastAsia="黑体" w:cs="Times New Roman"/>
          <w:szCs w:val="21"/>
        </w:rPr>
      </w:pPr>
    </w:p>
    <w:p>
      <w:pPr>
        <w:spacing w:line="440" w:lineRule="exact"/>
        <w:ind w:firstLine="421" w:firstLineChars="200"/>
        <w:jc w:val="center"/>
        <w:rPr>
          <w:rFonts w:ascii="Times New Roman" w:hAnsi="Times New Roman" w:eastAsia="宋体" w:cs="Times New Roman"/>
          <w:b/>
        </w:rPr>
      </w:pPr>
      <w:r>
        <w:rPr>
          <w:rFonts w:ascii="Times New Roman" w:hAnsi="Times New Roman" w:eastAsia="宋体" w:cs="Times New Roman"/>
          <w:b/>
        </w:rPr>
        <w:t>表</w:t>
      </w:r>
      <w:r>
        <w:rPr>
          <w:rFonts w:hint="eastAsia" w:ascii="Times New Roman" w:hAnsi="Times New Roman" w:eastAsia="宋体" w:cs="Times New Roman"/>
          <w:b/>
        </w:rPr>
        <w:t>5</w:t>
      </w:r>
      <w:r>
        <w:rPr>
          <w:rFonts w:ascii="Times New Roman" w:hAnsi="Times New Roman" w:eastAsia="宋体" w:cs="Times New Roman"/>
          <w:b/>
        </w:rPr>
        <w:t>-</w:t>
      </w:r>
      <w:r>
        <w:rPr>
          <w:rFonts w:hint="eastAsia" w:ascii="Times New Roman" w:hAnsi="Times New Roman" w:eastAsia="宋体" w:cs="Times New Roman"/>
          <w:b/>
        </w:rPr>
        <w:t>1</w:t>
      </w:r>
      <w:r>
        <w:rPr>
          <w:rFonts w:ascii="Times New Roman" w:hAnsi="Times New Roman" w:eastAsia="宋体" w:cs="Times New Roman"/>
          <w:b/>
        </w:rPr>
        <w:t>1 2017年四川省各地区地下水水源地水体氯化物年平均浓度</w:t>
      </w:r>
    </w:p>
    <w:tbl>
      <w:tblPr>
        <w:tblStyle w:val="25"/>
        <w:tblW w:w="8506" w:type="dxa"/>
        <w:tblInd w:w="-3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359"/>
        <w:gridCol w:w="1075"/>
        <w:gridCol w:w="2939"/>
        <w:gridCol w:w="113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03" w:type="dxa"/>
            <w:vAlign w:val="center"/>
          </w:tcPr>
          <w:p>
            <w:pPr>
              <w:jc w:val="center"/>
              <w:rPr>
                <w:rFonts w:ascii="Times New Roman" w:hAnsi="Times New Roman" w:eastAsia="宋体" w:cs="Times New Roman"/>
                <w:b/>
                <w:sz w:val="18"/>
                <w:szCs w:val="22"/>
              </w:rPr>
            </w:pPr>
            <w:r>
              <w:rPr>
                <w:rFonts w:ascii="Times New Roman" w:hAnsi="Times New Roman" w:eastAsia="宋体" w:cs="Times New Roman"/>
                <w:b/>
                <w:sz w:val="18"/>
                <w:szCs w:val="22"/>
              </w:rPr>
              <w:t>水源地</w:t>
            </w:r>
          </w:p>
        </w:tc>
        <w:tc>
          <w:tcPr>
            <w:tcW w:w="992" w:type="dxa"/>
            <w:vAlign w:val="center"/>
          </w:tcPr>
          <w:p>
            <w:pPr>
              <w:jc w:val="center"/>
              <w:rPr>
                <w:rFonts w:ascii="Times New Roman" w:hAnsi="Times New Roman" w:eastAsia="宋体" w:cs="Times New Roman"/>
                <w:b/>
                <w:sz w:val="18"/>
                <w:szCs w:val="22"/>
              </w:rPr>
            </w:pPr>
            <w:r>
              <w:rPr>
                <w:rFonts w:ascii="Times New Roman" w:hAnsi="Times New Roman" w:eastAsia="宋体" w:cs="Times New Roman"/>
                <w:b/>
                <w:sz w:val="18"/>
                <w:szCs w:val="22"/>
              </w:rPr>
              <w:t>氯化物浓度（mg/L）</w:t>
            </w:r>
          </w:p>
        </w:tc>
        <w:tc>
          <w:tcPr>
            <w:tcW w:w="2977" w:type="dxa"/>
            <w:vAlign w:val="center"/>
          </w:tcPr>
          <w:p>
            <w:pPr>
              <w:jc w:val="center"/>
              <w:rPr>
                <w:rFonts w:ascii="Times New Roman" w:hAnsi="Times New Roman" w:eastAsia="宋体" w:cs="Times New Roman"/>
                <w:b/>
                <w:sz w:val="18"/>
                <w:szCs w:val="22"/>
              </w:rPr>
            </w:pPr>
            <w:r>
              <w:rPr>
                <w:rFonts w:ascii="Times New Roman" w:hAnsi="Times New Roman" w:eastAsia="宋体" w:cs="Times New Roman"/>
                <w:b/>
                <w:sz w:val="18"/>
                <w:szCs w:val="22"/>
              </w:rPr>
              <w:t>水源地</w:t>
            </w:r>
          </w:p>
        </w:tc>
        <w:tc>
          <w:tcPr>
            <w:tcW w:w="1134" w:type="dxa"/>
            <w:vAlign w:val="center"/>
          </w:tcPr>
          <w:p>
            <w:pPr>
              <w:jc w:val="center"/>
              <w:rPr>
                <w:rFonts w:ascii="Times New Roman" w:hAnsi="Times New Roman" w:eastAsia="宋体" w:cs="Times New Roman"/>
                <w:b/>
                <w:sz w:val="18"/>
                <w:szCs w:val="22"/>
              </w:rPr>
            </w:pPr>
            <w:r>
              <w:rPr>
                <w:rFonts w:ascii="Times New Roman" w:hAnsi="Times New Roman" w:eastAsia="宋体" w:cs="Times New Roman"/>
                <w:b/>
                <w:sz w:val="18"/>
                <w:szCs w:val="22"/>
              </w:rPr>
              <w:t>氯化物浓度（mg/L）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03" w:type="dxa"/>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都江堰市自来水有限公司二水厂水源地</w:t>
            </w:r>
          </w:p>
        </w:tc>
        <w:tc>
          <w:tcPr>
            <w:tcW w:w="992" w:type="dxa"/>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7.34</w:t>
            </w:r>
          </w:p>
        </w:tc>
        <w:tc>
          <w:tcPr>
            <w:tcW w:w="2977" w:type="dxa"/>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温江区金马自来水厂饮用水源地</w:t>
            </w:r>
          </w:p>
        </w:tc>
        <w:tc>
          <w:tcPr>
            <w:tcW w:w="1134" w:type="dxa"/>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9.22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03" w:type="dxa"/>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都江堰市东城自来水有限公司水源地</w:t>
            </w:r>
          </w:p>
        </w:tc>
        <w:tc>
          <w:tcPr>
            <w:tcW w:w="992" w:type="dxa"/>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8.62</w:t>
            </w:r>
          </w:p>
        </w:tc>
        <w:tc>
          <w:tcPr>
            <w:tcW w:w="2977" w:type="dxa"/>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大邑县晋原三水厂饮用水源地</w:t>
            </w:r>
          </w:p>
        </w:tc>
        <w:tc>
          <w:tcPr>
            <w:tcW w:w="1134" w:type="dxa"/>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29.06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3403" w:type="dxa"/>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都江堰市科技产业开发区自来水公司水源地</w:t>
            </w:r>
          </w:p>
        </w:tc>
        <w:tc>
          <w:tcPr>
            <w:tcW w:w="992" w:type="dxa"/>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2.53</w:t>
            </w:r>
          </w:p>
        </w:tc>
        <w:tc>
          <w:tcPr>
            <w:tcW w:w="2977" w:type="dxa"/>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崇州市城区棋盘村北集中式饮用水水源保护区</w:t>
            </w:r>
          </w:p>
        </w:tc>
        <w:tc>
          <w:tcPr>
            <w:tcW w:w="1134" w:type="dxa"/>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7.04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403" w:type="dxa"/>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温江区自来水厂饮用水源地</w:t>
            </w:r>
          </w:p>
        </w:tc>
        <w:tc>
          <w:tcPr>
            <w:tcW w:w="992" w:type="dxa"/>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7.93</w:t>
            </w:r>
          </w:p>
        </w:tc>
        <w:tc>
          <w:tcPr>
            <w:tcW w:w="2977" w:type="dxa"/>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清白江水厂应急地下水水源保护区</w:t>
            </w:r>
          </w:p>
        </w:tc>
        <w:tc>
          <w:tcPr>
            <w:tcW w:w="1134" w:type="dxa"/>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20.58</w:t>
            </w:r>
          </w:p>
        </w:tc>
      </w:tr>
    </w:tbl>
    <w:p>
      <w:pPr>
        <w:spacing w:line="440" w:lineRule="exact"/>
        <w:ind w:firstLine="420" w:firstLineChars="200"/>
        <w:jc w:val="left"/>
        <w:rPr>
          <w:rFonts w:ascii="Times New Roman" w:hAnsi="Times New Roman" w:eastAsia="宋体" w:cs="Times New Roman"/>
          <w:szCs w:val="22"/>
        </w:rPr>
      </w:pPr>
      <w:r>
        <w:rPr>
          <w:rFonts w:ascii="Times New Roman" w:hAnsi="Times New Roman" w:eastAsia="宋体" w:cs="Times New Roman"/>
          <w:szCs w:val="22"/>
        </w:rPr>
        <w:t>由表</w:t>
      </w:r>
      <w:r>
        <w:rPr>
          <w:rFonts w:hint="eastAsia" w:ascii="Times New Roman" w:hAnsi="Times New Roman" w:eastAsia="宋体" w:cs="Times New Roman"/>
          <w:szCs w:val="22"/>
        </w:rPr>
        <w:t>5</w:t>
      </w:r>
      <w:r>
        <w:rPr>
          <w:rFonts w:ascii="Times New Roman" w:hAnsi="Times New Roman" w:eastAsia="宋体" w:cs="Times New Roman"/>
          <w:szCs w:val="22"/>
        </w:rPr>
        <w:t>-10和图</w:t>
      </w:r>
      <w:r>
        <w:rPr>
          <w:rFonts w:hint="eastAsia" w:ascii="Times New Roman" w:hAnsi="Times New Roman" w:eastAsia="宋体" w:cs="Times New Roman"/>
          <w:szCs w:val="22"/>
        </w:rPr>
        <w:t>5</w:t>
      </w:r>
      <w:r>
        <w:rPr>
          <w:rFonts w:ascii="Times New Roman" w:hAnsi="Times New Roman" w:eastAsia="宋体" w:cs="Times New Roman"/>
          <w:szCs w:val="22"/>
        </w:rPr>
        <w:t>-</w:t>
      </w:r>
      <w:r>
        <w:rPr>
          <w:rFonts w:hint="eastAsia" w:ascii="Times New Roman" w:hAnsi="Times New Roman" w:eastAsia="宋体" w:cs="Times New Roman"/>
          <w:szCs w:val="22"/>
        </w:rPr>
        <w:t>1</w:t>
      </w:r>
      <w:r>
        <w:rPr>
          <w:rFonts w:ascii="Times New Roman" w:hAnsi="Times New Roman" w:eastAsia="宋体" w:cs="Times New Roman"/>
          <w:szCs w:val="22"/>
        </w:rPr>
        <w:t>可看出</w:t>
      </w:r>
      <w:r>
        <w:rPr>
          <w:rFonts w:hint="eastAsia" w:ascii="Times New Roman" w:hAnsi="Times New Roman" w:eastAsia="宋体" w:cs="Times New Roman"/>
          <w:szCs w:val="22"/>
          <w:lang w:eastAsia="zh-CN"/>
        </w:rPr>
        <w:t>：</w:t>
      </w:r>
      <w:r>
        <w:rPr>
          <w:rFonts w:ascii="Times New Roman" w:hAnsi="Times New Roman" w:eastAsia="宋体" w:cs="Times New Roman"/>
          <w:szCs w:val="22"/>
        </w:rPr>
        <w:t>2017年四川省各地区地表水水源地水体所含氯化物浓度在0~60mg/L范围内，超过一半的水源地的氯化物浓度在10mg/L以下，仅有4个水源地的氯化物浓度在40mg/L~60mg/L范围内；由表</w:t>
      </w:r>
      <w:r>
        <w:rPr>
          <w:rFonts w:hint="eastAsia" w:ascii="Times New Roman" w:hAnsi="Times New Roman" w:eastAsia="宋体" w:cs="Times New Roman"/>
          <w:szCs w:val="22"/>
        </w:rPr>
        <w:t>5</w:t>
      </w:r>
      <w:r>
        <w:rPr>
          <w:rFonts w:ascii="Times New Roman" w:hAnsi="Times New Roman" w:eastAsia="宋体" w:cs="Times New Roman"/>
          <w:szCs w:val="22"/>
        </w:rPr>
        <w:t>-</w:t>
      </w:r>
      <w:r>
        <w:rPr>
          <w:rFonts w:hint="eastAsia" w:ascii="Times New Roman" w:hAnsi="Times New Roman" w:eastAsia="宋体" w:cs="Times New Roman"/>
          <w:szCs w:val="22"/>
        </w:rPr>
        <w:t>1</w:t>
      </w:r>
      <w:r>
        <w:rPr>
          <w:rFonts w:ascii="Times New Roman" w:hAnsi="Times New Roman" w:eastAsia="宋体" w:cs="Times New Roman"/>
          <w:szCs w:val="22"/>
        </w:rPr>
        <w:t>1可得四川省部分地区地下水水源地水体所含氯化物浓度基本在10mg/L以内，个别水源地水体氯化物浓度在20mg/L~30mg/L范围内。即四川省所有水源地的氯化物浓度都远远好于《生活饮用水卫生标准》</w:t>
      </w:r>
      <w:r>
        <w:rPr>
          <w:rFonts w:hint="eastAsia" w:ascii="Times New Roman" w:hAnsi="Times New Roman" w:eastAsia="宋体" w:cs="Times New Roman"/>
          <w:szCs w:val="22"/>
        </w:rPr>
        <w:t>（</w:t>
      </w:r>
      <w:r>
        <w:rPr>
          <w:rFonts w:ascii="Times New Roman" w:hAnsi="Times New Roman" w:eastAsia="宋体" w:cs="Times New Roman"/>
          <w:szCs w:val="22"/>
        </w:rPr>
        <w:t>GB5749—2006</w:t>
      </w:r>
      <w:r>
        <w:rPr>
          <w:rFonts w:hint="eastAsia" w:ascii="Times New Roman" w:hAnsi="Times New Roman" w:eastAsia="宋体" w:cs="Times New Roman"/>
          <w:szCs w:val="22"/>
        </w:rPr>
        <w:t>）</w:t>
      </w:r>
      <w:r>
        <w:rPr>
          <w:rFonts w:ascii="Times New Roman" w:hAnsi="Times New Roman" w:eastAsia="宋体" w:cs="Times New Roman"/>
          <w:szCs w:val="22"/>
        </w:rPr>
        <w:t>所规定的250mg/L的限值，由此可得四川省泡菜</w:t>
      </w:r>
      <w:r>
        <w:rPr>
          <w:rFonts w:hint="eastAsia" w:ascii="Times New Roman" w:hAnsi="Times New Roman" w:eastAsia="宋体" w:cs="Times New Roman"/>
          <w:szCs w:val="22"/>
        </w:rPr>
        <w:t>工业</w:t>
      </w:r>
      <w:r>
        <w:rPr>
          <w:rFonts w:ascii="Times New Roman" w:hAnsi="Times New Roman" w:eastAsia="宋体" w:cs="Times New Roman"/>
          <w:szCs w:val="22"/>
        </w:rPr>
        <w:t>企业高盐废水的排放对各四川省各地区水源地氯化物浓度影响并不明显。</w:t>
      </w:r>
    </w:p>
    <w:p>
      <w:pPr>
        <w:keepNext/>
        <w:keepLines/>
        <w:spacing w:before="156" w:beforeLines="50" w:after="156" w:afterLines="50" w:line="360" w:lineRule="auto"/>
        <w:jc w:val="left"/>
        <w:outlineLvl w:val="2"/>
        <w:rPr>
          <w:rFonts w:ascii="Times New Roman" w:hAnsi="Times New Roman" w:eastAsia="宋体" w:cs="Times New Roman"/>
          <w:b/>
          <w:bCs/>
          <w:sz w:val="24"/>
          <w:szCs w:val="32"/>
        </w:rPr>
      </w:pPr>
      <w:bookmarkStart w:id="37" w:name="_Toc76386115"/>
      <w:r>
        <w:rPr>
          <w:rFonts w:ascii="Times New Roman" w:hAnsi="Times New Roman" w:eastAsia="宋体" w:cs="Times New Roman"/>
          <w:b/>
          <w:bCs/>
          <w:sz w:val="24"/>
          <w:szCs w:val="32"/>
        </w:rPr>
        <w:t>5.3.2企业周边</w:t>
      </w:r>
      <w:r>
        <w:rPr>
          <w:rFonts w:hint="eastAsia" w:ascii="Times New Roman" w:hAnsi="Times New Roman" w:eastAsia="宋体" w:cs="Times New Roman"/>
          <w:b/>
          <w:bCs/>
          <w:sz w:val="24"/>
          <w:szCs w:val="32"/>
        </w:rPr>
        <w:t>农灌渠及部分地下水井氯离子污染调查统计</w:t>
      </w:r>
      <w:bookmarkEnd w:id="37"/>
    </w:p>
    <w:p>
      <w:pPr>
        <w:spacing w:line="440" w:lineRule="exact"/>
        <w:ind w:firstLine="420" w:firstLineChars="200"/>
        <w:jc w:val="left"/>
        <w:rPr>
          <w:rFonts w:ascii="Times New Roman" w:hAnsi="Times New Roman" w:eastAsia="宋体" w:cs="Times New Roman"/>
          <w:szCs w:val="22"/>
        </w:rPr>
      </w:pPr>
      <w:r>
        <w:rPr>
          <w:rFonts w:ascii="Times New Roman" w:hAnsi="Times New Roman" w:eastAsia="宋体" w:cs="Times New Roman"/>
          <w:szCs w:val="22"/>
        </w:rPr>
        <w:t>项目组于2018年采样监测了</w:t>
      </w:r>
      <w:r>
        <w:rPr>
          <w:rFonts w:hint="eastAsia" w:ascii="Times New Roman" w:hAnsi="Times New Roman" w:eastAsia="宋体" w:cs="Times New Roman"/>
          <w:szCs w:val="22"/>
        </w:rPr>
        <w:t>某企业周边水体及农户水井中氯化物的含量，结果如表5-1</w:t>
      </w:r>
      <w:r>
        <w:rPr>
          <w:rFonts w:ascii="Times New Roman" w:hAnsi="Times New Roman" w:eastAsia="宋体" w:cs="Times New Roman"/>
          <w:szCs w:val="22"/>
        </w:rPr>
        <w:t>2</w:t>
      </w:r>
      <w:r>
        <w:rPr>
          <w:rFonts w:hint="eastAsia" w:ascii="Times New Roman" w:hAnsi="Times New Roman" w:eastAsia="宋体" w:cs="Times New Roman"/>
          <w:szCs w:val="22"/>
        </w:rPr>
        <w:t>至5-1</w:t>
      </w:r>
      <w:r>
        <w:rPr>
          <w:rFonts w:ascii="Times New Roman" w:hAnsi="Times New Roman" w:eastAsia="宋体" w:cs="Times New Roman"/>
          <w:szCs w:val="22"/>
        </w:rPr>
        <w:t>3</w:t>
      </w:r>
      <w:r>
        <w:rPr>
          <w:rFonts w:hint="eastAsia" w:ascii="Times New Roman" w:hAnsi="Times New Roman" w:eastAsia="宋体" w:cs="Times New Roman"/>
          <w:szCs w:val="22"/>
        </w:rPr>
        <w:t>所示。从表中可以看出，枯水期企业周边水体中氯离子浓度较高。企业下游部分点位的地下水氯离子浓度也较高。</w:t>
      </w:r>
    </w:p>
    <w:tbl>
      <w:tblPr>
        <w:tblStyle w:val="25"/>
        <w:tblW w:w="8237" w:type="dxa"/>
        <w:tblInd w:w="0" w:type="dxa"/>
        <w:tblLayout w:type="fixed"/>
        <w:tblCellMar>
          <w:top w:w="15" w:type="dxa"/>
          <w:left w:w="15" w:type="dxa"/>
          <w:bottom w:w="15" w:type="dxa"/>
          <w:right w:w="15" w:type="dxa"/>
        </w:tblCellMar>
      </w:tblPr>
      <w:tblGrid>
        <w:gridCol w:w="996"/>
        <w:gridCol w:w="12"/>
        <w:gridCol w:w="992"/>
        <w:gridCol w:w="631"/>
        <w:gridCol w:w="503"/>
        <w:gridCol w:w="992"/>
        <w:gridCol w:w="509"/>
        <w:gridCol w:w="625"/>
        <w:gridCol w:w="992"/>
        <w:gridCol w:w="125"/>
        <w:gridCol w:w="1009"/>
        <w:gridCol w:w="814"/>
        <w:gridCol w:w="37"/>
      </w:tblGrid>
      <w:tr>
        <w:tblPrEx>
          <w:tblCellMar>
            <w:top w:w="15" w:type="dxa"/>
            <w:left w:w="15" w:type="dxa"/>
            <w:bottom w:w="15" w:type="dxa"/>
            <w:right w:w="15" w:type="dxa"/>
          </w:tblCellMar>
        </w:tblPrEx>
        <w:trPr>
          <w:gridAfter w:val="1"/>
          <w:wAfter w:w="37" w:type="dxa"/>
          <w:trHeight w:val="353" w:hRule="atLeast"/>
        </w:trPr>
        <w:tc>
          <w:tcPr>
            <w:tcW w:w="8200" w:type="dxa"/>
            <w:gridSpan w:val="12"/>
            <w:tcBorders>
              <w:bottom w:val="single" w:color="auto" w:sz="4" w:space="0"/>
            </w:tcBorders>
            <w:vAlign w:val="bottom"/>
          </w:tcPr>
          <w:p>
            <w:pPr>
              <w:spacing w:line="440" w:lineRule="exact"/>
              <w:ind w:firstLine="421" w:firstLineChars="200"/>
              <w:jc w:val="center"/>
              <w:rPr>
                <w:rFonts w:ascii="Times New Roman" w:hAnsi="Times New Roman" w:eastAsia="宋体" w:cs="Times New Roman"/>
                <w:b/>
              </w:rPr>
            </w:pPr>
            <w:r>
              <w:rPr>
                <w:rFonts w:ascii="Times New Roman" w:hAnsi="Times New Roman" w:eastAsia="宋体" w:cs="Times New Roman"/>
                <w:b/>
              </w:rPr>
              <w:t>表</w:t>
            </w:r>
            <w:r>
              <w:rPr>
                <w:rFonts w:hint="eastAsia" w:ascii="Times New Roman" w:hAnsi="Times New Roman" w:eastAsia="宋体" w:cs="Times New Roman"/>
                <w:b/>
              </w:rPr>
              <w:t>5</w:t>
            </w:r>
            <w:r>
              <w:rPr>
                <w:rFonts w:ascii="Times New Roman" w:hAnsi="Times New Roman" w:eastAsia="宋体" w:cs="Times New Roman"/>
                <w:b/>
              </w:rPr>
              <w:t>-</w:t>
            </w:r>
            <w:r>
              <w:rPr>
                <w:rFonts w:hint="eastAsia" w:ascii="Times New Roman" w:hAnsi="Times New Roman" w:eastAsia="宋体" w:cs="Times New Roman"/>
                <w:b/>
              </w:rPr>
              <w:t>1</w:t>
            </w:r>
            <w:r>
              <w:rPr>
                <w:rFonts w:ascii="Times New Roman" w:hAnsi="Times New Roman" w:eastAsia="宋体" w:cs="Times New Roman"/>
                <w:b/>
              </w:rPr>
              <w:t>2</w:t>
            </w:r>
            <w:r>
              <w:rPr>
                <w:rFonts w:hint="eastAsia" w:ascii="Times New Roman" w:hAnsi="Times New Roman" w:eastAsia="宋体" w:cs="Times New Roman"/>
                <w:b/>
              </w:rPr>
              <w:t xml:space="preserve"> 企业1周边水体</w:t>
            </w:r>
            <w:r>
              <w:rPr>
                <w:rFonts w:ascii="Times New Roman" w:hAnsi="Times New Roman" w:eastAsia="宋体" w:cs="Times New Roman"/>
                <w:b/>
              </w:rPr>
              <w:t>不同时期各点位氯离子浓度（mg/L）</w:t>
            </w:r>
          </w:p>
        </w:tc>
      </w:tr>
      <w:tr>
        <w:tblPrEx>
          <w:tblCellMar>
            <w:top w:w="15" w:type="dxa"/>
            <w:left w:w="15" w:type="dxa"/>
            <w:bottom w:w="15" w:type="dxa"/>
            <w:right w:w="15" w:type="dxa"/>
          </w:tblCellMar>
        </w:tblPrEx>
        <w:trPr>
          <w:gridAfter w:val="1"/>
          <w:wAfter w:w="37" w:type="dxa"/>
          <w:trHeight w:val="485" w:hRule="atLeast"/>
        </w:trPr>
        <w:tc>
          <w:tcPr>
            <w:tcW w:w="996" w:type="dxa"/>
            <w:vMerge w:val="restar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b/>
                <w:kern w:val="0"/>
                <w:sz w:val="18"/>
                <w:szCs w:val="22"/>
              </w:rPr>
            </w:pPr>
            <w:r>
              <w:rPr>
                <w:rFonts w:ascii="Times New Roman" w:hAnsi="Times New Roman" w:eastAsia="宋体" w:cs="Times New Roman"/>
                <w:b/>
                <w:kern w:val="0"/>
                <w:sz w:val="18"/>
                <w:szCs w:val="22"/>
              </w:rPr>
              <w:t>序号</w:t>
            </w:r>
          </w:p>
        </w:tc>
        <w:tc>
          <w:tcPr>
            <w:tcW w:w="1635" w:type="dxa"/>
            <w:gridSpan w:val="3"/>
            <w:vMerge w:val="restar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b/>
                <w:kern w:val="0"/>
                <w:sz w:val="18"/>
                <w:szCs w:val="22"/>
              </w:rPr>
            </w:pPr>
            <w:r>
              <w:rPr>
                <w:rFonts w:ascii="Times New Roman" w:hAnsi="Times New Roman" w:eastAsia="宋体" w:cs="Times New Roman"/>
                <w:b/>
                <w:kern w:val="0"/>
                <w:sz w:val="18"/>
                <w:szCs w:val="22"/>
              </w:rPr>
              <w:t>水期</w:t>
            </w:r>
          </w:p>
        </w:tc>
        <w:tc>
          <w:tcPr>
            <w:tcW w:w="2004" w:type="dxa"/>
            <w:gridSpan w:val="3"/>
            <w:vMerge w:val="restar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b/>
                <w:kern w:val="0"/>
                <w:sz w:val="18"/>
                <w:szCs w:val="22"/>
              </w:rPr>
            </w:pPr>
            <w:r>
              <w:rPr>
                <w:rFonts w:ascii="Times New Roman" w:hAnsi="Times New Roman" w:eastAsia="宋体" w:cs="Times New Roman"/>
                <w:b/>
                <w:kern w:val="0"/>
                <w:sz w:val="18"/>
                <w:szCs w:val="22"/>
              </w:rPr>
              <w:t>时间</w:t>
            </w:r>
          </w:p>
        </w:tc>
        <w:tc>
          <w:tcPr>
            <w:tcW w:w="3565" w:type="dxa"/>
            <w:gridSpan w:val="5"/>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b/>
                <w:kern w:val="0"/>
                <w:sz w:val="18"/>
                <w:szCs w:val="22"/>
              </w:rPr>
            </w:pPr>
            <w:r>
              <w:rPr>
                <w:rFonts w:ascii="Times New Roman" w:hAnsi="Times New Roman" w:eastAsia="宋体" w:cs="Times New Roman"/>
                <w:b/>
                <w:kern w:val="0"/>
                <w:sz w:val="18"/>
                <w:szCs w:val="22"/>
              </w:rPr>
              <w:t>点位</w:t>
            </w:r>
          </w:p>
        </w:tc>
      </w:tr>
      <w:tr>
        <w:tblPrEx>
          <w:tblCellMar>
            <w:top w:w="15" w:type="dxa"/>
            <w:left w:w="15" w:type="dxa"/>
            <w:bottom w:w="15" w:type="dxa"/>
            <w:right w:w="15" w:type="dxa"/>
          </w:tblCellMar>
        </w:tblPrEx>
        <w:trPr>
          <w:gridAfter w:val="1"/>
          <w:wAfter w:w="37" w:type="dxa"/>
          <w:trHeight w:val="525" w:hRule="atLeast"/>
        </w:trPr>
        <w:tc>
          <w:tcPr>
            <w:tcW w:w="996"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b/>
                <w:kern w:val="0"/>
                <w:sz w:val="18"/>
                <w:szCs w:val="22"/>
              </w:rPr>
            </w:pPr>
          </w:p>
        </w:tc>
        <w:tc>
          <w:tcPr>
            <w:tcW w:w="1635" w:type="dxa"/>
            <w:gridSpan w:val="3"/>
            <w:vMerge w:val="continue"/>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b/>
                <w:kern w:val="0"/>
                <w:sz w:val="18"/>
                <w:szCs w:val="22"/>
              </w:rPr>
            </w:pPr>
          </w:p>
        </w:tc>
        <w:tc>
          <w:tcPr>
            <w:tcW w:w="2004" w:type="dxa"/>
            <w:gridSpan w:val="3"/>
            <w:vMerge w:val="continue"/>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b/>
                <w:kern w:val="0"/>
                <w:sz w:val="18"/>
                <w:szCs w:val="22"/>
              </w:rPr>
            </w:pPr>
          </w:p>
        </w:tc>
        <w:tc>
          <w:tcPr>
            <w:tcW w:w="1742" w:type="dxa"/>
            <w:gridSpan w:val="3"/>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b/>
                <w:kern w:val="0"/>
                <w:sz w:val="18"/>
                <w:szCs w:val="22"/>
              </w:rPr>
            </w:pPr>
            <w:r>
              <w:rPr>
                <w:rFonts w:ascii="Times New Roman" w:hAnsi="Times New Roman" w:eastAsia="宋体" w:cs="Times New Roman"/>
                <w:b/>
                <w:kern w:val="0"/>
                <w:sz w:val="18"/>
                <w:szCs w:val="22"/>
              </w:rPr>
              <w:t>1#</w:t>
            </w:r>
          </w:p>
        </w:tc>
        <w:tc>
          <w:tcPr>
            <w:tcW w:w="1823" w:type="dxa"/>
            <w:gridSpan w:val="2"/>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b/>
                <w:kern w:val="0"/>
                <w:sz w:val="18"/>
                <w:szCs w:val="22"/>
              </w:rPr>
            </w:pPr>
            <w:r>
              <w:rPr>
                <w:rFonts w:ascii="Times New Roman" w:hAnsi="Times New Roman" w:eastAsia="宋体" w:cs="Times New Roman"/>
                <w:b/>
                <w:kern w:val="0"/>
                <w:sz w:val="18"/>
                <w:szCs w:val="22"/>
              </w:rPr>
              <w:t>2#</w:t>
            </w:r>
          </w:p>
        </w:tc>
      </w:tr>
      <w:tr>
        <w:tblPrEx>
          <w:tblCellMar>
            <w:top w:w="15" w:type="dxa"/>
            <w:left w:w="15" w:type="dxa"/>
            <w:bottom w:w="15" w:type="dxa"/>
            <w:right w:w="15" w:type="dxa"/>
          </w:tblCellMar>
        </w:tblPrEx>
        <w:trPr>
          <w:gridAfter w:val="1"/>
          <w:wAfter w:w="37" w:type="dxa"/>
          <w:trHeight w:val="525" w:hRule="atLeast"/>
        </w:trPr>
        <w:tc>
          <w:tcPr>
            <w:tcW w:w="996" w:type="dxa"/>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kern w:val="0"/>
                <w:sz w:val="18"/>
                <w:szCs w:val="22"/>
              </w:rPr>
            </w:pPr>
            <w:r>
              <w:rPr>
                <w:rFonts w:ascii="Times New Roman" w:hAnsi="Times New Roman" w:eastAsia="宋体" w:cs="Times New Roman"/>
                <w:kern w:val="0"/>
                <w:sz w:val="18"/>
                <w:szCs w:val="22"/>
              </w:rPr>
              <w:t>1</w:t>
            </w:r>
          </w:p>
        </w:tc>
        <w:tc>
          <w:tcPr>
            <w:tcW w:w="1635" w:type="dxa"/>
            <w:gridSpan w:val="3"/>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kern w:val="0"/>
                <w:sz w:val="18"/>
                <w:szCs w:val="22"/>
              </w:rPr>
            </w:pPr>
            <w:r>
              <w:rPr>
                <w:rFonts w:ascii="Times New Roman" w:hAnsi="Times New Roman" w:eastAsia="宋体" w:cs="Times New Roman"/>
                <w:kern w:val="0"/>
                <w:sz w:val="18"/>
                <w:szCs w:val="22"/>
              </w:rPr>
              <w:t>平水期1</w:t>
            </w:r>
          </w:p>
        </w:tc>
        <w:tc>
          <w:tcPr>
            <w:tcW w:w="2004" w:type="dxa"/>
            <w:gridSpan w:val="3"/>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kern w:val="0"/>
                <w:sz w:val="18"/>
                <w:szCs w:val="22"/>
              </w:rPr>
            </w:pPr>
            <w:r>
              <w:rPr>
                <w:rFonts w:ascii="Times New Roman" w:hAnsi="Times New Roman" w:eastAsia="宋体" w:cs="Times New Roman"/>
                <w:kern w:val="0"/>
                <w:sz w:val="18"/>
                <w:szCs w:val="22"/>
              </w:rPr>
              <w:t>2018.5.28</w:t>
            </w:r>
          </w:p>
        </w:tc>
        <w:tc>
          <w:tcPr>
            <w:tcW w:w="1742" w:type="dxa"/>
            <w:gridSpan w:val="3"/>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kern w:val="0"/>
                <w:sz w:val="18"/>
                <w:szCs w:val="22"/>
              </w:rPr>
            </w:pPr>
            <w:r>
              <w:rPr>
                <w:rFonts w:ascii="Times New Roman" w:hAnsi="Times New Roman" w:eastAsia="宋体" w:cs="Times New Roman"/>
                <w:kern w:val="0"/>
                <w:sz w:val="18"/>
                <w:szCs w:val="22"/>
              </w:rPr>
              <w:t>7.55</w:t>
            </w:r>
          </w:p>
        </w:tc>
        <w:tc>
          <w:tcPr>
            <w:tcW w:w="1823" w:type="dxa"/>
            <w:gridSpan w:val="2"/>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kern w:val="0"/>
                <w:sz w:val="18"/>
                <w:szCs w:val="22"/>
              </w:rPr>
            </w:pPr>
            <w:r>
              <w:rPr>
                <w:rFonts w:ascii="Times New Roman" w:hAnsi="Times New Roman" w:eastAsia="宋体" w:cs="Times New Roman"/>
                <w:kern w:val="0"/>
                <w:sz w:val="18"/>
                <w:szCs w:val="22"/>
              </w:rPr>
              <w:t>46.9</w:t>
            </w:r>
          </w:p>
        </w:tc>
      </w:tr>
      <w:tr>
        <w:tblPrEx>
          <w:tblCellMar>
            <w:top w:w="15" w:type="dxa"/>
            <w:left w:w="15" w:type="dxa"/>
            <w:bottom w:w="15" w:type="dxa"/>
            <w:right w:w="15" w:type="dxa"/>
          </w:tblCellMar>
        </w:tblPrEx>
        <w:trPr>
          <w:gridAfter w:val="1"/>
          <w:wAfter w:w="37" w:type="dxa"/>
          <w:trHeight w:val="514" w:hRule="atLeast"/>
        </w:trPr>
        <w:tc>
          <w:tcPr>
            <w:tcW w:w="996" w:type="dxa"/>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kern w:val="0"/>
                <w:sz w:val="18"/>
                <w:szCs w:val="22"/>
              </w:rPr>
            </w:pPr>
            <w:r>
              <w:rPr>
                <w:rFonts w:ascii="Times New Roman" w:hAnsi="Times New Roman" w:eastAsia="宋体" w:cs="Times New Roman"/>
                <w:kern w:val="0"/>
                <w:sz w:val="18"/>
                <w:szCs w:val="22"/>
              </w:rPr>
              <w:t>2</w:t>
            </w:r>
          </w:p>
        </w:tc>
        <w:tc>
          <w:tcPr>
            <w:tcW w:w="1635" w:type="dxa"/>
            <w:gridSpan w:val="3"/>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kern w:val="0"/>
                <w:sz w:val="18"/>
                <w:szCs w:val="22"/>
              </w:rPr>
            </w:pPr>
            <w:r>
              <w:rPr>
                <w:rFonts w:ascii="Times New Roman" w:hAnsi="Times New Roman" w:eastAsia="宋体" w:cs="Times New Roman"/>
                <w:kern w:val="0"/>
                <w:sz w:val="18"/>
                <w:szCs w:val="22"/>
              </w:rPr>
              <w:t>平水期2</w:t>
            </w:r>
          </w:p>
        </w:tc>
        <w:tc>
          <w:tcPr>
            <w:tcW w:w="2004" w:type="dxa"/>
            <w:gridSpan w:val="3"/>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kern w:val="0"/>
                <w:sz w:val="18"/>
                <w:szCs w:val="22"/>
              </w:rPr>
            </w:pPr>
            <w:r>
              <w:rPr>
                <w:rFonts w:ascii="Times New Roman" w:hAnsi="Times New Roman" w:eastAsia="宋体" w:cs="Times New Roman"/>
                <w:kern w:val="0"/>
                <w:sz w:val="18"/>
                <w:szCs w:val="22"/>
              </w:rPr>
              <w:t>2018.10.23</w:t>
            </w:r>
          </w:p>
        </w:tc>
        <w:tc>
          <w:tcPr>
            <w:tcW w:w="1742" w:type="dxa"/>
            <w:gridSpan w:val="3"/>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kern w:val="0"/>
                <w:sz w:val="18"/>
                <w:szCs w:val="22"/>
              </w:rPr>
            </w:pPr>
            <w:r>
              <w:rPr>
                <w:rFonts w:ascii="Times New Roman" w:hAnsi="Times New Roman" w:eastAsia="宋体" w:cs="Times New Roman"/>
                <w:kern w:val="0"/>
                <w:sz w:val="18"/>
                <w:szCs w:val="22"/>
              </w:rPr>
              <w:t>15.7</w:t>
            </w:r>
          </w:p>
        </w:tc>
        <w:tc>
          <w:tcPr>
            <w:tcW w:w="1823" w:type="dxa"/>
            <w:gridSpan w:val="2"/>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kern w:val="0"/>
                <w:sz w:val="18"/>
                <w:szCs w:val="22"/>
              </w:rPr>
            </w:pPr>
            <w:r>
              <w:rPr>
                <w:rFonts w:ascii="Times New Roman" w:hAnsi="Times New Roman" w:eastAsia="宋体" w:cs="Times New Roman"/>
                <w:kern w:val="0"/>
                <w:sz w:val="18"/>
                <w:szCs w:val="22"/>
              </w:rPr>
              <w:t>29.4</w:t>
            </w:r>
          </w:p>
        </w:tc>
      </w:tr>
      <w:tr>
        <w:tblPrEx>
          <w:tblCellMar>
            <w:top w:w="15" w:type="dxa"/>
            <w:left w:w="15" w:type="dxa"/>
            <w:bottom w:w="15" w:type="dxa"/>
            <w:right w:w="15" w:type="dxa"/>
          </w:tblCellMar>
        </w:tblPrEx>
        <w:trPr>
          <w:gridAfter w:val="1"/>
          <w:wAfter w:w="37" w:type="dxa"/>
          <w:trHeight w:val="514" w:hRule="atLeast"/>
        </w:trPr>
        <w:tc>
          <w:tcPr>
            <w:tcW w:w="996" w:type="dxa"/>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kern w:val="0"/>
                <w:sz w:val="18"/>
                <w:szCs w:val="22"/>
              </w:rPr>
            </w:pPr>
            <w:r>
              <w:rPr>
                <w:rFonts w:ascii="Times New Roman" w:hAnsi="Times New Roman" w:eastAsia="宋体" w:cs="Times New Roman"/>
                <w:kern w:val="0"/>
                <w:sz w:val="18"/>
                <w:szCs w:val="22"/>
              </w:rPr>
              <w:t>3</w:t>
            </w:r>
          </w:p>
        </w:tc>
        <w:tc>
          <w:tcPr>
            <w:tcW w:w="1635" w:type="dxa"/>
            <w:gridSpan w:val="3"/>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kern w:val="0"/>
                <w:sz w:val="18"/>
                <w:szCs w:val="22"/>
              </w:rPr>
            </w:pPr>
            <w:r>
              <w:rPr>
                <w:rFonts w:ascii="Times New Roman" w:hAnsi="Times New Roman" w:eastAsia="宋体" w:cs="Times New Roman"/>
                <w:kern w:val="0"/>
                <w:sz w:val="18"/>
                <w:szCs w:val="22"/>
              </w:rPr>
              <w:t>丰水期1</w:t>
            </w:r>
          </w:p>
        </w:tc>
        <w:tc>
          <w:tcPr>
            <w:tcW w:w="2004" w:type="dxa"/>
            <w:gridSpan w:val="3"/>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kern w:val="0"/>
                <w:sz w:val="18"/>
                <w:szCs w:val="22"/>
              </w:rPr>
            </w:pPr>
            <w:r>
              <w:rPr>
                <w:rFonts w:ascii="Times New Roman" w:hAnsi="Times New Roman" w:eastAsia="宋体" w:cs="Times New Roman"/>
                <w:kern w:val="0"/>
                <w:sz w:val="18"/>
                <w:szCs w:val="22"/>
              </w:rPr>
              <w:t>2018.6.27</w:t>
            </w:r>
          </w:p>
        </w:tc>
        <w:tc>
          <w:tcPr>
            <w:tcW w:w="1742" w:type="dxa"/>
            <w:gridSpan w:val="3"/>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kern w:val="0"/>
                <w:sz w:val="18"/>
                <w:szCs w:val="22"/>
              </w:rPr>
            </w:pPr>
            <w:r>
              <w:rPr>
                <w:rFonts w:ascii="Times New Roman" w:hAnsi="Times New Roman" w:eastAsia="宋体" w:cs="Times New Roman"/>
                <w:kern w:val="0"/>
                <w:sz w:val="18"/>
                <w:szCs w:val="22"/>
              </w:rPr>
              <w:t>12</w:t>
            </w:r>
          </w:p>
        </w:tc>
        <w:tc>
          <w:tcPr>
            <w:tcW w:w="1823" w:type="dxa"/>
            <w:gridSpan w:val="2"/>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kern w:val="0"/>
                <w:sz w:val="18"/>
                <w:szCs w:val="22"/>
              </w:rPr>
            </w:pPr>
            <w:r>
              <w:rPr>
                <w:rFonts w:ascii="Times New Roman" w:hAnsi="Times New Roman" w:eastAsia="宋体" w:cs="Times New Roman"/>
                <w:kern w:val="0"/>
                <w:sz w:val="18"/>
                <w:szCs w:val="22"/>
              </w:rPr>
              <w:t>114</w:t>
            </w:r>
          </w:p>
        </w:tc>
      </w:tr>
      <w:tr>
        <w:tblPrEx>
          <w:tblCellMar>
            <w:top w:w="15" w:type="dxa"/>
            <w:left w:w="15" w:type="dxa"/>
            <w:bottom w:w="15" w:type="dxa"/>
            <w:right w:w="15" w:type="dxa"/>
          </w:tblCellMar>
        </w:tblPrEx>
        <w:trPr>
          <w:gridAfter w:val="1"/>
          <w:wAfter w:w="37" w:type="dxa"/>
          <w:trHeight w:val="514" w:hRule="atLeast"/>
        </w:trPr>
        <w:tc>
          <w:tcPr>
            <w:tcW w:w="996" w:type="dxa"/>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kern w:val="0"/>
                <w:sz w:val="18"/>
                <w:szCs w:val="22"/>
              </w:rPr>
            </w:pPr>
            <w:r>
              <w:rPr>
                <w:rFonts w:ascii="Times New Roman" w:hAnsi="Times New Roman" w:eastAsia="宋体" w:cs="Times New Roman"/>
                <w:kern w:val="0"/>
                <w:sz w:val="18"/>
                <w:szCs w:val="22"/>
              </w:rPr>
              <w:t>4</w:t>
            </w:r>
          </w:p>
        </w:tc>
        <w:tc>
          <w:tcPr>
            <w:tcW w:w="1635" w:type="dxa"/>
            <w:gridSpan w:val="3"/>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kern w:val="0"/>
                <w:sz w:val="18"/>
                <w:szCs w:val="22"/>
              </w:rPr>
            </w:pPr>
            <w:r>
              <w:rPr>
                <w:rFonts w:ascii="Times New Roman" w:hAnsi="Times New Roman" w:eastAsia="宋体" w:cs="Times New Roman"/>
                <w:kern w:val="0"/>
                <w:sz w:val="18"/>
                <w:szCs w:val="22"/>
              </w:rPr>
              <w:t>丰水期2</w:t>
            </w:r>
          </w:p>
        </w:tc>
        <w:tc>
          <w:tcPr>
            <w:tcW w:w="2004" w:type="dxa"/>
            <w:gridSpan w:val="3"/>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kern w:val="0"/>
                <w:sz w:val="18"/>
                <w:szCs w:val="22"/>
              </w:rPr>
            </w:pPr>
            <w:r>
              <w:rPr>
                <w:rFonts w:ascii="Times New Roman" w:hAnsi="Times New Roman" w:eastAsia="宋体" w:cs="Times New Roman"/>
                <w:kern w:val="0"/>
                <w:sz w:val="18"/>
                <w:szCs w:val="22"/>
              </w:rPr>
              <w:t>2018.8.30</w:t>
            </w:r>
          </w:p>
        </w:tc>
        <w:tc>
          <w:tcPr>
            <w:tcW w:w="1742" w:type="dxa"/>
            <w:gridSpan w:val="3"/>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kern w:val="0"/>
                <w:sz w:val="18"/>
                <w:szCs w:val="22"/>
              </w:rPr>
            </w:pPr>
            <w:r>
              <w:rPr>
                <w:rFonts w:ascii="Times New Roman" w:hAnsi="Times New Roman" w:eastAsia="宋体" w:cs="Times New Roman"/>
                <w:kern w:val="0"/>
                <w:sz w:val="18"/>
                <w:szCs w:val="22"/>
              </w:rPr>
              <w:t>8.35</w:t>
            </w:r>
          </w:p>
        </w:tc>
        <w:tc>
          <w:tcPr>
            <w:tcW w:w="1823" w:type="dxa"/>
            <w:gridSpan w:val="2"/>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kern w:val="0"/>
                <w:sz w:val="18"/>
                <w:szCs w:val="22"/>
              </w:rPr>
            </w:pPr>
            <w:r>
              <w:rPr>
                <w:rFonts w:ascii="Times New Roman" w:hAnsi="Times New Roman" w:eastAsia="宋体" w:cs="Times New Roman"/>
                <w:kern w:val="0"/>
                <w:sz w:val="18"/>
                <w:szCs w:val="22"/>
              </w:rPr>
              <w:t>44.4</w:t>
            </w:r>
          </w:p>
        </w:tc>
      </w:tr>
      <w:tr>
        <w:tblPrEx>
          <w:tblCellMar>
            <w:top w:w="15" w:type="dxa"/>
            <w:left w:w="15" w:type="dxa"/>
            <w:bottom w:w="15" w:type="dxa"/>
            <w:right w:w="15" w:type="dxa"/>
          </w:tblCellMar>
        </w:tblPrEx>
        <w:trPr>
          <w:gridAfter w:val="1"/>
          <w:wAfter w:w="37" w:type="dxa"/>
          <w:trHeight w:val="514" w:hRule="atLeast"/>
        </w:trPr>
        <w:tc>
          <w:tcPr>
            <w:tcW w:w="996" w:type="dxa"/>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kern w:val="0"/>
                <w:sz w:val="18"/>
                <w:szCs w:val="22"/>
              </w:rPr>
            </w:pPr>
            <w:r>
              <w:rPr>
                <w:rFonts w:ascii="Times New Roman" w:hAnsi="Times New Roman" w:eastAsia="宋体" w:cs="Times New Roman"/>
                <w:kern w:val="0"/>
                <w:sz w:val="18"/>
                <w:szCs w:val="22"/>
              </w:rPr>
              <w:t>5</w:t>
            </w:r>
          </w:p>
        </w:tc>
        <w:tc>
          <w:tcPr>
            <w:tcW w:w="1635" w:type="dxa"/>
            <w:gridSpan w:val="3"/>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kern w:val="0"/>
                <w:sz w:val="18"/>
                <w:szCs w:val="22"/>
              </w:rPr>
            </w:pPr>
            <w:r>
              <w:rPr>
                <w:rFonts w:ascii="Times New Roman" w:hAnsi="Times New Roman" w:eastAsia="宋体" w:cs="Times New Roman"/>
                <w:kern w:val="0"/>
                <w:sz w:val="18"/>
                <w:szCs w:val="22"/>
              </w:rPr>
              <w:t>枯水期1</w:t>
            </w:r>
          </w:p>
        </w:tc>
        <w:tc>
          <w:tcPr>
            <w:tcW w:w="2004" w:type="dxa"/>
            <w:gridSpan w:val="3"/>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kern w:val="0"/>
                <w:sz w:val="18"/>
                <w:szCs w:val="22"/>
              </w:rPr>
            </w:pPr>
            <w:r>
              <w:rPr>
                <w:rFonts w:ascii="Times New Roman" w:hAnsi="Times New Roman" w:eastAsia="宋体" w:cs="Times New Roman"/>
                <w:kern w:val="0"/>
                <w:sz w:val="18"/>
                <w:szCs w:val="22"/>
              </w:rPr>
              <w:t>2018.12.6</w:t>
            </w:r>
          </w:p>
        </w:tc>
        <w:tc>
          <w:tcPr>
            <w:tcW w:w="1742" w:type="dxa"/>
            <w:gridSpan w:val="3"/>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kern w:val="0"/>
                <w:sz w:val="18"/>
                <w:szCs w:val="22"/>
              </w:rPr>
            </w:pPr>
            <w:r>
              <w:rPr>
                <w:rFonts w:ascii="Times New Roman" w:hAnsi="Times New Roman" w:eastAsia="宋体" w:cs="Times New Roman"/>
                <w:kern w:val="0"/>
                <w:sz w:val="18"/>
                <w:szCs w:val="22"/>
              </w:rPr>
              <w:t>20.2</w:t>
            </w:r>
          </w:p>
        </w:tc>
        <w:tc>
          <w:tcPr>
            <w:tcW w:w="1823" w:type="dxa"/>
            <w:gridSpan w:val="2"/>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kern w:val="0"/>
                <w:sz w:val="18"/>
                <w:szCs w:val="22"/>
              </w:rPr>
            </w:pPr>
            <w:r>
              <w:rPr>
                <w:rFonts w:ascii="Times New Roman" w:hAnsi="Times New Roman" w:eastAsia="宋体" w:cs="Times New Roman"/>
                <w:kern w:val="0"/>
                <w:sz w:val="18"/>
                <w:szCs w:val="22"/>
              </w:rPr>
              <w:t>252</w:t>
            </w:r>
          </w:p>
        </w:tc>
      </w:tr>
      <w:tr>
        <w:tblPrEx>
          <w:tblCellMar>
            <w:top w:w="15" w:type="dxa"/>
            <w:left w:w="15" w:type="dxa"/>
            <w:bottom w:w="15" w:type="dxa"/>
            <w:right w:w="15" w:type="dxa"/>
          </w:tblCellMar>
        </w:tblPrEx>
        <w:trPr>
          <w:gridAfter w:val="1"/>
          <w:wAfter w:w="37" w:type="dxa"/>
          <w:trHeight w:val="545" w:hRule="atLeast"/>
        </w:trPr>
        <w:tc>
          <w:tcPr>
            <w:tcW w:w="996" w:type="dxa"/>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kern w:val="0"/>
                <w:sz w:val="18"/>
                <w:szCs w:val="22"/>
              </w:rPr>
            </w:pPr>
            <w:r>
              <w:rPr>
                <w:rFonts w:ascii="Times New Roman" w:hAnsi="Times New Roman" w:eastAsia="宋体" w:cs="Times New Roman"/>
                <w:kern w:val="0"/>
                <w:sz w:val="18"/>
                <w:szCs w:val="22"/>
              </w:rPr>
              <w:t>6</w:t>
            </w:r>
          </w:p>
        </w:tc>
        <w:tc>
          <w:tcPr>
            <w:tcW w:w="1635" w:type="dxa"/>
            <w:gridSpan w:val="3"/>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kern w:val="0"/>
                <w:sz w:val="18"/>
                <w:szCs w:val="22"/>
              </w:rPr>
            </w:pPr>
            <w:r>
              <w:rPr>
                <w:rFonts w:ascii="Times New Roman" w:hAnsi="Times New Roman" w:eastAsia="宋体" w:cs="Times New Roman"/>
                <w:kern w:val="0"/>
                <w:sz w:val="18"/>
                <w:szCs w:val="22"/>
              </w:rPr>
              <w:t>枯水期2</w:t>
            </w:r>
          </w:p>
        </w:tc>
        <w:tc>
          <w:tcPr>
            <w:tcW w:w="2004" w:type="dxa"/>
            <w:gridSpan w:val="3"/>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kern w:val="0"/>
                <w:sz w:val="18"/>
                <w:szCs w:val="22"/>
              </w:rPr>
            </w:pPr>
            <w:r>
              <w:rPr>
                <w:rFonts w:ascii="Times New Roman" w:hAnsi="Times New Roman" w:eastAsia="宋体" w:cs="Times New Roman"/>
                <w:kern w:val="0"/>
                <w:sz w:val="18"/>
                <w:szCs w:val="22"/>
              </w:rPr>
              <w:t>2019.1.8</w:t>
            </w:r>
          </w:p>
        </w:tc>
        <w:tc>
          <w:tcPr>
            <w:tcW w:w="1742" w:type="dxa"/>
            <w:gridSpan w:val="3"/>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kern w:val="0"/>
                <w:sz w:val="18"/>
                <w:szCs w:val="22"/>
              </w:rPr>
            </w:pPr>
            <w:r>
              <w:rPr>
                <w:rFonts w:ascii="Times New Roman" w:hAnsi="Times New Roman" w:eastAsia="宋体" w:cs="Times New Roman"/>
                <w:kern w:val="0"/>
                <w:sz w:val="18"/>
                <w:szCs w:val="22"/>
              </w:rPr>
              <w:t>69.6</w:t>
            </w:r>
          </w:p>
        </w:tc>
        <w:tc>
          <w:tcPr>
            <w:tcW w:w="1823" w:type="dxa"/>
            <w:gridSpan w:val="2"/>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kern w:val="0"/>
                <w:sz w:val="18"/>
                <w:szCs w:val="22"/>
              </w:rPr>
            </w:pPr>
            <w:r>
              <w:rPr>
                <w:rFonts w:ascii="Times New Roman" w:hAnsi="Times New Roman" w:eastAsia="宋体" w:cs="Times New Roman"/>
                <w:kern w:val="0"/>
                <w:sz w:val="18"/>
                <w:szCs w:val="22"/>
              </w:rPr>
              <w:t>2800</w:t>
            </w:r>
          </w:p>
        </w:tc>
      </w:tr>
      <w:tr>
        <w:tblPrEx>
          <w:tblCellMar>
            <w:top w:w="15" w:type="dxa"/>
            <w:left w:w="15" w:type="dxa"/>
            <w:bottom w:w="15" w:type="dxa"/>
            <w:right w:w="15" w:type="dxa"/>
          </w:tblCellMar>
        </w:tblPrEx>
        <w:trPr>
          <w:trHeight w:val="301" w:hRule="atLeast"/>
        </w:trPr>
        <w:tc>
          <w:tcPr>
            <w:tcW w:w="8237" w:type="dxa"/>
            <w:gridSpan w:val="13"/>
            <w:tcBorders>
              <w:top w:val="single" w:color="auto" w:sz="4" w:space="0"/>
              <w:bottom w:val="single" w:color="auto" w:sz="4" w:space="0"/>
            </w:tcBorders>
            <w:vAlign w:val="bottom"/>
          </w:tcPr>
          <w:p>
            <w:pPr>
              <w:spacing w:line="440" w:lineRule="exact"/>
              <w:ind w:firstLine="421" w:firstLineChars="200"/>
              <w:jc w:val="center"/>
              <w:rPr>
                <w:rFonts w:ascii="Times New Roman" w:hAnsi="Times New Roman" w:eastAsia="宋体" w:cs="Times New Roman"/>
                <w:b/>
              </w:rPr>
            </w:pPr>
            <w:r>
              <w:rPr>
                <w:rFonts w:ascii="Times New Roman" w:hAnsi="Times New Roman" w:eastAsia="宋体" w:cs="Times New Roman"/>
                <w:b/>
              </w:rPr>
              <w:t>表</w:t>
            </w:r>
            <w:r>
              <w:rPr>
                <w:rFonts w:hint="eastAsia" w:ascii="Times New Roman" w:hAnsi="Times New Roman" w:eastAsia="宋体" w:cs="Times New Roman"/>
                <w:b/>
              </w:rPr>
              <w:t>5-1</w:t>
            </w:r>
            <w:r>
              <w:rPr>
                <w:rFonts w:ascii="Times New Roman" w:hAnsi="Times New Roman" w:eastAsia="宋体" w:cs="Times New Roman"/>
                <w:b/>
              </w:rPr>
              <w:t>3</w:t>
            </w:r>
            <w:r>
              <w:rPr>
                <w:rFonts w:hint="eastAsia" w:ascii="Times New Roman" w:hAnsi="Times New Roman" w:eastAsia="宋体" w:cs="Times New Roman"/>
                <w:b/>
              </w:rPr>
              <w:t xml:space="preserve"> 某企业</w:t>
            </w:r>
            <w:r>
              <w:rPr>
                <w:rFonts w:ascii="Times New Roman" w:hAnsi="Times New Roman" w:eastAsia="宋体" w:cs="Times New Roman"/>
                <w:b/>
              </w:rPr>
              <w:t>附近区域地下水井中氯离子浓度</w:t>
            </w:r>
          </w:p>
        </w:tc>
      </w:tr>
      <w:tr>
        <w:tblPrEx>
          <w:tblCellMar>
            <w:top w:w="15" w:type="dxa"/>
            <w:left w:w="15" w:type="dxa"/>
            <w:bottom w:w="15" w:type="dxa"/>
            <w:right w:w="15" w:type="dxa"/>
          </w:tblCellMar>
        </w:tblPrEx>
        <w:trPr>
          <w:trHeight w:val="286" w:hRule="atLeast"/>
        </w:trPr>
        <w:tc>
          <w:tcPr>
            <w:tcW w:w="1008" w:type="dxa"/>
            <w:gridSpan w:val="2"/>
            <w:vMerge w:val="restart"/>
            <w:tcBorders>
              <w:top w:val="single" w:color="auto" w:sz="4" w:space="0"/>
              <w:left w:val="single" w:color="auto" w:sz="4" w:space="0"/>
              <w:bottom w:val="single" w:color="auto" w:sz="4" w:space="0"/>
              <w:right w:val="single" w:color="auto" w:sz="4" w:space="0"/>
            </w:tcBorders>
            <w:vAlign w:val="center"/>
          </w:tcPr>
          <w:p>
            <w:pPr>
              <w:widowControl/>
              <w:spacing w:line="440" w:lineRule="exact"/>
              <w:jc w:val="center"/>
              <w:textAlignment w:val="center"/>
              <w:rPr>
                <w:rFonts w:ascii="Times New Roman" w:hAnsi="Times New Roman" w:eastAsia="宋体" w:cs="Times New Roman"/>
                <w:b/>
                <w:kern w:val="0"/>
                <w:szCs w:val="21"/>
              </w:rPr>
            </w:pPr>
            <w:r>
              <w:rPr>
                <w:rFonts w:ascii="Times New Roman" w:hAnsi="Times New Roman" w:eastAsia="宋体" w:cs="Times New Roman"/>
                <w:b/>
                <w:kern w:val="0"/>
                <w:szCs w:val="21"/>
              </w:rPr>
              <w:t>序号</w:t>
            </w:r>
          </w:p>
        </w:tc>
        <w:tc>
          <w:tcPr>
            <w:tcW w:w="992" w:type="dxa"/>
            <w:vMerge w:val="restart"/>
            <w:tcBorders>
              <w:top w:val="single" w:color="auto" w:sz="4" w:space="0"/>
              <w:left w:val="single" w:color="auto" w:sz="4" w:space="0"/>
              <w:bottom w:val="single" w:color="auto" w:sz="4" w:space="0"/>
              <w:right w:val="single" w:color="auto" w:sz="4" w:space="0"/>
            </w:tcBorders>
            <w:vAlign w:val="center"/>
          </w:tcPr>
          <w:p>
            <w:pPr>
              <w:widowControl/>
              <w:spacing w:line="440" w:lineRule="exact"/>
              <w:jc w:val="center"/>
              <w:textAlignment w:val="center"/>
              <w:rPr>
                <w:rFonts w:ascii="Times New Roman" w:hAnsi="Times New Roman" w:eastAsia="宋体" w:cs="Times New Roman"/>
                <w:b/>
                <w:kern w:val="0"/>
                <w:szCs w:val="21"/>
              </w:rPr>
            </w:pPr>
            <w:r>
              <w:rPr>
                <w:rFonts w:ascii="Times New Roman" w:hAnsi="Times New Roman" w:eastAsia="宋体" w:cs="Times New Roman"/>
                <w:b/>
                <w:kern w:val="0"/>
                <w:szCs w:val="21"/>
              </w:rPr>
              <w:t>水期</w:t>
            </w:r>
          </w:p>
        </w:tc>
        <w:tc>
          <w:tcPr>
            <w:tcW w:w="1134" w:type="dxa"/>
            <w:gridSpan w:val="2"/>
            <w:vMerge w:val="restart"/>
            <w:tcBorders>
              <w:top w:val="single" w:color="auto" w:sz="4" w:space="0"/>
              <w:left w:val="single" w:color="auto" w:sz="4" w:space="0"/>
              <w:bottom w:val="single" w:color="auto" w:sz="4" w:space="0"/>
              <w:right w:val="single" w:color="auto" w:sz="4" w:space="0"/>
            </w:tcBorders>
            <w:vAlign w:val="center"/>
          </w:tcPr>
          <w:p>
            <w:pPr>
              <w:widowControl/>
              <w:spacing w:line="440" w:lineRule="exact"/>
              <w:jc w:val="center"/>
              <w:textAlignment w:val="center"/>
              <w:rPr>
                <w:rFonts w:ascii="Times New Roman" w:hAnsi="Times New Roman" w:eastAsia="宋体" w:cs="Times New Roman"/>
                <w:b/>
                <w:kern w:val="0"/>
                <w:szCs w:val="21"/>
              </w:rPr>
            </w:pPr>
            <w:r>
              <w:rPr>
                <w:rFonts w:ascii="Times New Roman" w:hAnsi="Times New Roman" w:eastAsia="宋体" w:cs="Times New Roman"/>
                <w:b/>
                <w:kern w:val="0"/>
                <w:szCs w:val="21"/>
              </w:rPr>
              <w:t>采样时间</w:t>
            </w:r>
          </w:p>
        </w:tc>
        <w:tc>
          <w:tcPr>
            <w:tcW w:w="992" w:type="dxa"/>
            <w:vMerge w:val="restart"/>
            <w:tcBorders>
              <w:top w:val="single" w:color="auto" w:sz="4" w:space="0"/>
              <w:left w:val="single" w:color="auto" w:sz="4" w:space="0"/>
              <w:bottom w:val="single" w:color="auto" w:sz="4" w:space="0"/>
              <w:right w:val="single" w:color="auto" w:sz="4" w:space="0"/>
            </w:tcBorders>
            <w:vAlign w:val="center"/>
          </w:tcPr>
          <w:p>
            <w:pPr>
              <w:widowControl/>
              <w:spacing w:line="440" w:lineRule="exact"/>
              <w:jc w:val="center"/>
              <w:textAlignment w:val="center"/>
              <w:rPr>
                <w:rFonts w:ascii="Times New Roman" w:hAnsi="Times New Roman" w:eastAsia="宋体" w:cs="Times New Roman"/>
                <w:b/>
                <w:kern w:val="0"/>
                <w:szCs w:val="21"/>
              </w:rPr>
            </w:pPr>
            <w:r>
              <w:rPr>
                <w:rFonts w:ascii="Times New Roman" w:hAnsi="Times New Roman" w:eastAsia="宋体" w:cs="Times New Roman"/>
                <w:b/>
                <w:kern w:val="0"/>
                <w:szCs w:val="21"/>
              </w:rPr>
              <w:t>单位</w:t>
            </w:r>
          </w:p>
        </w:tc>
        <w:tc>
          <w:tcPr>
            <w:tcW w:w="4111" w:type="dxa"/>
            <w:gridSpan w:val="7"/>
            <w:tcBorders>
              <w:top w:val="single" w:color="auto" w:sz="4" w:space="0"/>
              <w:left w:val="single" w:color="auto" w:sz="4" w:space="0"/>
              <w:bottom w:val="single" w:color="auto" w:sz="4" w:space="0"/>
              <w:right w:val="single" w:color="auto" w:sz="4" w:space="0"/>
            </w:tcBorders>
            <w:vAlign w:val="center"/>
          </w:tcPr>
          <w:p>
            <w:pPr>
              <w:widowControl/>
              <w:spacing w:line="440" w:lineRule="exact"/>
              <w:jc w:val="center"/>
              <w:textAlignment w:val="center"/>
              <w:rPr>
                <w:rFonts w:ascii="Times New Roman" w:hAnsi="Times New Roman" w:eastAsia="宋体" w:cs="Times New Roman"/>
                <w:b/>
                <w:kern w:val="0"/>
                <w:szCs w:val="21"/>
              </w:rPr>
            </w:pPr>
            <w:r>
              <w:rPr>
                <w:rFonts w:ascii="Times New Roman" w:hAnsi="Times New Roman" w:eastAsia="宋体" w:cs="Times New Roman"/>
                <w:b/>
                <w:kern w:val="0"/>
                <w:szCs w:val="21"/>
              </w:rPr>
              <w:t>河流</w:t>
            </w:r>
          </w:p>
        </w:tc>
      </w:tr>
      <w:tr>
        <w:tblPrEx>
          <w:tblCellMar>
            <w:top w:w="15" w:type="dxa"/>
            <w:left w:w="15" w:type="dxa"/>
            <w:bottom w:w="15" w:type="dxa"/>
            <w:right w:w="15" w:type="dxa"/>
          </w:tblCellMar>
        </w:tblPrEx>
        <w:trPr>
          <w:trHeight w:val="286" w:hRule="atLeast"/>
        </w:trPr>
        <w:tc>
          <w:tcPr>
            <w:tcW w:w="1008" w:type="dxa"/>
            <w:gridSpan w:val="2"/>
            <w:vMerge w:val="continue"/>
            <w:tcBorders>
              <w:top w:val="single" w:color="auto" w:sz="4" w:space="0"/>
              <w:left w:val="single" w:color="auto" w:sz="4" w:space="0"/>
              <w:bottom w:val="single" w:color="auto" w:sz="4" w:space="0"/>
              <w:right w:val="single" w:color="auto" w:sz="4" w:space="0"/>
            </w:tcBorders>
            <w:vAlign w:val="center"/>
          </w:tcPr>
          <w:p>
            <w:pPr>
              <w:widowControl/>
              <w:spacing w:line="440" w:lineRule="exact"/>
              <w:jc w:val="center"/>
              <w:textAlignment w:val="center"/>
              <w:rPr>
                <w:rFonts w:ascii="Times New Roman" w:hAnsi="Times New Roman" w:eastAsia="宋体" w:cs="Times New Roman"/>
                <w:b/>
                <w:kern w:val="0"/>
                <w:szCs w:val="21"/>
              </w:rPr>
            </w:pPr>
          </w:p>
        </w:tc>
        <w:tc>
          <w:tcPr>
            <w:tcW w:w="992"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440" w:lineRule="exact"/>
              <w:jc w:val="center"/>
              <w:textAlignment w:val="center"/>
              <w:rPr>
                <w:rFonts w:ascii="Times New Roman" w:hAnsi="Times New Roman" w:eastAsia="宋体" w:cs="Times New Roman"/>
                <w:b/>
                <w:kern w:val="0"/>
                <w:szCs w:val="21"/>
              </w:rPr>
            </w:pPr>
          </w:p>
        </w:tc>
        <w:tc>
          <w:tcPr>
            <w:tcW w:w="1134" w:type="dxa"/>
            <w:gridSpan w:val="2"/>
            <w:vMerge w:val="continue"/>
            <w:tcBorders>
              <w:top w:val="single" w:color="auto" w:sz="4" w:space="0"/>
              <w:left w:val="single" w:color="auto" w:sz="4" w:space="0"/>
              <w:bottom w:val="single" w:color="auto" w:sz="4" w:space="0"/>
              <w:right w:val="single" w:color="auto" w:sz="4" w:space="0"/>
            </w:tcBorders>
            <w:vAlign w:val="center"/>
          </w:tcPr>
          <w:p>
            <w:pPr>
              <w:widowControl/>
              <w:spacing w:line="440" w:lineRule="exact"/>
              <w:jc w:val="center"/>
              <w:textAlignment w:val="center"/>
              <w:rPr>
                <w:rFonts w:ascii="Times New Roman" w:hAnsi="Times New Roman" w:eastAsia="宋体" w:cs="Times New Roman"/>
                <w:b/>
                <w:kern w:val="0"/>
                <w:szCs w:val="21"/>
              </w:rPr>
            </w:pPr>
          </w:p>
        </w:tc>
        <w:tc>
          <w:tcPr>
            <w:tcW w:w="992"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440" w:lineRule="exact"/>
              <w:jc w:val="center"/>
              <w:textAlignment w:val="center"/>
              <w:rPr>
                <w:rFonts w:ascii="Times New Roman" w:hAnsi="Times New Roman" w:eastAsia="宋体" w:cs="Times New Roman"/>
                <w:b/>
                <w:kern w:val="0"/>
                <w:szCs w:val="21"/>
              </w:rPr>
            </w:pPr>
          </w:p>
        </w:tc>
        <w:tc>
          <w:tcPr>
            <w:tcW w:w="2126" w:type="dxa"/>
            <w:gridSpan w:val="3"/>
            <w:tcBorders>
              <w:top w:val="single" w:color="auto" w:sz="4" w:space="0"/>
              <w:left w:val="single" w:color="auto" w:sz="4" w:space="0"/>
              <w:bottom w:val="single" w:color="auto" w:sz="4" w:space="0"/>
              <w:right w:val="single" w:color="auto" w:sz="4" w:space="0"/>
            </w:tcBorders>
            <w:vAlign w:val="center"/>
          </w:tcPr>
          <w:p>
            <w:pPr>
              <w:widowControl/>
              <w:spacing w:line="440" w:lineRule="exact"/>
              <w:jc w:val="center"/>
              <w:textAlignment w:val="center"/>
              <w:rPr>
                <w:rFonts w:ascii="Times New Roman" w:hAnsi="Times New Roman" w:eastAsia="宋体" w:cs="Times New Roman"/>
                <w:b/>
                <w:kern w:val="0"/>
                <w:szCs w:val="21"/>
              </w:rPr>
            </w:pPr>
            <w:r>
              <w:rPr>
                <w:rFonts w:ascii="Times New Roman" w:hAnsi="Times New Roman" w:eastAsia="宋体" w:cs="Times New Roman"/>
                <w:b/>
                <w:kern w:val="0"/>
                <w:szCs w:val="21"/>
              </w:rPr>
              <w:t>北四斗四支渠（</w:t>
            </w:r>
            <w:r>
              <w:rPr>
                <w:rFonts w:hint="eastAsia" w:ascii="Times New Roman" w:hAnsi="Times New Roman" w:eastAsia="宋体" w:cs="Times New Roman"/>
                <w:b/>
                <w:kern w:val="0"/>
                <w:szCs w:val="21"/>
              </w:rPr>
              <w:t>企业1</w:t>
            </w:r>
            <w:r>
              <w:rPr>
                <w:rFonts w:ascii="Times New Roman" w:hAnsi="Times New Roman" w:eastAsia="宋体" w:cs="Times New Roman"/>
                <w:b/>
                <w:kern w:val="0"/>
                <w:szCs w:val="21"/>
              </w:rPr>
              <w:t>）</w:t>
            </w:r>
          </w:p>
        </w:tc>
        <w:tc>
          <w:tcPr>
            <w:tcW w:w="1985" w:type="dxa"/>
            <w:gridSpan w:val="4"/>
            <w:tcBorders>
              <w:top w:val="single" w:color="auto" w:sz="4" w:space="0"/>
              <w:left w:val="single" w:color="auto" w:sz="4" w:space="0"/>
              <w:bottom w:val="single" w:color="auto" w:sz="4" w:space="0"/>
              <w:right w:val="single" w:color="auto" w:sz="4" w:space="0"/>
            </w:tcBorders>
            <w:vAlign w:val="center"/>
          </w:tcPr>
          <w:p>
            <w:pPr>
              <w:widowControl/>
              <w:spacing w:line="440" w:lineRule="exact"/>
              <w:jc w:val="center"/>
              <w:textAlignment w:val="center"/>
              <w:rPr>
                <w:rFonts w:ascii="Times New Roman" w:hAnsi="Times New Roman" w:eastAsia="宋体" w:cs="Times New Roman"/>
                <w:b/>
                <w:kern w:val="0"/>
                <w:szCs w:val="21"/>
              </w:rPr>
            </w:pPr>
            <w:r>
              <w:rPr>
                <w:rFonts w:ascii="Times New Roman" w:hAnsi="Times New Roman" w:eastAsia="宋体" w:cs="Times New Roman"/>
                <w:b/>
                <w:kern w:val="0"/>
                <w:szCs w:val="21"/>
              </w:rPr>
              <w:t>南一支三斗（</w:t>
            </w:r>
            <w:r>
              <w:rPr>
                <w:rFonts w:hint="eastAsia" w:ascii="Times New Roman" w:hAnsi="Times New Roman" w:eastAsia="宋体" w:cs="Times New Roman"/>
                <w:b/>
                <w:kern w:val="0"/>
                <w:szCs w:val="21"/>
              </w:rPr>
              <w:t>企业2</w:t>
            </w:r>
            <w:r>
              <w:rPr>
                <w:rFonts w:ascii="Times New Roman" w:hAnsi="Times New Roman" w:eastAsia="宋体" w:cs="Times New Roman"/>
                <w:b/>
                <w:kern w:val="0"/>
                <w:szCs w:val="21"/>
              </w:rPr>
              <w:t>）</w:t>
            </w:r>
          </w:p>
        </w:tc>
      </w:tr>
      <w:tr>
        <w:tblPrEx>
          <w:tblCellMar>
            <w:top w:w="15" w:type="dxa"/>
            <w:left w:w="15" w:type="dxa"/>
            <w:bottom w:w="15" w:type="dxa"/>
            <w:right w:w="15" w:type="dxa"/>
          </w:tblCellMar>
        </w:tblPrEx>
        <w:trPr>
          <w:trHeight w:val="286" w:hRule="atLeast"/>
        </w:trPr>
        <w:tc>
          <w:tcPr>
            <w:tcW w:w="1008" w:type="dxa"/>
            <w:gridSpan w:val="2"/>
            <w:vMerge w:val="continue"/>
            <w:tcBorders>
              <w:top w:val="single" w:color="auto" w:sz="4" w:space="0"/>
              <w:left w:val="single" w:color="auto" w:sz="4" w:space="0"/>
              <w:bottom w:val="single" w:color="auto" w:sz="4" w:space="0"/>
              <w:right w:val="single" w:color="auto" w:sz="4" w:space="0"/>
            </w:tcBorders>
            <w:vAlign w:val="center"/>
          </w:tcPr>
          <w:p>
            <w:pPr>
              <w:widowControl/>
              <w:spacing w:line="440" w:lineRule="exact"/>
              <w:jc w:val="center"/>
              <w:textAlignment w:val="center"/>
              <w:rPr>
                <w:rFonts w:ascii="Times New Roman" w:hAnsi="Times New Roman" w:eastAsia="宋体" w:cs="Times New Roman"/>
                <w:b/>
                <w:kern w:val="0"/>
                <w:szCs w:val="21"/>
              </w:rPr>
            </w:pPr>
          </w:p>
        </w:tc>
        <w:tc>
          <w:tcPr>
            <w:tcW w:w="992"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440" w:lineRule="exact"/>
              <w:jc w:val="center"/>
              <w:textAlignment w:val="center"/>
              <w:rPr>
                <w:rFonts w:ascii="Times New Roman" w:hAnsi="Times New Roman" w:eastAsia="宋体" w:cs="Times New Roman"/>
                <w:b/>
                <w:kern w:val="0"/>
                <w:szCs w:val="21"/>
              </w:rPr>
            </w:pPr>
          </w:p>
        </w:tc>
        <w:tc>
          <w:tcPr>
            <w:tcW w:w="1134" w:type="dxa"/>
            <w:gridSpan w:val="2"/>
            <w:vMerge w:val="continue"/>
            <w:tcBorders>
              <w:top w:val="single" w:color="auto" w:sz="4" w:space="0"/>
              <w:left w:val="single" w:color="auto" w:sz="4" w:space="0"/>
              <w:bottom w:val="single" w:color="auto" w:sz="4" w:space="0"/>
              <w:right w:val="single" w:color="auto" w:sz="4" w:space="0"/>
            </w:tcBorders>
            <w:vAlign w:val="center"/>
          </w:tcPr>
          <w:p>
            <w:pPr>
              <w:widowControl/>
              <w:spacing w:line="440" w:lineRule="exact"/>
              <w:jc w:val="center"/>
              <w:textAlignment w:val="center"/>
              <w:rPr>
                <w:rFonts w:ascii="Times New Roman" w:hAnsi="Times New Roman" w:eastAsia="宋体" w:cs="Times New Roman"/>
                <w:b/>
                <w:kern w:val="0"/>
                <w:szCs w:val="21"/>
              </w:rPr>
            </w:pPr>
          </w:p>
        </w:tc>
        <w:tc>
          <w:tcPr>
            <w:tcW w:w="992"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440" w:lineRule="exact"/>
              <w:jc w:val="center"/>
              <w:textAlignment w:val="center"/>
              <w:rPr>
                <w:rFonts w:ascii="Times New Roman" w:hAnsi="Times New Roman" w:eastAsia="宋体" w:cs="Times New Roman"/>
                <w:b/>
                <w:kern w:val="0"/>
                <w:szCs w:val="21"/>
              </w:rPr>
            </w:pPr>
          </w:p>
        </w:tc>
        <w:tc>
          <w:tcPr>
            <w:tcW w:w="1134" w:type="dxa"/>
            <w:gridSpan w:val="2"/>
            <w:tcBorders>
              <w:top w:val="single" w:color="auto" w:sz="4" w:space="0"/>
              <w:left w:val="single" w:color="auto" w:sz="4" w:space="0"/>
              <w:bottom w:val="single" w:color="auto" w:sz="4" w:space="0"/>
              <w:right w:val="single" w:color="auto" w:sz="4" w:space="0"/>
            </w:tcBorders>
            <w:vAlign w:val="center"/>
          </w:tcPr>
          <w:p>
            <w:pPr>
              <w:widowControl/>
              <w:spacing w:line="440" w:lineRule="exact"/>
              <w:jc w:val="center"/>
              <w:textAlignment w:val="center"/>
              <w:rPr>
                <w:rFonts w:ascii="Times New Roman" w:hAnsi="Times New Roman" w:eastAsia="宋体" w:cs="Times New Roman"/>
                <w:b/>
                <w:kern w:val="0"/>
                <w:szCs w:val="21"/>
              </w:rPr>
            </w:pPr>
            <w:r>
              <w:rPr>
                <w:rFonts w:ascii="Times New Roman" w:hAnsi="Times New Roman" w:eastAsia="宋体" w:cs="Times New Roman"/>
                <w:b/>
                <w:kern w:val="0"/>
                <w:szCs w:val="21"/>
              </w:rPr>
              <w:t>1#</w:t>
            </w:r>
          </w:p>
        </w:tc>
        <w:tc>
          <w:tcPr>
            <w:tcW w:w="992" w:type="dxa"/>
            <w:tcBorders>
              <w:top w:val="single" w:color="auto" w:sz="4" w:space="0"/>
              <w:left w:val="single" w:color="auto" w:sz="4" w:space="0"/>
              <w:bottom w:val="single" w:color="auto" w:sz="4" w:space="0"/>
              <w:right w:val="single" w:color="auto" w:sz="4" w:space="0"/>
            </w:tcBorders>
            <w:vAlign w:val="center"/>
          </w:tcPr>
          <w:p>
            <w:pPr>
              <w:widowControl/>
              <w:spacing w:line="440" w:lineRule="exact"/>
              <w:jc w:val="center"/>
              <w:textAlignment w:val="center"/>
              <w:rPr>
                <w:rFonts w:ascii="Times New Roman" w:hAnsi="Times New Roman" w:eastAsia="宋体" w:cs="Times New Roman"/>
                <w:b/>
                <w:kern w:val="0"/>
                <w:szCs w:val="21"/>
              </w:rPr>
            </w:pPr>
            <w:r>
              <w:rPr>
                <w:rFonts w:ascii="Times New Roman" w:hAnsi="Times New Roman" w:eastAsia="宋体" w:cs="Times New Roman"/>
                <w:b/>
                <w:kern w:val="0"/>
                <w:szCs w:val="21"/>
              </w:rPr>
              <w:t>2#</w:t>
            </w:r>
          </w:p>
        </w:tc>
        <w:tc>
          <w:tcPr>
            <w:tcW w:w="1134" w:type="dxa"/>
            <w:gridSpan w:val="2"/>
            <w:tcBorders>
              <w:top w:val="single" w:color="auto" w:sz="4" w:space="0"/>
              <w:left w:val="single" w:color="auto" w:sz="4" w:space="0"/>
              <w:bottom w:val="single" w:color="auto" w:sz="4" w:space="0"/>
              <w:right w:val="single" w:color="auto" w:sz="4" w:space="0"/>
            </w:tcBorders>
            <w:vAlign w:val="center"/>
          </w:tcPr>
          <w:p>
            <w:pPr>
              <w:widowControl/>
              <w:spacing w:line="440" w:lineRule="exact"/>
              <w:jc w:val="center"/>
              <w:textAlignment w:val="center"/>
              <w:rPr>
                <w:rFonts w:ascii="Times New Roman" w:hAnsi="Times New Roman" w:eastAsia="宋体" w:cs="Times New Roman"/>
                <w:b/>
                <w:kern w:val="0"/>
                <w:szCs w:val="21"/>
              </w:rPr>
            </w:pPr>
            <w:r>
              <w:rPr>
                <w:rFonts w:ascii="Times New Roman" w:hAnsi="Times New Roman" w:eastAsia="宋体" w:cs="Times New Roman"/>
                <w:b/>
                <w:kern w:val="0"/>
                <w:szCs w:val="21"/>
              </w:rPr>
              <w:t>3#</w:t>
            </w:r>
          </w:p>
        </w:tc>
        <w:tc>
          <w:tcPr>
            <w:tcW w:w="851" w:type="dxa"/>
            <w:gridSpan w:val="2"/>
            <w:tcBorders>
              <w:top w:val="single" w:color="auto" w:sz="4" w:space="0"/>
              <w:left w:val="single" w:color="auto" w:sz="4" w:space="0"/>
              <w:bottom w:val="single" w:color="auto" w:sz="4" w:space="0"/>
              <w:right w:val="single" w:color="auto" w:sz="4" w:space="0"/>
            </w:tcBorders>
            <w:vAlign w:val="center"/>
          </w:tcPr>
          <w:p>
            <w:pPr>
              <w:widowControl/>
              <w:spacing w:line="440" w:lineRule="exact"/>
              <w:jc w:val="center"/>
              <w:textAlignment w:val="center"/>
              <w:rPr>
                <w:rFonts w:ascii="Times New Roman" w:hAnsi="Times New Roman" w:eastAsia="宋体" w:cs="Times New Roman"/>
                <w:b/>
                <w:kern w:val="0"/>
                <w:szCs w:val="21"/>
              </w:rPr>
            </w:pPr>
            <w:r>
              <w:rPr>
                <w:rFonts w:ascii="Times New Roman" w:hAnsi="Times New Roman" w:eastAsia="宋体" w:cs="Times New Roman"/>
                <w:b/>
                <w:kern w:val="0"/>
                <w:szCs w:val="21"/>
              </w:rPr>
              <w:t>4#</w:t>
            </w:r>
          </w:p>
        </w:tc>
      </w:tr>
      <w:tr>
        <w:tblPrEx>
          <w:tblCellMar>
            <w:top w:w="15" w:type="dxa"/>
            <w:left w:w="15" w:type="dxa"/>
            <w:bottom w:w="15" w:type="dxa"/>
            <w:right w:w="15" w:type="dxa"/>
          </w:tblCellMar>
        </w:tblPrEx>
        <w:trPr>
          <w:trHeight w:val="301" w:hRule="atLeast"/>
        </w:trPr>
        <w:tc>
          <w:tcPr>
            <w:tcW w:w="1008" w:type="dxa"/>
            <w:gridSpan w:val="2"/>
            <w:tcBorders>
              <w:top w:val="single" w:color="auto" w:sz="4" w:space="0"/>
              <w:left w:val="single" w:color="auto" w:sz="4" w:space="0"/>
              <w:bottom w:val="single" w:color="auto" w:sz="4" w:space="0"/>
              <w:right w:val="single" w:color="auto" w:sz="4" w:space="0"/>
            </w:tcBorders>
            <w:vAlign w:val="center"/>
          </w:tcPr>
          <w:p>
            <w:pPr>
              <w:widowControl/>
              <w:spacing w:line="440" w:lineRule="exact"/>
              <w:jc w:val="center"/>
              <w:textAlignment w:val="center"/>
              <w:rPr>
                <w:rFonts w:ascii="Times New Roman" w:hAnsi="Times New Roman" w:eastAsia="宋体" w:cs="Times New Roman"/>
                <w:kern w:val="0"/>
                <w:szCs w:val="21"/>
              </w:rPr>
            </w:pPr>
            <w:r>
              <w:rPr>
                <w:rFonts w:ascii="Times New Roman" w:hAnsi="Times New Roman" w:eastAsia="宋体" w:cs="Times New Roman"/>
                <w:kern w:val="0"/>
                <w:szCs w:val="21"/>
              </w:rPr>
              <w:t>1</w:t>
            </w:r>
          </w:p>
        </w:tc>
        <w:tc>
          <w:tcPr>
            <w:tcW w:w="992" w:type="dxa"/>
            <w:tcBorders>
              <w:top w:val="single" w:color="auto" w:sz="4" w:space="0"/>
              <w:left w:val="single" w:color="auto" w:sz="4" w:space="0"/>
              <w:bottom w:val="single" w:color="auto" w:sz="4" w:space="0"/>
              <w:right w:val="single" w:color="auto" w:sz="4" w:space="0"/>
            </w:tcBorders>
            <w:vAlign w:val="center"/>
          </w:tcPr>
          <w:p>
            <w:pPr>
              <w:widowControl/>
              <w:spacing w:line="440" w:lineRule="exact"/>
              <w:jc w:val="center"/>
              <w:textAlignment w:val="center"/>
              <w:rPr>
                <w:rFonts w:ascii="Times New Roman" w:hAnsi="Times New Roman" w:eastAsia="宋体" w:cs="Times New Roman"/>
                <w:kern w:val="0"/>
                <w:szCs w:val="21"/>
              </w:rPr>
            </w:pPr>
            <w:r>
              <w:rPr>
                <w:rFonts w:ascii="Times New Roman" w:hAnsi="Times New Roman" w:eastAsia="宋体" w:cs="Times New Roman"/>
                <w:kern w:val="0"/>
                <w:szCs w:val="21"/>
              </w:rPr>
              <w:t>平水期</w:t>
            </w:r>
          </w:p>
        </w:tc>
        <w:tc>
          <w:tcPr>
            <w:tcW w:w="1134" w:type="dxa"/>
            <w:gridSpan w:val="2"/>
            <w:tcBorders>
              <w:top w:val="single" w:color="auto" w:sz="4" w:space="0"/>
              <w:left w:val="single" w:color="auto" w:sz="4" w:space="0"/>
              <w:bottom w:val="single" w:color="auto" w:sz="4" w:space="0"/>
              <w:right w:val="single" w:color="auto" w:sz="4" w:space="0"/>
            </w:tcBorders>
            <w:vAlign w:val="center"/>
          </w:tcPr>
          <w:p>
            <w:pPr>
              <w:widowControl/>
              <w:spacing w:line="440" w:lineRule="exact"/>
              <w:jc w:val="center"/>
              <w:textAlignment w:val="center"/>
              <w:rPr>
                <w:rFonts w:ascii="Times New Roman" w:hAnsi="Times New Roman" w:eastAsia="宋体" w:cs="Times New Roman"/>
                <w:kern w:val="0"/>
                <w:szCs w:val="21"/>
              </w:rPr>
            </w:pPr>
            <w:r>
              <w:rPr>
                <w:rFonts w:ascii="Times New Roman" w:hAnsi="Times New Roman" w:eastAsia="宋体" w:cs="Times New Roman"/>
                <w:kern w:val="0"/>
                <w:szCs w:val="21"/>
              </w:rPr>
              <w:t>2018.5.28</w:t>
            </w:r>
          </w:p>
        </w:tc>
        <w:tc>
          <w:tcPr>
            <w:tcW w:w="992" w:type="dxa"/>
            <w:tcBorders>
              <w:top w:val="single" w:color="auto" w:sz="4" w:space="0"/>
              <w:left w:val="single" w:color="auto" w:sz="4" w:space="0"/>
              <w:bottom w:val="single" w:color="auto" w:sz="4" w:space="0"/>
              <w:right w:val="single" w:color="auto" w:sz="4" w:space="0"/>
            </w:tcBorders>
            <w:vAlign w:val="center"/>
          </w:tcPr>
          <w:p>
            <w:pPr>
              <w:widowControl/>
              <w:spacing w:line="440" w:lineRule="exact"/>
              <w:jc w:val="center"/>
              <w:textAlignment w:val="center"/>
              <w:rPr>
                <w:rFonts w:ascii="Times New Roman" w:hAnsi="Times New Roman" w:eastAsia="宋体" w:cs="Times New Roman"/>
                <w:kern w:val="0"/>
                <w:szCs w:val="21"/>
              </w:rPr>
            </w:pPr>
            <w:r>
              <w:rPr>
                <w:rFonts w:ascii="Times New Roman" w:hAnsi="Times New Roman" w:eastAsia="宋体" w:cs="Times New Roman"/>
                <w:kern w:val="0"/>
                <w:szCs w:val="21"/>
              </w:rPr>
              <w:t>mg/L</w:t>
            </w:r>
          </w:p>
        </w:tc>
        <w:tc>
          <w:tcPr>
            <w:tcW w:w="1134" w:type="dxa"/>
            <w:gridSpan w:val="2"/>
            <w:tcBorders>
              <w:top w:val="single" w:color="auto" w:sz="4" w:space="0"/>
              <w:left w:val="single" w:color="auto" w:sz="4" w:space="0"/>
              <w:bottom w:val="single" w:color="auto" w:sz="4" w:space="0"/>
              <w:right w:val="single" w:color="auto" w:sz="4" w:space="0"/>
            </w:tcBorders>
            <w:vAlign w:val="center"/>
          </w:tcPr>
          <w:p>
            <w:pPr>
              <w:widowControl/>
              <w:spacing w:line="440" w:lineRule="exact"/>
              <w:jc w:val="center"/>
              <w:textAlignment w:val="center"/>
              <w:rPr>
                <w:rFonts w:ascii="Times New Roman" w:hAnsi="Times New Roman" w:eastAsia="宋体" w:cs="Times New Roman"/>
                <w:kern w:val="0"/>
                <w:szCs w:val="21"/>
              </w:rPr>
            </w:pPr>
            <w:r>
              <w:rPr>
                <w:rFonts w:ascii="Times New Roman" w:hAnsi="Times New Roman" w:eastAsia="宋体" w:cs="Times New Roman"/>
                <w:kern w:val="0"/>
                <w:szCs w:val="21"/>
              </w:rPr>
              <w:t>81.2</w:t>
            </w:r>
          </w:p>
        </w:tc>
        <w:tc>
          <w:tcPr>
            <w:tcW w:w="992" w:type="dxa"/>
            <w:tcBorders>
              <w:top w:val="single" w:color="auto" w:sz="4" w:space="0"/>
              <w:left w:val="single" w:color="auto" w:sz="4" w:space="0"/>
              <w:bottom w:val="single" w:color="auto" w:sz="4" w:space="0"/>
              <w:right w:val="single" w:color="auto" w:sz="4" w:space="0"/>
            </w:tcBorders>
            <w:vAlign w:val="center"/>
          </w:tcPr>
          <w:p>
            <w:pPr>
              <w:widowControl/>
              <w:spacing w:line="440" w:lineRule="exact"/>
              <w:jc w:val="center"/>
              <w:textAlignment w:val="center"/>
              <w:rPr>
                <w:rFonts w:ascii="Times New Roman" w:hAnsi="Times New Roman" w:eastAsia="宋体" w:cs="Times New Roman"/>
                <w:kern w:val="0"/>
                <w:szCs w:val="21"/>
              </w:rPr>
            </w:pPr>
            <w:r>
              <w:rPr>
                <w:rFonts w:ascii="Times New Roman" w:hAnsi="Times New Roman" w:eastAsia="宋体" w:cs="Times New Roman"/>
                <w:kern w:val="0"/>
                <w:szCs w:val="21"/>
              </w:rPr>
              <w:t>170</w:t>
            </w:r>
          </w:p>
        </w:tc>
        <w:tc>
          <w:tcPr>
            <w:tcW w:w="1134" w:type="dxa"/>
            <w:gridSpan w:val="2"/>
            <w:tcBorders>
              <w:top w:val="single" w:color="auto" w:sz="4" w:space="0"/>
              <w:left w:val="single" w:color="auto" w:sz="4" w:space="0"/>
              <w:bottom w:val="single" w:color="auto" w:sz="4" w:space="0"/>
              <w:right w:val="single" w:color="auto" w:sz="4" w:space="0"/>
            </w:tcBorders>
            <w:vAlign w:val="center"/>
          </w:tcPr>
          <w:p>
            <w:pPr>
              <w:widowControl/>
              <w:spacing w:line="440" w:lineRule="exact"/>
              <w:jc w:val="center"/>
              <w:textAlignment w:val="center"/>
              <w:rPr>
                <w:rFonts w:ascii="Times New Roman" w:hAnsi="Times New Roman" w:eastAsia="宋体" w:cs="Times New Roman"/>
                <w:kern w:val="0"/>
                <w:szCs w:val="21"/>
              </w:rPr>
            </w:pPr>
            <w:r>
              <w:rPr>
                <w:rFonts w:ascii="Times New Roman" w:hAnsi="Times New Roman" w:eastAsia="宋体" w:cs="Times New Roman"/>
                <w:kern w:val="0"/>
                <w:szCs w:val="21"/>
              </w:rPr>
              <w:t>124</w:t>
            </w:r>
          </w:p>
        </w:tc>
        <w:tc>
          <w:tcPr>
            <w:tcW w:w="851" w:type="dxa"/>
            <w:gridSpan w:val="2"/>
            <w:tcBorders>
              <w:top w:val="single" w:color="auto" w:sz="4" w:space="0"/>
              <w:left w:val="single" w:color="auto" w:sz="4" w:space="0"/>
              <w:bottom w:val="single" w:color="auto" w:sz="4" w:space="0"/>
              <w:right w:val="single" w:color="auto" w:sz="4" w:space="0"/>
            </w:tcBorders>
            <w:vAlign w:val="center"/>
          </w:tcPr>
          <w:p>
            <w:pPr>
              <w:widowControl/>
              <w:spacing w:line="440" w:lineRule="exact"/>
              <w:jc w:val="center"/>
              <w:textAlignment w:val="center"/>
              <w:rPr>
                <w:rFonts w:ascii="Times New Roman" w:hAnsi="Times New Roman" w:eastAsia="宋体" w:cs="Times New Roman"/>
                <w:kern w:val="0"/>
                <w:szCs w:val="21"/>
              </w:rPr>
            </w:pPr>
            <w:r>
              <w:rPr>
                <w:rFonts w:ascii="Times New Roman" w:hAnsi="Times New Roman" w:eastAsia="宋体" w:cs="Times New Roman"/>
                <w:kern w:val="0"/>
                <w:szCs w:val="21"/>
              </w:rPr>
              <w:t>29.9</w:t>
            </w:r>
          </w:p>
        </w:tc>
      </w:tr>
      <w:tr>
        <w:tblPrEx>
          <w:tblCellMar>
            <w:top w:w="15" w:type="dxa"/>
            <w:left w:w="15" w:type="dxa"/>
            <w:bottom w:w="15" w:type="dxa"/>
            <w:right w:w="15" w:type="dxa"/>
          </w:tblCellMar>
        </w:tblPrEx>
        <w:trPr>
          <w:trHeight w:val="301" w:hRule="atLeast"/>
        </w:trPr>
        <w:tc>
          <w:tcPr>
            <w:tcW w:w="1008" w:type="dxa"/>
            <w:gridSpan w:val="2"/>
            <w:tcBorders>
              <w:top w:val="single" w:color="auto" w:sz="4" w:space="0"/>
              <w:left w:val="single" w:color="auto" w:sz="4" w:space="0"/>
              <w:bottom w:val="single" w:color="auto" w:sz="4" w:space="0"/>
              <w:right w:val="single" w:color="auto" w:sz="4" w:space="0"/>
            </w:tcBorders>
            <w:vAlign w:val="center"/>
          </w:tcPr>
          <w:p>
            <w:pPr>
              <w:widowControl/>
              <w:spacing w:line="440" w:lineRule="exact"/>
              <w:jc w:val="center"/>
              <w:textAlignment w:val="center"/>
              <w:rPr>
                <w:rFonts w:ascii="Times New Roman" w:hAnsi="Times New Roman" w:eastAsia="宋体" w:cs="Times New Roman"/>
                <w:kern w:val="0"/>
                <w:szCs w:val="21"/>
              </w:rPr>
            </w:pPr>
            <w:r>
              <w:rPr>
                <w:rFonts w:ascii="Times New Roman" w:hAnsi="Times New Roman" w:eastAsia="宋体" w:cs="Times New Roman"/>
                <w:kern w:val="0"/>
                <w:szCs w:val="21"/>
              </w:rPr>
              <w:t>2</w:t>
            </w:r>
          </w:p>
        </w:tc>
        <w:tc>
          <w:tcPr>
            <w:tcW w:w="992" w:type="dxa"/>
            <w:tcBorders>
              <w:top w:val="single" w:color="auto" w:sz="4" w:space="0"/>
              <w:left w:val="single" w:color="auto" w:sz="4" w:space="0"/>
              <w:bottom w:val="single" w:color="auto" w:sz="4" w:space="0"/>
              <w:right w:val="single" w:color="auto" w:sz="4" w:space="0"/>
            </w:tcBorders>
            <w:vAlign w:val="center"/>
          </w:tcPr>
          <w:p>
            <w:pPr>
              <w:widowControl/>
              <w:spacing w:line="440" w:lineRule="exact"/>
              <w:jc w:val="center"/>
              <w:textAlignment w:val="center"/>
              <w:rPr>
                <w:rFonts w:ascii="Times New Roman" w:hAnsi="Times New Roman" w:eastAsia="宋体" w:cs="Times New Roman"/>
                <w:kern w:val="0"/>
                <w:szCs w:val="21"/>
              </w:rPr>
            </w:pPr>
            <w:r>
              <w:rPr>
                <w:rFonts w:ascii="Times New Roman" w:hAnsi="Times New Roman" w:eastAsia="宋体" w:cs="Times New Roman"/>
                <w:kern w:val="0"/>
                <w:szCs w:val="21"/>
              </w:rPr>
              <w:t>丰水期</w:t>
            </w:r>
          </w:p>
        </w:tc>
        <w:tc>
          <w:tcPr>
            <w:tcW w:w="1134" w:type="dxa"/>
            <w:gridSpan w:val="2"/>
            <w:tcBorders>
              <w:top w:val="single" w:color="auto" w:sz="4" w:space="0"/>
              <w:left w:val="single" w:color="auto" w:sz="4" w:space="0"/>
              <w:bottom w:val="single" w:color="auto" w:sz="4" w:space="0"/>
              <w:right w:val="single" w:color="auto" w:sz="4" w:space="0"/>
            </w:tcBorders>
            <w:vAlign w:val="center"/>
          </w:tcPr>
          <w:p>
            <w:pPr>
              <w:widowControl/>
              <w:spacing w:line="440" w:lineRule="exact"/>
              <w:jc w:val="center"/>
              <w:textAlignment w:val="center"/>
              <w:rPr>
                <w:rFonts w:ascii="Times New Roman" w:hAnsi="Times New Roman" w:eastAsia="宋体" w:cs="Times New Roman"/>
                <w:kern w:val="0"/>
                <w:szCs w:val="21"/>
              </w:rPr>
            </w:pPr>
            <w:r>
              <w:rPr>
                <w:rFonts w:ascii="Times New Roman" w:hAnsi="Times New Roman" w:eastAsia="宋体" w:cs="Times New Roman"/>
                <w:kern w:val="0"/>
                <w:szCs w:val="21"/>
              </w:rPr>
              <w:t>2018.6.27</w:t>
            </w:r>
          </w:p>
        </w:tc>
        <w:tc>
          <w:tcPr>
            <w:tcW w:w="992" w:type="dxa"/>
            <w:tcBorders>
              <w:top w:val="single" w:color="auto" w:sz="4" w:space="0"/>
              <w:left w:val="single" w:color="auto" w:sz="4" w:space="0"/>
              <w:bottom w:val="single" w:color="auto" w:sz="4" w:space="0"/>
              <w:right w:val="single" w:color="auto" w:sz="4" w:space="0"/>
            </w:tcBorders>
            <w:vAlign w:val="center"/>
          </w:tcPr>
          <w:p>
            <w:pPr>
              <w:widowControl/>
              <w:spacing w:line="440" w:lineRule="exact"/>
              <w:jc w:val="center"/>
              <w:textAlignment w:val="center"/>
              <w:rPr>
                <w:rFonts w:ascii="Times New Roman" w:hAnsi="Times New Roman" w:eastAsia="宋体" w:cs="Times New Roman"/>
                <w:kern w:val="0"/>
                <w:szCs w:val="21"/>
              </w:rPr>
            </w:pPr>
            <w:r>
              <w:rPr>
                <w:rFonts w:ascii="Times New Roman" w:hAnsi="Times New Roman" w:eastAsia="宋体" w:cs="Times New Roman"/>
                <w:kern w:val="0"/>
                <w:szCs w:val="21"/>
              </w:rPr>
              <w:t>mg/L</w:t>
            </w:r>
          </w:p>
        </w:tc>
        <w:tc>
          <w:tcPr>
            <w:tcW w:w="1134" w:type="dxa"/>
            <w:gridSpan w:val="2"/>
            <w:tcBorders>
              <w:top w:val="single" w:color="auto" w:sz="4" w:space="0"/>
              <w:left w:val="single" w:color="auto" w:sz="4" w:space="0"/>
              <w:bottom w:val="single" w:color="auto" w:sz="4" w:space="0"/>
              <w:right w:val="single" w:color="auto" w:sz="4" w:space="0"/>
            </w:tcBorders>
            <w:vAlign w:val="center"/>
          </w:tcPr>
          <w:p>
            <w:pPr>
              <w:widowControl/>
              <w:spacing w:line="440" w:lineRule="exact"/>
              <w:jc w:val="center"/>
              <w:textAlignment w:val="center"/>
              <w:rPr>
                <w:rFonts w:ascii="Times New Roman" w:hAnsi="Times New Roman" w:eastAsia="宋体" w:cs="Times New Roman"/>
                <w:kern w:val="0"/>
                <w:szCs w:val="21"/>
              </w:rPr>
            </w:pPr>
            <w:r>
              <w:rPr>
                <w:rFonts w:ascii="Times New Roman" w:hAnsi="Times New Roman" w:eastAsia="宋体" w:cs="Times New Roman"/>
                <w:kern w:val="0"/>
                <w:szCs w:val="21"/>
              </w:rPr>
              <w:t>59</w:t>
            </w:r>
          </w:p>
        </w:tc>
        <w:tc>
          <w:tcPr>
            <w:tcW w:w="992" w:type="dxa"/>
            <w:tcBorders>
              <w:top w:val="single" w:color="auto" w:sz="4" w:space="0"/>
              <w:left w:val="single" w:color="auto" w:sz="4" w:space="0"/>
              <w:bottom w:val="single" w:color="auto" w:sz="4" w:space="0"/>
              <w:right w:val="single" w:color="auto" w:sz="4" w:space="0"/>
            </w:tcBorders>
            <w:vAlign w:val="center"/>
          </w:tcPr>
          <w:p>
            <w:pPr>
              <w:widowControl/>
              <w:spacing w:line="440" w:lineRule="exact"/>
              <w:jc w:val="center"/>
              <w:textAlignment w:val="center"/>
              <w:rPr>
                <w:rFonts w:ascii="Times New Roman" w:hAnsi="Times New Roman" w:eastAsia="宋体" w:cs="Times New Roman"/>
                <w:kern w:val="0"/>
                <w:szCs w:val="21"/>
              </w:rPr>
            </w:pPr>
            <w:r>
              <w:rPr>
                <w:rFonts w:ascii="Times New Roman" w:hAnsi="Times New Roman" w:eastAsia="宋体" w:cs="Times New Roman"/>
                <w:kern w:val="0"/>
                <w:szCs w:val="21"/>
              </w:rPr>
              <w:t>134</w:t>
            </w:r>
          </w:p>
        </w:tc>
        <w:tc>
          <w:tcPr>
            <w:tcW w:w="1134" w:type="dxa"/>
            <w:gridSpan w:val="2"/>
            <w:tcBorders>
              <w:top w:val="single" w:color="auto" w:sz="4" w:space="0"/>
              <w:left w:val="single" w:color="auto" w:sz="4" w:space="0"/>
              <w:bottom w:val="single" w:color="auto" w:sz="4" w:space="0"/>
              <w:right w:val="single" w:color="auto" w:sz="4" w:space="0"/>
            </w:tcBorders>
            <w:vAlign w:val="center"/>
          </w:tcPr>
          <w:p>
            <w:pPr>
              <w:widowControl/>
              <w:spacing w:line="440" w:lineRule="exact"/>
              <w:jc w:val="center"/>
              <w:textAlignment w:val="center"/>
              <w:rPr>
                <w:rFonts w:ascii="Times New Roman" w:hAnsi="Times New Roman" w:eastAsia="宋体" w:cs="Times New Roman"/>
                <w:kern w:val="0"/>
                <w:szCs w:val="21"/>
              </w:rPr>
            </w:pPr>
            <w:r>
              <w:rPr>
                <w:rFonts w:ascii="Times New Roman" w:hAnsi="Times New Roman" w:eastAsia="宋体" w:cs="Times New Roman"/>
                <w:kern w:val="0"/>
                <w:szCs w:val="21"/>
              </w:rPr>
              <w:t>28.5</w:t>
            </w:r>
          </w:p>
        </w:tc>
        <w:tc>
          <w:tcPr>
            <w:tcW w:w="851" w:type="dxa"/>
            <w:gridSpan w:val="2"/>
            <w:tcBorders>
              <w:top w:val="single" w:color="auto" w:sz="4" w:space="0"/>
              <w:left w:val="single" w:color="auto" w:sz="4" w:space="0"/>
              <w:bottom w:val="single" w:color="auto" w:sz="4" w:space="0"/>
              <w:right w:val="single" w:color="auto" w:sz="4" w:space="0"/>
            </w:tcBorders>
            <w:vAlign w:val="center"/>
          </w:tcPr>
          <w:p>
            <w:pPr>
              <w:widowControl/>
              <w:spacing w:line="440" w:lineRule="exact"/>
              <w:jc w:val="center"/>
              <w:textAlignment w:val="center"/>
              <w:rPr>
                <w:rFonts w:ascii="Times New Roman" w:hAnsi="Times New Roman" w:eastAsia="宋体" w:cs="Times New Roman"/>
                <w:kern w:val="0"/>
                <w:szCs w:val="21"/>
              </w:rPr>
            </w:pPr>
            <w:r>
              <w:rPr>
                <w:rFonts w:ascii="Times New Roman" w:hAnsi="Times New Roman" w:eastAsia="宋体" w:cs="Times New Roman"/>
                <w:kern w:val="0"/>
                <w:szCs w:val="21"/>
              </w:rPr>
              <w:t>90.2</w:t>
            </w:r>
          </w:p>
        </w:tc>
      </w:tr>
      <w:tr>
        <w:tblPrEx>
          <w:tblCellMar>
            <w:top w:w="15" w:type="dxa"/>
            <w:left w:w="15" w:type="dxa"/>
            <w:bottom w:w="15" w:type="dxa"/>
            <w:right w:w="15" w:type="dxa"/>
          </w:tblCellMar>
        </w:tblPrEx>
        <w:trPr>
          <w:trHeight w:val="316" w:hRule="atLeast"/>
        </w:trPr>
        <w:tc>
          <w:tcPr>
            <w:tcW w:w="1008" w:type="dxa"/>
            <w:gridSpan w:val="2"/>
            <w:tcBorders>
              <w:top w:val="single" w:color="auto" w:sz="4" w:space="0"/>
              <w:left w:val="single" w:color="auto" w:sz="4" w:space="0"/>
              <w:bottom w:val="single" w:color="auto" w:sz="4" w:space="0"/>
              <w:right w:val="single" w:color="auto" w:sz="4" w:space="0"/>
            </w:tcBorders>
            <w:vAlign w:val="center"/>
          </w:tcPr>
          <w:p>
            <w:pPr>
              <w:widowControl/>
              <w:spacing w:line="440" w:lineRule="exact"/>
              <w:jc w:val="center"/>
              <w:textAlignment w:val="center"/>
              <w:rPr>
                <w:rFonts w:ascii="Times New Roman" w:hAnsi="Times New Roman" w:eastAsia="宋体" w:cs="Times New Roman"/>
                <w:kern w:val="0"/>
                <w:szCs w:val="21"/>
              </w:rPr>
            </w:pPr>
            <w:r>
              <w:rPr>
                <w:rFonts w:ascii="Times New Roman" w:hAnsi="Times New Roman" w:eastAsia="宋体" w:cs="Times New Roman"/>
                <w:kern w:val="0"/>
                <w:szCs w:val="21"/>
              </w:rPr>
              <w:t>3</w:t>
            </w:r>
          </w:p>
        </w:tc>
        <w:tc>
          <w:tcPr>
            <w:tcW w:w="992" w:type="dxa"/>
            <w:tcBorders>
              <w:top w:val="single" w:color="auto" w:sz="4" w:space="0"/>
              <w:left w:val="single" w:color="auto" w:sz="4" w:space="0"/>
              <w:bottom w:val="single" w:color="auto" w:sz="4" w:space="0"/>
              <w:right w:val="single" w:color="auto" w:sz="4" w:space="0"/>
            </w:tcBorders>
            <w:vAlign w:val="center"/>
          </w:tcPr>
          <w:p>
            <w:pPr>
              <w:widowControl/>
              <w:spacing w:line="440" w:lineRule="exact"/>
              <w:jc w:val="center"/>
              <w:textAlignment w:val="center"/>
              <w:rPr>
                <w:rFonts w:ascii="Times New Roman" w:hAnsi="Times New Roman" w:eastAsia="宋体" w:cs="Times New Roman"/>
                <w:kern w:val="0"/>
                <w:szCs w:val="21"/>
              </w:rPr>
            </w:pPr>
            <w:r>
              <w:rPr>
                <w:rFonts w:ascii="Times New Roman" w:hAnsi="Times New Roman" w:eastAsia="宋体" w:cs="Times New Roman"/>
                <w:kern w:val="0"/>
                <w:szCs w:val="21"/>
              </w:rPr>
              <w:t>枯水期</w:t>
            </w:r>
          </w:p>
        </w:tc>
        <w:tc>
          <w:tcPr>
            <w:tcW w:w="1134" w:type="dxa"/>
            <w:gridSpan w:val="2"/>
            <w:tcBorders>
              <w:top w:val="single" w:color="auto" w:sz="4" w:space="0"/>
              <w:left w:val="single" w:color="auto" w:sz="4" w:space="0"/>
              <w:bottom w:val="single" w:color="auto" w:sz="4" w:space="0"/>
              <w:right w:val="single" w:color="auto" w:sz="4" w:space="0"/>
            </w:tcBorders>
            <w:vAlign w:val="center"/>
          </w:tcPr>
          <w:p>
            <w:pPr>
              <w:widowControl/>
              <w:spacing w:line="440" w:lineRule="exact"/>
              <w:jc w:val="center"/>
              <w:textAlignment w:val="center"/>
              <w:rPr>
                <w:rFonts w:ascii="Times New Roman" w:hAnsi="Times New Roman" w:eastAsia="宋体" w:cs="Times New Roman"/>
                <w:kern w:val="0"/>
                <w:szCs w:val="21"/>
              </w:rPr>
            </w:pPr>
            <w:r>
              <w:rPr>
                <w:rFonts w:ascii="Times New Roman" w:hAnsi="Times New Roman" w:eastAsia="宋体" w:cs="Times New Roman"/>
                <w:kern w:val="0"/>
                <w:szCs w:val="21"/>
              </w:rPr>
              <w:t>2018.12.6</w:t>
            </w:r>
          </w:p>
        </w:tc>
        <w:tc>
          <w:tcPr>
            <w:tcW w:w="992" w:type="dxa"/>
            <w:tcBorders>
              <w:top w:val="single" w:color="auto" w:sz="4" w:space="0"/>
              <w:left w:val="single" w:color="auto" w:sz="4" w:space="0"/>
              <w:bottom w:val="single" w:color="auto" w:sz="4" w:space="0"/>
              <w:right w:val="single" w:color="auto" w:sz="4" w:space="0"/>
            </w:tcBorders>
            <w:vAlign w:val="center"/>
          </w:tcPr>
          <w:p>
            <w:pPr>
              <w:widowControl/>
              <w:spacing w:line="440" w:lineRule="exact"/>
              <w:jc w:val="center"/>
              <w:textAlignment w:val="center"/>
              <w:rPr>
                <w:rFonts w:ascii="Times New Roman" w:hAnsi="Times New Roman" w:eastAsia="宋体" w:cs="Times New Roman"/>
                <w:kern w:val="0"/>
                <w:szCs w:val="21"/>
              </w:rPr>
            </w:pPr>
            <w:r>
              <w:rPr>
                <w:rFonts w:ascii="Times New Roman" w:hAnsi="Times New Roman" w:eastAsia="宋体" w:cs="Times New Roman"/>
                <w:kern w:val="0"/>
                <w:szCs w:val="21"/>
              </w:rPr>
              <w:t>mg/L</w:t>
            </w:r>
          </w:p>
        </w:tc>
        <w:tc>
          <w:tcPr>
            <w:tcW w:w="1134" w:type="dxa"/>
            <w:gridSpan w:val="2"/>
            <w:tcBorders>
              <w:top w:val="single" w:color="auto" w:sz="4" w:space="0"/>
              <w:left w:val="single" w:color="auto" w:sz="4" w:space="0"/>
              <w:bottom w:val="single" w:color="auto" w:sz="4" w:space="0"/>
              <w:right w:val="single" w:color="auto" w:sz="4" w:space="0"/>
            </w:tcBorders>
            <w:vAlign w:val="center"/>
          </w:tcPr>
          <w:p>
            <w:pPr>
              <w:widowControl/>
              <w:spacing w:line="440" w:lineRule="exact"/>
              <w:jc w:val="center"/>
              <w:textAlignment w:val="center"/>
              <w:rPr>
                <w:rFonts w:ascii="Times New Roman" w:hAnsi="Times New Roman" w:eastAsia="宋体" w:cs="Times New Roman"/>
                <w:kern w:val="0"/>
                <w:szCs w:val="21"/>
              </w:rPr>
            </w:pPr>
            <w:r>
              <w:rPr>
                <w:rFonts w:ascii="Times New Roman" w:hAnsi="Times New Roman" w:eastAsia="宋体" w:cs="Times New Roman"/>
                <w:kern w:val="0"/>
                <w:szCs w:val="21"/>
              </w:rPr>
              <w:t>65.5</w:t>
            </w:r>
          </w:p>
        </w:tc>
        <w:tc>
          <w:tcPr>
            <w:tcW w:w="992" w:type="dxa"/>
            <w:tcBorders>
              <w:top w:val="single" w:color="auto" w:sz="4" w:space="0"/>
              <w:left w:val="single" w:color="auto" w:sz="4" w:space="0"/>
              <w:bottom w:val="single" w:color="auto" w:sz="4" w:space="0"/>
              <w:right w:val="single" w:color="auto" w:sz="4" w:space="0"/>
            </w:tcBorders>
            <w:vAlign w:val="center"/>
          </w:tcPr>
          <w:p>
            <w:pPr>
              <w:widowControl/>
              <w:spacing w:line="440" w:lineRule="exact"/>
              <w:jc w:val="center"/>
              <w:textAlignment w:val="center"/>
              <w:rPr>
                <w:rFonts w:ascii="Times New Roman" w:hAnsi="Times New Roman" w:eastAsia="宋体" w:cs="Times New Roman"/>
                <w:kern w:val="0"/>
                <w:szCs w:val="21"/>
              </w:rPr>
            </w:pPr>
            <w:r>
              <w:rPr>
                <w:rFonts w:ascii="Times New Roman" w:hAnsi="Times New Roman" w:eastAsia="宋体" w:cs="Times New Roman"/>
                <w:kern w:val="0"/>
                <w:szCs w:val="21"/>
              </w:rPr>
              <w:t>169</w:t>
            </w:r>
          </w:p>
        </w:tc>
        <w:tc>
          <w:tcPr>
            <w:tcW w:w="1134" w:type="dxa"/>
            <w:gridSpan w:val="2"/>
            <w:tcBorders>
              <w:top w:val="single" w:color="auto" w:sz="4" w:space="0"/>
              <w:left w:val="single" w:color="auto" w:sz="4" w:space="0"/>
              <w:bottom w:val="single" w:color="auto" w:sz="4" w:space="0"/>
              <w:right w:val="single" w:color="auto" w:sz="4" w:space="0"/>
            </w:tcBorders>
            <w:vAlign w:val="center"/>
          </w:tcPr>
          <w:p>
            <w:pPr>
              <w:widowControl/>
              <w:spacing w:line="440" w:lineRule="exact"/>
              <w:jc w:val="center"/>
              <w:textAlignment w:val="center"/>
              <w:rPr>
                <w:rFonts w:ascii="Times New Roman" w:hAnsi="Times New Roman" w:eastAsia="宋体" w:cs="Times New Roman"/>
                <w:kern w:val="0"/>
                <w:szCs w:val="21"/>
              </w:rPr>
            </w:pPr>
            <w:r>
              <w:rPr>
                <w:rFonts w:ascii="Times New Roman" w:hAnsi="Times New Roman" w:eastAsia="宋体" w:cs="Times New Roman"/>
                <w:kern w:val="0"/>
                <w:szCs w:val="21"/>
              </w:rPr>
              <w:t>52.5</w:t>
            </w:r>
          </w:p>
        </w:tc>
        <w:tc>
          <w:tcPr>
            <w:tcW w:w="851" w:type="dxa"/>
            <w:gridSpan w:val="2"/>
            <w:tcBorders>
              <w:top w:val="single" w:color="auto" w:sz="4" w:space="0"/>
              <w:left w:val="single" w:color="auto" w:sz="4" w:space="0"/>
              <w:bottom w:val="single" w:color="auto" w:sz="4" w:space="0"/>
              <w:right w:val="single" w:color="auto" w:sz="4" w:space="0"/>
            </w:tcBorders>
            <w:vAlign w:val="center"/>
          </w:tcPr>
          <w:p>
            <w:pPr>
              <w:widowControl/>
              <w:spacing w:line="440" w:lineRule="exact"/>
              <w:jc w:val="center"/>
              <w:textAlignment w:val="center"/>
              <w:rPr>
                <w:rFonts w:ascii="Times New Roman" w:hAnsi="Times New Roman" w:eastAsia="宋体" w:cs="Times New Roman"/>
                <w:kern w:val="0"/>
                <w:szCs w:val="21"/>
              </w:rPr>
            </w:pPr>
            <w:r>
              <w:rPr>
                <w:rFonts w:ascii="Times New Roman" w:hAnsi="Times New Roman" w:eastAsia="宋体" w:cs="Times New Roman"/>
                <w:kern w:val="0"/>
                <w:szCs w:val="21"/>
              </w:rPr>
              <w:t>36.8</w:t>
            </w:r>
          </w:p>
        </w:tc>
      </w:tr>
    </w:tbl>
    <w:p>
      <w:pPr>
        <w:keepNext/>
        <w:keepLines/>
        <w:spacing w:before="156" w:beforeLines="50" w:after="156" w:afterLines="50" w:line="360" w:lineRule="auto"/>
        <w:jc w:val="left"/>
        <w:outlineLvl w:val="2"/>
        <w:rPr>
          <w:rFonts w:ascii="Times New Roman" w:hAnsi="Times New Roman" w:eastAsia="宋体" w:cs="Times New Roman"/>
          <w:b/>
          <w:bCs/>
          <w:sz w:val="24"/>
          <w:szCs w:val="32"/>
        </w:rPr>
      </w:pPr>
      <w:bookmarkStart w:id="38" w:name="_Toc76386116"/>
      <w:r>
        <w:rPr>
          <w:rFonts w:hint="eastAsia" w:ascii="Times New Roman" w:hAnsi="Times New Roman" w:eastAsia="宋体" w:cs="Times New Roman"/>
          <w:b/>
          <w:bCs/>
          <w:sz w:val="24"/>
          <w:szCs w:val="32"/>
        </w:rPr>
        <w:t>5</w:t>
      </w:r>
      <w:r>
        <w:rPr>
          <w:rFonts w:ascii="Times New Roman" w:hAnsi="Times New Roman" w:eastAsia="宋体" w:cs="Times New Roman"/>
          <w:b/>
          <w:bCs/>
          <w:sz w:val="24"/>
          <w:szCs w:val="32"/>
        </w:rPr>
        <w:t>.3.3</w:t>
      </w:r>
      <w:r>
        <w:rPr>
          <w:rFonts w:hint="eastAsia" w:ascii="Times New Roman" w:hAnsi="Times New Roman" w:eastAsia="宋体" w:cs="Times New Roman"/>
          <w:b/>
          <w:bCs/>
          <w:sz w:val="24"/>
          <w:szCs w:val="32"/>
        </w:rPr>
        <w:t>地表水主要断面氯离子浓度监测调查</w:t>
      </w:r>
      <w:bookmarkEnd w:id="38"/>
    </w:p>
    <w:p>
      <w:pPr>
        <w:spacing w:line="440" w:lineRule="exact"/>
        <w:ind w:firstLine="420" w:firstLineChars="200"/>
        <w:jc w:val="left"/>
        <w:rPr>
          <w:rFonts w:ascii="Times New Roman" w:hAnsi="Times New Roman" w:eastAsia="宋体" w:cs="Times New Roman"/>
          <w:szCs w:val="22"/>
        </w:rPr>
      </w:pPr>
      <w:r>
        <w:rPr>
          <w:rFonts w:ascii="Times New Roman" w:hAnsi="Times New Roman" w:eastAsia="宋体" w:cs="Times New Roman"/>
          <w:szCs w:val="22"/>
        </w:rPr>
        <w:t>从</w:t>
      </w:r>
      <w:r>
        <w:rPr>
          <w:rFonts w:hint="eastAsia" w:ascii="Times New Roman" w:hAnsi="Times New Roman" w:eastAsia="宋体" w:cs="Times New Roman"/>
          <w:szCs w:val="22"/>
        </w:rPr>
        <w:t>2</w:t>
      </w:r>
      <w:r>
        <w:rPr>
          <w:rFonts w:ascii="Times New Roman" w:hAnsi="Times New Roman" w:eastAsia="宋体" w:cs="Times New Roman"/>
          <w:szCs w:val="22"/>
        </w:rPr>
        <w:t>018年</w:t>
      </w:r>
      <w:r>
        <w:rPr>
          <w:rFonts w:hint="eastAsia" w:ascii="Times New Roman" w:hAnsi="Times New Roman" w:eastAsia="宋体" w:cs="Times New Roman"/>
          <w:szCs w:val="22"/>
        </w:rPr>
        <w:t>7月</w:t>
      </w:r>
      <w:r>
        <w:rPr>
          <w:rFonts w:ascii="Times New Roman" w:hAnsi="Times New Roman" w:eastAsia="宋体" w:cs="Times New Roman"/>
          <w:szCs w:val="22"/>
        </w:rPr>
        <w:t>至今</w:t>
      </w:r>
      <w:r>
        <w:rPr>
          <w:rFonts w:hint="eastAsia" w:ascii="Times New Roman" w:hAnsi="Times New Roman" w:eastAsia="宋体" w:cs="Times New Roman"/>
          <w:szCs w:val="22"/>
        </w:rPr>
        <w:t>，项目组根据我省农副食品加工企业的分布情况（如图5-2所示），对</w:t>
      </w:r>
      <w:r>
        <w:rPr>
          <w:rFonts w:ascii="Times New Roman" w:hAnsi="Times New Roman" w:eastAsia="宋体" w:cs="Times New Roman"/>
          <w:szCs w:val="22"/>
        </w:rPr>
        <w:t>我省对岷沱江及长江干流主要断面加测了氯离子浓度</w:t>
      </w:r>
      <w:r>
        <w:rPr>
          <w:rFonts w:hint="eastAsia" w:ascii="Times New Roman" w:hAnsi="Times New Roman" w:eastAsia="宋体" w:cs="Times New Roman"/>
          <w:szCs w:val="22"/>
        </w:rPr>
        <w:t>（如图5-3所示），2</w:t>
      </w:r>
      <w:r>
        <w:rPr>
          <w:rFonts w:ascii="Times New Roman" w:hAnsi="Times New Roman" w:eastAsia="宋体" w:cs="Times New Roman"/>
          <w:szCs w:val="22"/>
        </w:rPr>
        <w:t>020年</w:t>
      </w:r>
      <w:r>
        <w:rPr>
          <w:rFonts w:hint="eastAsia" w:ascii="Times New Roman" w:hAnsi="Times New Roman" w:eastAsia="宋体" w:cs="Times New Roman"/>
          <w:szCs w:val="22"/>
        </w:rPr>
        <w:t>4月起加测了部分支流（如图5-4所示）。</w:t>
      </w:r>
      <w:r>
        <w:rPr>
          <w:rFonts w:ascii="Times New Roman" w:hAnsi="Times New Roman" w:eastAsia="宋体" w:cs="Times New Roman"/>
          <w:szCs w:val="22"/>
        </w:rPr>
        <w:t>从图可以看出</w:t>
      </w:r>
      <w:r>
        <w:rPr>
          <w:rFonts w:hint="eastAsia" w:ascii="Times New Roman" w:hAnsi="Times New Roman" w:eastAsia="宋体" w:cs="Times New Roman"/>
          <w:szCs w:val="22"/>
        </w:rPr>
        <w:t>，</w:t>
      </w:r>
      <w:r>
        <w:rPr>
          <w:rFonts w:ascii="Times New Roman" w:hAnsi="Times New Roman" w:eastAsia="宋体" w:cs="Times New Roman"/>
          <w:szCs w:val="22"/>
        </w:rPr>
        <w:t>我省大江大河主要断面氯离子浓度基本保持在</w:t>
      </w:r>
      <w:r>
        <w:rPr>
          <w:rFonts w:hint="eastAsia" w:ascii="Times New Roman" w:hAnsi="Times New Roman" w:eastAsia="宋体" w:cs="Times New Roman"/>
          <w:szCs w:val="22"/>
        </w:rPr>
        <w:t>60mg</w:t>
      </w:r>
      <w:r>
        <w:rPr>
          <w:rFonts w:ascii="Times New Roman" w:hAnsi="Times New Roman" w:eastAsia="宋体" w:cs="Times New Roman"/>
          <w:szCs w:val="22"/>
        </w:rPr>
        <w:t>/L以下</w:t>
      </w:r>
      <w:r>
        <w:rPr>
          <w:rFonts w:hint="eastAsia" w:ascii="Times New Roman" w:hAnsi="Times New Roman" w:eastAsia="宋体" w:cs="Times New Roman"/>
          <w:szCs w:val="22"/>
        </w:rPr>
        <w:t>，但从上游到下游沱江大桥和沙溪口有氯离子浓度升高的趋势。2</w:t>
      </w:r>
      <w:r>
        <w:rPr>
          <w:rFonts w:ascii="Times New Roman" w:hAnsi="Times New Roman" w:eastAsia="宋体" w:cs="Times New Roman"/>
          <w:szCs w:val="22"/>
        </w:rPr>
        <w:t>020年</w:t>
      </w:r>
      <w:r>
        <w:rPr>
          <w:rFonts w:hint="eastAsia" w:ascii="Times New Roman" w:hAnsi="Times New Roman" w:eastAsia="宋体" w:cs="Times New Roman"/>
          <w:szCs w:val="22"/>
        </w:rPr>
        <w:t>4月对部分小支流开展的监测显示，</w:t>
      </w:r>
      <w:r>
        <w:rPr>
          <w:rFonts w:ascii="Times New Roman" w:hAnsi="Times New Roman" w:eastAsia="宋体" w:cs="Times New Roman"/>
          <w:szCs w:val="22"/>
        </w:rPr>
        <w:t>部分支流污染较干流严重</w:t>
      </w:r>
      <w:r>
        <w:rPr>
          <w:rFonts w:hint="eastAsia" w:ascii="Times New Roman" w:hAnsi="Times New Roman" w:eastAsia="宋体" w:cs="Times New Roman"/>
          <w:szCs w:val="22"/>
        </w:rPr>
        <w:t>，</w:t>
      </w:r>
      <w:r>
        <w:rPr>
          <w:rFonts w:ascii="Times New Roman" w:hAnsi="Times New Roman" w:eastAsia="宋体" w:cs="Times New Roman"/>
          <w:szCs w:val="22"/>
        </w:rPr>
        <w:t>眉山</w:t>
      </w:r>
      <w:r>
        <w:rPr>
          <w:rFonts w:hint="eastAsia" w:ascii="Times New Roman" w:hAnsi="Times New Roman" w:eastAsia="宋体" w:cs="Times New Roman"/>
          <w:szCs w:val="22"/>
        </w:rPr>
        <w:t>、</w:t>
      </w:r>
      <w:r>
        <w:rPr>
          <w:rFonts w:ascii="Times New Roman" w:hAnsi="Times New Roman" w:eastAsia="宋体" w:cs="Times New Roman"/>
          <w:szCs w:val="22"/>
        </w:rPr>
        <w:t>乐山</w:t>
      </w:r>
      <w:r>
        <w:rPr>
          <w:rFonts w:hint="eastAsia" w:ascii="Times New Roman" w:hAnsi="Times New Roman" w:eastAsia="宋体" w:cs="Times New Roman"/>
          <w:szCs w:val="22"/>
        </w:rPr>
        <w:t>、</w:t>
      </w:r>
      <w:r>
        <w:rPr>
          <w:rFonts w:ascii="Times New Roman" w:hAnsi="Times New Roman" w:eastAsia="宋体" w:cs="Times New Roman"/>
          <w:szCs w:val="22"/>
        </w:rPr>
        <w:t>资阳和自贡</w:t>
      </w:r>
      <w:r>
        <w:rPr>
          <w:rFonts w:hint="eastAsia" w:ascii="Times New Roman" w:hAnsi="Times New Roman" w:eastAsia="宋体" w:cs="Times New Roman"/>
          <w:szCs w:val="22"/>
        </w:rPr>
        <w:t>5</w:t>
      </w:r>
      <w:r>
        <w:rPr>
          <w:rFonts w:ascii="Times New Roman" w:hAnsi="Times New Roman" w:eastAsia="宋体" w:cs="Times New Roman"/>
          <w:szCs w:val="22"/>
        </w:rPr>
        <w:t>月</w:t>
      </w:r>
      <w:r>
        <w:rPr>
          <w:rFonts w:hint="eastAsia" w:ascii="Times New Roman" w:hAnsi="Times New Roman" w:eastAsia="宋体" w:cs="Times New Roman"/>
          <w:szCs w:val="22"/>
        </w:rPr>
        <w:t>-</w:t>
      </w:r>
      <w:r>
        <w:rPr>
          <w:rFonts w:ascii="Times New Roman" w:hAnsi="Times New Roman" w:eastAsia="宋体" w:cs="Times New Roman"/>
          <w:szCs w:val="22"/>
        </w:rPr>
        <w:t>6月支流断面氯离子浓度在</w:t>
      </w:r>
      <w:r>
        <w:rPr>
          <w:rFonts w:hint="eastAsia" w:ascii="Times New Roman" w:hAnsi="Times New Roman" w:eastAsia="宋体" w:cs="Times New Roman"/>
          <w:szCs w:val="22"/>
        </w:rPr>
        <w:t>40~</w:t>
      </w:r>
      <w:r>
        <w:rPr>
          <w:rFonts w:ascii="Times New Roman" w:hAnsi="Times New Roman" w:eastAsia="宋体" w:cs="Times New Roman"/>
          <w:szCs w:val="22"/>
        </w:rPr>
        <w:t>50mg/L</w:t>
      </w:r>
      <w:r>
        <w:rPr>
          <w:rFonts w:hint="eastAsia" w:ascii="Times New Roman" w:hAnsi="Times New Roman" w:eastAsia="宋体" w:cs="Times New Roman"/>
          <w:szCs w:val="22"/>
        </w:rPr>
        <w:t>，其中自贡4~</w:t>
      </w:r>
      <w:r>
        <w:rPr>
          <w:rFonts w:ascii="Times New Roman" w:hAnsi="Times New Roman" w:eastAsia="宋体" w:cs="Times New Roman"/>
          <w:szCs w:val="22"/>
        </w:rPr>
        <w:t>6月氯离子浓度在</w:t>
      </w:r>
      <w:r>
        <w:rPr>
          <w:rFonts w:hint="eastAsia" w:ascii="Times New Roman" w:hAnsi="Times New Roman" w:eastAsia="宋体" w:cs="Times New Roman"/>
          <w:szCs w:val="22"/>
        </w:rPr>
        <w:t>1</w:t>
      </w:r>
      <w:r>
        <w:rPr>
          <w:rFonts w:ascii="Times New Roman" w:hAnsi="Times New Roman" w:eastAsia="宋体" w:cs="Times New Roman"/>
          <w:szCs w:val="22"/>
        </w:rPr>
        <w:t>40mg/L以上</w:t>
      </w:r>
      <w:r>
        <w:rPr>
          <w:rFonts w:hint="eastAsia" w:ascii="Times New Roman" w:hAnsi="Times New Roman" w:eastAsia="宋体" w:cs="Times New Roman"/>
          <w:szCs w:val="22"/>
        </w:rPr>
        <w:t>，</w:t>
      </w:r>
      <w:r>
        <w:rPr>
          <w:rFonts w:ascii="Times New Roman" w:hAnsi="Times New Roman" w:eastAsia="宋体" w:cs="Times New Roman"/>
          <w:szCs w:val="22"/>
        </w:rPr>
        <w:t>最高达到</w:t>
      </w:r>
      <w:r>
        <w:rPr>
          <w:rFonts w:hint="eastAsia" w:ascii="Times New Roman" w:hAnsi="Times New Roman" w:eastAsia="宋体" w:cs="Times New Roman"/>
          <w:szCs w:val="22"/>
        </w:rPr>
        <w:t>2</w:t>
      </w:r>
      <w:r>
        <w:rPr>
          <w:rFonts w:ascii="Times New Roman" w:hAnsi="Times New Roman" w:eastAsia="宋体" w:cs="Times New Roman"/>
          <w:szCs w:val="22"/>
        </w:rPr>
        <w:t>43 mg/L</w:t>
      </w:r>
      <w:r>
        <w:rPr>
          <w:rFonts w:hint="eastAsia" w:ascii="Times New Roman" w:hAnsi="Times New Roman" w:eastAsia="宋体" w:cs="Times New Roman"/>
          <w:szCs w:val="22"/>
        </w:rPr>
        <w:t>。根据目前的监测数据来说，我省氯离子浓度污染具有间隙性、地区差异性和局部污染特性。</w:t>
      </w:r>
    </w:p>
    <w:p>
      <w:pPr>
        <w:spacing w:line="440" w:lineRule="exact"/>
        <w:jc w:val="center"/>
        <w:rPr>
          <w:rFonts w:ascii="Times New Roman" w:hAnsi="Times New Roman" w:eastAsia="宋体" w:cs="Times New Roman"/>
          <w:b/>
          <w:szCs w:val="22"/>
        </w:rPr>
      </w:pPr>
      <w:r>
        <w:rPr>
          <w:rFonts w:ascii="Times New Roman" w:hAnsi="Times New Roman" w:eastAsia="宋体" w:cs="Times New Roman"/>
          <w:szCs w:val="22"/>
        </w:rPr>
        <w:drawing>
          <wp:anchor distT="0" distB="0" distL="114300" distR="114300" simplePos="0" relativeHeight="251653120" behindDoc="0" locked="0" layoutInCell="1" allowOverlap="1">
            <wp:simplePos x="0" y="0"/>
            <wp:positionH relativeFrom="margin">
              <wp:align>left</wp:align>
            </wp:positionH>
            <wp:positionV relativeFrom="paragraph">
              <wp:posOffset>3272155</wp:posOffset>
            </wp:positionV>
            <wp:extent cx="5097780" cy="2994025"/>
            <wp:effectExtent l="0" t="0" r="7620" b="0"/>
            <wp:wrapTopAndBottom/>
            <wp:docPr id="37" name="图片 4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7" name="图片 41"/>
                    <pic:cNvPicPr>
                      <a:picLocks noChangeAspect="true" noChangeArrowheads="true"/>
                    </pic:cNvPicPr>
                  </pic:nvPicPr>
                  <pic:blipFill>
                    <a:blip r:embed="rId22" cstate="print">
                      <a:extLst>
                        <a:ext uri="{28A0092B-C50C-407E-A947-70E740481C1C}">
                          <a14:useLocalDpi xmlns:a14="http://schemas.microsoft.com/office/drawing/2010/main" val="false"/>
                        </a:ext>
                      </a:extLst>
                    </a:blip>
                    <a:srcRect/>
                    <a:stretch>
                      <a:fillRect/>
                    </a:stretch>
                  </pic:blipFill>
                  <pic:spPr>
                    <a:xfrm>
                      <a:off x="0" y="0"/>
                      <a:ext cx="5129536" cy="3012930"/>
                    </a:xfrm>
                    <a:prstGeom prst="rect">
                      <a:avLst/>
                    </a:prstGeom>
                    <a:noFill/>
                  </pic:spPr>
                </pic:pic>
              </a:graphicData>
            </a:graphic>
          </wp:anchor>
        </w:drawing>
      </w:r>
      <w:r>
        <w:rPr>
          <w:rFonts w:ascii="Times New Roman" w:hAnsi="Times New Roman" w:eastAsia="宋体" w:cs="Times New Roman"/>
          <w:szCs w:val="22"/>
        </w:rPr>
        <w:drawing>
          <wp:anchor distT="0" distB="0" distL="114300" distR="114300" simplePos="0" relativeHeight="251654144" behindDoc="0" locked="0" layoutInCell="1" allowOverlap="1">
            <wp:simplePos x="0" y="0"/>
            <wp:positionH relativeFrom="margin">
              <wp:posOffset>688975</wp:posOffset>
            </wp:positionH>
            <wp:positionV relativeFrom="margin">
              <wp:posOffset>0</wp:posOffset>
            </wp:positionV>
            <wp:extent cx="3821430" cy="2846705"/>
            <wp:effectExtent l="19050" t="0" r="7620" b="0"/>
            <wp:wrapTopAndBottom/>
            <wp:docPr id="38" name="图片 42" descr="D:\工作\02-水所专项\02-厅处室项目\01-标准研究\04-泡菜废水标准研究\06-监测数据\蔬菜加工企业分布-2017.jpg"/>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8" name="图片 42" descr="D:\工作\02-水所专项\02-厅处室项目\01-标准研究\04-泡菜废水标准研究\06-监测数据\蔬菜加工企业分布-2017.jpg"/>
                    <pic:cNvPicPr>
                      <a:picLocks noChangeAspect="true" noChangeArrowheads="true"/>
                    </pic:cNvPicPr>
                  </pic:nvPicPr>
                  <pic:blipFill>
                    <a:blip r:embed="rId23" cstate="print">
                      <a:extLst>
                        <a:ext uri="{28A0092B-C50C-407E-A947-70E740481C1C}">
                          <a14:useLocalDpi xmlns:a14="http://schemas.microsoft.com/office/drawing/2010/main" val="false"/>
                        </a:ext>
                      </a:extLst>
                    </a:blip>
                    <a:srcRect/>
                    <a:stretch>
                      <a:fillRect/>
                    </a:stretch>
                  </pic:blipFill>
                  <pic:spPr>
                    <a:xfrm>
                      <a:off x="0" y="0"/>
                      <a:ext cx="3821430" cy="2846705"/>
                    </a:xfrm>
                    <a:prstGeom prst="rect">
                      <a:avLst/>
                    </a:prstGeom>
                    <a:noFill/>
                    <a:ln>
                      <a:noFill/>
                    </a:ln>
                  </pic:spPr>
                </pic:pic>
              </a:graphicData>
            </a:graphic>
          </wp:anchor>
        </w:drawing>
      </w:r>
      <w:r>
        <w:rPr>
          <w:rFonts w:ascii="Times New Roman" w:hAnsi="Times New Roman" w:eastAsia="宋体" w:cs="Times New Roman"/>
          <w:b/>
          <w:szCs w:val="22"/>
        </w:rPr>
        <w:t>图</w:t>
      </w:r>
      <w:r>
        <w:rPr>
          <w:rFonts w:hint="eastAsia" w:ascii="Times New Roman" w:hAnsi="Times New Roman" w:eastAsia="宋体" w:cs="Times New Roman"/>
          <w:b/>
          <w:szCs w:val="22"/>
        </w:rPr>
        <w:t>5-2我省农副食品加工企业分布图（以2</w:t>
      </w:r>
      <w:r>
        <w:rPr>
          <w:rFonts w:ascii="Times New Roman" w:hAnsi="Times New Roman" w:eastAsia="宋体" w:cs="Times New Roman"/>
          <w:b/>
          <w:szCs w:val="22"/>
        </w:rPr>
        <w:t>017年环境统计数据为准</w:t>
      </w:r>
      <w:r>
        <w:rPr>
          <w:rFonts w:hint="eastAsia" w:ascii="Times New Roman" w:hAnsi="Times New Roman" w:eastAsia="宋体" w:cs="Times New Roman"/>
          <w:b/>
          <w:szCs w:val="22"/>
        </w:rPr>
        <w:t>）</w:t>
      </w:r>
    </w:p>
    <w:p>
      <w:pPr>
        <w:spacing w:line="440" w:lineRule="exact"/>
        <w:jc w:val="center"/>
        <w:rPr>
          <w:rFonts w:ascii="Times New Roman" w:hAnsi="Times New Roman" w:eastAsia="宋体" w:cs="Times New Roman"/>
          <w:b/>
          <w:szCs w:val="22"/>
        </w:rPr>
      </w:pPr>
      <w:r>
        <w:rPr>
          <w:rFonts w:ascii="Times New Roman" w:hAnsi="Times New Roman" w:eastAsia="宋体" w:cs="Times New Roman"/>
          <w:b/>
          <w:szCs w:val="22"/>
        </w:rPr>
        <w:t>图</w:t>
      </w:r>
      <w:r>
        <w:rPr>
          <w:rFonts w:hint="eastAsia" w:ascii="Times New Roman" w:hAnsi="Times New Roman" w:eastAsia="宋体" w:cs="Times New Roman"/>
          <w:b/>
          <w:szCs w:val="22"/>
        </w:rPr>
        <w:t>5-3 20</w:t>
      </w:r>
      <w:r>
        <w:rPr>
          <w:rFonts w:ascii="Times New Roman" w:hAnsi="Times New Roman" w:eastAsia="宋体" w:cs="Times New Roman"/>
          <w:b/>
          <w:szCs w:val="22"/>
        </w:rPr>
        <w:t>18年</w:t>
      </w:r>
      <w:r>
        <w:rPr>
          <w:rFonts w:hint="eastAsia" w:ascii="Times New Roman" w:hAnsi="Times New Roman" w:eastAsia="宋体" w:cs="Times New Roman"/>
          <w:b/>
          <w:szCs w:val="22"/>
        </w:rPr>
        <w:t>7月至今开展的主要断面氯离子浓度监测</w:t>
      </w:r>
    </w:p>
    <w:p>
      <w:pPr>
        <w:spacing w:line="440" w:lineRule="exact"/>
        <w:jc w:val="center"/>
        <w:rPr>
          <w:rFonts w:ascii="Times New Roman" w:hAnsi="Times New Roman" w:eastAsia="宋体" w:cs="Times New Roman"/>
          <w:b/>
          <w:szCs w:val="22"/>
        </w:rPr>
      </w:pPr>
      <w:r>
        <w:rPr>
          <w:rFonts w:ascii="Times New Roman" w:hAnsi="Times New Roman" w:eastAsia="宋体" w:cs="Times New Roman"/>
          <w:b/>
          <w:szCs w:val="22"/>
        </w:rPr>
        <w:drawing>
          <wp:anchor distT="0" distB="0" distL="114300" distR="114300" simplePos="0" relativeHeight="251656192" behindDoc="0" locked="0" layoutInCell="1" allowOverlap="1">
            <wp:simplePos x="0" y="0"/>
            <wp:positionH relativeFrom="column">
              <wp:posOffset>112395</wp:posOffset>
            </wp:positionH>
            <wp:positionV relativeFrom="paragraph">
              <wp:posOffset>0</wp:posOffset>
            </wp:positionV>
            <wp:extent cx="5026025" cy="2947670"/>
            <wp:effectExtent l="0" t="0" r="3175" b="5080"/>
            <wp:wrapTopAndBottom/>
            <wp:docPr id="39" name="图片 24"/>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9" name="图片 24"/>
                    <pic:cNvPicPr>
                      <a:picLocks noChangeAspect="true" noChangeArrowheads="true"/>
                    </pic:cNvPicPr>
                  </pic:nvPicPr>
                  <pic:blipFill>
                    <a:blip r:embed="rId24" cstate="print">
                      <a:extLst>
                        <a:ext uri="{28A0092B-C50C-407E-A947-70E740481C1C}">
                          <a14:useLocalDpi xmlns:a14="http://schemas.microsoft.com/office/drawing/2010/main" val="false"/>
                        </a:ext>
                      </a:extLst>
                    </a:blip>
                    <a:srcRect/>
                    <a:stretch>
                      <a:fillRect/>
                    </a:stretch>
                  </pic:blipFill>
                  <pic:spPr>
                    <a:xfrm>
                      <a:off x="0" y="0"/>
                      <a:ext cx="5026025" cy="2947670"/>
                    </a:xfrm>
                    <a:prstGeom prst="rect">
                      <a:avLst/>
                    </a:prstGeom>
                    <a:noFill/>
                  </pic:spPr>
                </pic:pic>
              </a:graphicData>
            </a:graphic>
          </wp:anchor>
        </w:drawing>
      </w:r>
      <w:r>
        <w:rPr>
          <w:rFonts w:hint="eastAsia" w:ascii="Times New Roman" w:hAnsi="Times New Roman" w:eastAsia="宋体" w:cs="Times New Roman"/>
          <w:b/>
          <w:szCs w:val="22"/>
        </w:rPr>
        <w:t>图5-4 20</w:t>
      </w:r>
      <w:r>
        <w:rPr>
          <w:rFonts w:ascii="Times New Roman" w:hAnsi="Times New Roman" w:eastAsia="宋体" w:cs="Times New Roman"/>
          <w:b/>
          <w:szCs w:val="22"/>
        </w:rPr>
        <w:t>20年4</w:t>
      </w:r>
      <w:r>
        <w:rPr>
          <w:rFonts w:hint="eastAsia" w:ascii="Times New Roman" w:hAnsi="Times New Roman" w:eastAsia="宋体" w:cs="Times New Roman"/>
          <w:b/>
          <w:szCs w:val="22"/>
        </w:rPr>
        <w:t>月至今开展的主要断面氯离子浓度监测</w:t>
      </w:r>
    </w:p>
    <w:p>
      <w:pPr>
        <w:keepNext/>
        <w:keepLines/>
        <w:spacing w:before="240" w:after="240" w:line="578" w:lineRule="auto"/>
        <w:jc w:val="left"/>
        <w:outlineLvl w:val="0"/>
        <w:rPr>
          <w:rFonts w:ascii="Times New Roman" w:hAnsi="Times New Roman" w:eastAsia="宋体" w:cs="Times New Roman"/>
          <w:b/>
          <w:bCs/>
          <w:kern w:val="44"/>
          <w:sz w:val="32"/>
          <w:szCs w:val="44"/>
        </w:rPr>
      </w:pPr>
      <w:bookmarkStart w:id="39" w:name="_Toc76386117"/>
      <w:r>
        <w:rPr>
          <w:rFonts w:hint="eastAsia" w:ascii="Times New Roman" w:hAnsi="Times New Roman" w:eastAsia="宋体" w:cs="Times New Roman"/>
          <w:b/>
          <w:bCs/>
          <w:kern w:val="44"/>
          <w:sz w:val="32"/>
          <w:szCs w:val="44"/>
        </w:rPr>
        <w:t>6标准主要技术内容</w:t>
      </w:r>
      <w:bookmarkEnd w:id="39"/>
    </w:p>
    <w:p>
      <w:pPr>
        <w:keepNext/>
        <w:keepLines/>
        <w:spacing w:before="120" w:after="120" w:line="415" w:lineRule="auto"/>
        <w:jc w:val="left"/>
        <w:outlineLvl w:val="1"/>
        <w:rPr>
          <w:rFonts w:ascii="Times New Roman" w:hAnsi="Times New Roman" w:eastAsia="宋体" w:cs="Times New Roman"/>
          <w:b/>
          <w:bCs/>
          <w:sz w:val="30"/>
          <w:szCs w:val="32"/>
        </w:rPr>
      </w:pPr>
      <w:bookmarkStart w:id="40" w:name="_Toc76386118"/>
      <w:r>
        <w:rPr>
          <w:rFonts w:hint="eastAsia" w:ascii="Times New Roman" w:hAnsi="Times New Roman" w:eastAsia="宋体" w:cs="Times New Roman"/>
          <w:b/>
          <w:bCs/>
          <w:sz w:val="30"/>
          <w:szCs w:val="32"/>
        </w:rPr>
        <w:t>6.1标准适用范围</w:t>
      </w:r>
      <w:bookmarkEnd w:id="40"/>
    </w:p>
    <w:p>
      <w:pPr>
        <w:keepNext/>
        <w:keepLines/>
        <w:spacing w:before="156" w:beforeLines="50" w:after="156" w:afterLines="50" w:line="360" w:lineRule="auto"/>
        <w:jc w:val="left"/>
        <w:outlineLvl w:val="2"/>
        <w:rPr>
          <w:rFonts w:ascii="Times New Roman" w:hAnsi="Times New Roman" w:eastAsia="宋体" w:cs="Times New Roman"/>
          <w:b/>
          <w:bCs/>
          <w:sz w:val="28"/>
          <w:szCs w:val="32"/>
        </w:rPr>
      </w:pPr>
      <w:bookmarkStart w:id="41" w:name="_Toc76386119"/>
      <w:r>
        <w:rPr>
          <w:rFonts w:hint="eastAsia" w:ascii="Times New Roman" w:hAnsi="Times New Roman" w:eastAsia="宋体" w:cs="Times New Roman"/>
          <w:b/>
          <w:bCs/>
          <w:sz w:val="28"/>
          <w:szCs w:val="32"/>
        </w:rPr>
        <w:t>6.1.1本标准的适用范围及依据</w:t>
      </w:r>
      <w:bookmarkEnd w:id="41"/>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本标准规定了四川省辖区内泡菜工业企业和蔬菜盐渍生产加工设施的水污染物排放控制要求、监测要求和监督管理要求。</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本标准适用于四川省现有泡菜工业企业和蔬菜盐渍生产加工设施的水污染物排放管理，以及新建、改建、扩建泡菜工业和蔬菜盐渍加工建设项目的环境影响评价、环境保护设施设计、竣工环境保护验收、排污许可证核发及其投产后水污染物排放管理。</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本标准中氯离子排放限值也适用于接收泡菜工业企业废水的工业污水集中处理设施。</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本标准规定的水污染物排放控制要求适用于泡菜工业企业和蔬菜盐渍生产加工设施直接或间接向其法定边界外排放水污染物的行为。</w:t>
      </w:r>
    </w:p>
    <w:p>
      <w:pPr>
        <w:keepNext/>
        <w:keepLines/>
        <w:spacing w:before="156" w:beforeLines="50" w:after="156" w:afterLines="50" w:line="360" w:lineRule="auto"/>
        <w:jc w:val="left"/>
        <w:outlineLvl w:val="2"/>
        <w:rPr>
          <w:rFonts w:ascii="Times New Roman" w:hAnsi="Times New Roman" w:eastAsia="宋体" w:cs="Times New Roman"/>
          <w:b/>
          <w:bCs/>
          <w:sz w:val="28"/>
          <w:szCs w:val="32"/>
        </w:rPr>
      </w:pPr>
      <w:bookmarkStart w:id="42" w:name="_Toc76386120"/>
      <w:r>
        <w:rPr>
          <w:rFonts w:hint="eastAsia" w:ascii="Times New Roman" w:hAnsi="Times New Roman" w:eastAsia="宋体" w:cs="Times New Roman"/>
          <w:b/>
          <w:bCs/>
          <w:sz w:val="28"/>
          <w:szCs w:val="32"/>
        </w:rPr>
        <w:t>6.1.2本标准不适用的情况及依据</w:t>
      </w:r>
      <w:bookmarkEnd w:id="42"/>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本标准适用于《国民经济行业分类》（GB/T 4754-2017）中</w:t>
      </w:r>
      <w:r>
        <w:rPr>
          <w:rFonts w:ascii="Times New Roman" w:hAnsi="Times New Roman" w:eastAsia="宋体" w:cs="Times New Roman"/>
          <w:szCs w:val="22"/>
        </w:rPr>
        <w:t>1371</w:t>
      </w:r>
      <w:r>
        <w:rPr>
          <w:rFonts w:hint="eastAsia" w:ascii="Times New Roman" w:hAnsi="Times New Roman" w:eastAsia="宋体" w:cs="Times New Roman"/>
          <w:szCs w:val="22"/>
        </w:rPr>
        <w:t>类蔬菜加工、1392豆制品制造、1399其他未明农副食品加工、</w:t>
      </w:r>
      <w:r>
        <w:rPr>
          <w:rFonts w:ascii="Times New Roman" w:hAnsi="Times New Roman" w:eastAsia="宋体" w:cs="Times New Roman"/>
          <w:szCs w:val="22"/>
        </w:rPr>
        <w:t>1469</w:t>
      </w:r>
      <w:r>
        <w:rPr>
          <w:rFonts w:hint="eastAsia" w:ascii="Times New Roman" w:hAnsi="Times New Roman" w:eastAsia="宋体" w:cs="Times New Roman"/>
          <w:szCs w:val="22"/>
        </w:rPr>
        <w:t>类其他调味品、发酵制品制造中规定的蔬菜盐渍生产加工，其他分类行业不适用于本标准。</w:t>
      </w:r>
    </w:p>
    <w:p>
      <w:pPr>
        <w:keepNext/>
        <w:keepLines/>
        <w:spacing w:before="120" w:after="120" w:line="415" w:lineRule="auto"/>
        <w:jc w:val="left"/>
        <w:outlineLvl w:val="1"/>
        <w:rPr>
          <w:rFonts w:ascii="Times New Roman" w:hAnsi="Times New Roman" w:eastAsia="宋体" w:cs="Times New Roman"/>
          <w:b/>
          <w:bCs/>
          <w:sz w:val="30"/>
          <w:szCs w:val="32"/>
        </w:rPr>
      </w:pPr>
      <w:bookmarkStart w:id="43" w:name="_Toc76386122"/>
      <w:r>
        <w:rPr>
          <w:rFonts w:hint="eastAsia" w:ascii="Times New Roman" w:hAnsi="Times New Roman" w:eastAsia="宋体" w:cs="Times New Roman"/>
          <w:b/>
          <w:bCs/>
          <w:sz w:val="30"/>
          <w:szCs w:val="32"/>
        </w:rPr>
        <w:t>6.2标准结构框架</w:t>
      </w:r>
      <w:bookmarkEnd w:id="43"/>
    </w:p>
    <w:p>
      <w:pPr>
        <w:keepNext/>
        <w:keepLines/>
        <w:spacing w:before="156" w:beforeLines="50" w:after="156" w:afterLines="50" w:line="360" w:lineRule="auto"/>
        <w:jc w:val="left"/>
        <w:outlineLvl w:val="2"/>
        <w:rPr>
          <w:rFonts w:ascii="Times New Roman" w:hAnsi="Times New Roman" w:eastAsia="宋体" w:cs="Times New Roman"/>
          <w:b/>
          <w:bCs/>
          <w:sz w:val="28"/>
          <w:szCs w:val="32"/>
        </w:rPr>
      </w:pPr>
      <w:bookmarkStart w:id="44" w:name="_Toc76386123"/>
      <w:r>
        <w:rPr>
          <w:rFonts w:hint="eastAsia" w:ascii="Times New Roman" w:hAnsi="Times New Roman" w:eastAsia="宋体" w:cs="Times New Roman"/>
          <w:b/>
          <w:bCs/>
          <w:sz w:val="28"/>
          <w:szCs w:val="32"/>
        </w:rPr>
        <w:t>6.2.1主要章节内容</w:t>
      </w:r>
      <w:bookmarkEnd w:id="44"/>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本标准的主要章节如下：</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前言</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1、适用范围</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2、规范性引用文件</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3、术语和定义</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4、水污染物排放控制要求</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5、水污染物监测要求</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6、实施与监督</w:t>
      </w:r>
    </w:p>
    <w:p>
      <w:pPr>
        <w:keepNext/>
        <w:keepLines/>
        <w:spacing w:before="156" w:beforeLines="50" w:after="156" w:afterLines="50" w:line="360" w:lineRule="auto"/>
        <w:jc w:val="left"/>
        <w:outlineLvl w:val="2"/>
        <w:rPr>
          <w:rFonts w:ascii="Times New Roman" w:hAnsi="Times New Roman" w:eastAsia="宋体" w:cs="Times New Roman"/>
          <w:b/>
          <w:bCs/>
          <w:sz w:val="28"/>
          <w:szCs w:val="32"/>
        </w:rPr>
      </w:pPr>
      <w:bookmarkStart w:id="45" w:name="_Toc76386124"/>
      <w:r>
        <w:rPr>
          <w:rFonts w:hint="eastAsia" w:ascii="Times New Roman" w:hAnsi="Times New Roman" w:eastAsia="宋体" w:cs="Times New Roman"/>
          <w:b/>
          <w:bCs/>
          <w:sz w:val="28"/>
          <w:szCs w:val="32"/>
        </w:rPr>
        <w:t>6.2.2现有企业、新建企业划分时间点</w:t>
      </w:r>
      <w:bookmarkEnd w:id="45"/>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自新标准实施之日起，新建企业应执行本标准表2所规定的水污染物控制要求，已建企业按照新标准的规定要求，在一定的期限内仍可执行本标准表1的水污染物控制要求，超过规定限期后，执行本标准表2所规定的水污染排放控制要求。</w:t>
      </w:r>
    </w:p>
    <w:p>
      <w:pPr>
        <w:keepNext/>
        <w:keepLines/>
        <w:spacing w:before="156" w:beforeLines="50" w:after="156" w:afterLines="50" w:line="360" w:lineRule="auto"/>
        <w:jc w:val="left"/>
        <w:outlineLvl w:val="2"/>
        <w:rPr>
          <w:rFonts w:ascii="Times New Roman" w:hAnsi="Times New Roman" w:eastAsia="宋体" w:cs="Times New Roman"/>
          <w:b/>
          <w:bCs/>
          <w:sz w:val="28"/>
          <w:szCs w:val="32"/>
        </w:rPr>
      </w:pPr>
      <w:bookmarkStart w:id="46" w:name="_Toc76386125"/>
      <w:r>
        <w:rPr>
          <w:rFonts w:hint="eastAsia" w:ascii="Times New Roman" w:hAnsi="Times New Roman" w:eastAsia="宋体" w:cs="Times New Roman"/>
          <w:b/>
          <w:bCs/>
          <w:sz w:val="28"/>
          <w:szCs w:val="32"/>
        </w:rPr>
        <w:t>6.2.3标准对适用行业的划分及划分依据</w:t>
      </w:r>
      <w:bookmarkEnd w:id="46"/>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本标准对行业的划分参照《国民经济行业分类和代码表》（GB/T4754-2017）执行。</w:t>
      </w:r>
    </w:p>
    <w:p>
      <w:pPr>
        <w:keepNext/>
        <w:keepLines/>
        <w:spacing w:before="120" w:after="120" w:line="415" w:lineRule="auto"/>
        <w:jc w:val="left"/>
        <w:outlineLvl w:val="1"/>
        <w:rPr>
          <w:rFonts w:ascii="Times New Roman" w:hAnsi="Times New Roman" w:eastAsia="宋体" w:cs="Times New Roman"/>
          <w:b/>
          <w:bCs/>
          <w:sz w:val="30"/>
          <w:szCs w:val="32"/>
        </w:rPr>
      </w:pPr>
      <w:bookmarkStart w:id="47" w:name="_Toc76386126"/>
      <w:r>
        <w:rPr>
          <w:rFonts w:hint="eastAsia" w:ascii="Times New Roman" w:hAnsi="Times New Roman" w:eastAsia="宋体" w:cs="Times New Roman"/>
          <w:b/>
          <w:bCs/>
          <w:sz w:val="30"/>
          <w:szCs w:val="32"/>
        </w:rPr>
        <w:t>6.3术语和定义</w:t>
      </w:r>
      <w:bookmarkEnd w:id="47"/>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本标准规定的主要术语和定义如下：</w:t>
      </w:r>
    </w:p>
    <w:p>
      <w:pPr>
        <w:spacing w:line="440" w:lineRule="exact"/>
        <w:ind w:firstLine="420" w:firstLineChars="200"/>
        <w:jc w:val="left"/>
        <w:rPr>
          <w:rFonts w:ascii="Times New Roman" w:hAnsi="Times New Roman" w:eastAsia="宋体" w:cs="Times New Roman"/>
          <w:szCs w:val="22"/>
        </w:rPr>
      </w:pPr>
      <w:r>
        <w:rPr>
          <w:rFonts w:ascii="Times New Roman" w:hAnsi="Times New Roman" w:eastAsia="宋体" w:cs="Times New Roman"/>
          <w:szCs w:val="22"/>
        </w:rPr>
        <w:t>（1）</w:t>
      </w:r>
      <w:r>
        <w:rPr>
          <w:rFonts w:hint="eastAsia" w:ascii="Times New Roman" w:hAnsi="Times New Roman" w:eastAsia="宋体" w:cs="Times New Roman"/>
          <w:szCs w:val="22"/>
        </w:rPr>
        <w:t>泡菜工业</w:t>
      </w:r>
      <w:r>
        <w:rPr>
          <w:rFonts w:ascii="Times New Roman" w:hAnsi="Times New Roman" w:eastAsia="宋体" w:cs="Times New Roman"/>
          <w:szCs w:val="22"/>
        </w:rPr>
        <w:t>pickle industry</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以蔬菜为主要原料，用食盐或食盐水盐渍加工生产蔬菜制品的加工业。</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（2）盐渍泡菜企业</w:t>
      </w:r>
      <w:r>
        <w:rPr>
          <w:rFonts w:ascii="Times New Roman" w:hAnsi="Times New Roman" w:eastAsia="宋体" w:cs="Times New Roman"/>
          <w:szCs w:val="22"/>
        </w:rPr>
        <w:t>salted vegetable enterprise</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以蔬菜为主要原料，用食盐盐渍加工生产蔬菜制品（盐渍过程中不加入新鲜水）的企业。</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w:t>
      </w:r>
      <w:r>
        <w:rPr>
          <w:rFonts w:ascii="Times New Roman" w:hAnsi="Times New Roman" w:eastAsia="宋体" w:cs="Times New Roman"/>
          <w:szCs w:val="22"/>
        </w:rPr>
        <w:t>3</w:t>
      </w:r>
      <w:r>
        <w:rPr>
          <w:rFonts w:hint="eastAsia" w:ascii="Times New Roman" w:hAnsi="Times New Roman" w:eastAsia="宋体" w:cs="Times New Roman"/>
          <w:szCs w:val="22"/>
        </w:rPr>
        <w:t>）盐水渍泡菜企业</w:t>
      </w:r>
      <w:r>
        <w:rPr>
          <w:rFonts w:ascii="Times New Roman" w:hAnsi="Times New Roman" w:eastAsia="宋体" w:cs="Times New Roman"/>
          <w:szCs w:val="22"/>
        </w:rPr>
        <w:t xml:space="preserve"> pickle enterprise</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以蔬菜为主要原料，用食盐水经生渍或熟渍加工方式生产蔬菜制品的企业。</w:t>
      </w:r>
    </w:p>
    <w:p>
      <w:pPr>
        <w:spacing w:line="440" w:lineRule="exact"/>
        <w:ind w:firstLine="420" w:firstLineChars="200"/>
        <w:jc w:val="left"/>
        <w:rPr>
          <w:rFonts w:ascii="Times New Roman" w:hAnsi="Times New Roman" w:eastAsia="宋体" w:cs="Times New Roman"/>
          <w:szCs w:val="22"/>
        </w:rPr>
      </w:pPr>
      <w:r>
        <w:rPr>
          <w:rFonts w:ascii="Times New Roman" w:hAnsi="Times New Roman" w:eastAsia="宋体" w:cs="Times New Roman"/>
          <w:szCs w:val="22"/>
        </w:rPr>
        <w:t>（</w:t>
      </w:r>
      <w:r>
        <w:rPr>
          <w:rFonts w:hint="eastAsia" w:ascii="Times New Roman" w:hAnsi="Times New Roman" w:eastAsia="宋体" w:cs="Times New Roman"/>
          <w:szCs w:val="22"/>
        </w:rPr>
        <w:t>4</w:t>
      </w:r>
      <w:r>
        <w:rPr>
          <w:rFonts w:ascii="Times New Roman" w:hAnsi="Times New Roman" w:eastAsia="宋体" w:cs="Times New Roman"/>
          <w:szCs w:val="22"/>
        </w:rPr>
        <w:t>）</w:t>
      </w:r>
      <w:r>
        <w:rPr>
          <w:rFonts w:hint="eastAsia" w:ascii="Times New Roman" w:hAnsi="Times New Roman" w:eastAsia="宋体" w:cs="Times New Roman"/>
          <w:szCs w:val="22"/>
        </w:rPr>
        <w:t>其他盐渍类企业</w:t>
      </w:r>
      <w:r>
        <w:rPr>
          <w:rFonts w:ascii="Times New Roman" w:hAnsi="Times New Roman" w:eastAsia="宋体" w:cs="Times New Roman"/>
          <w:szCs w:val="22"/>
        </w:rPr>
        <w:t>other salted vegetables enterprise</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以蔬菜为主要原料，用食盐盐渍加工方式生产蔬菜制品，且生产过程中不涉及高浓度盐渍废水产生的企业。其中高浓度盐渍废水中含Na</w:t>
      </w:r>
      <w:r>
        <w:rPr>
          <w:rFonts w:ascii="Times New Roman" w:hAnsi="Times New Roman" w:eastAsia="宋体" w:cs="Times New Roman"/>
          <w:szCs w:val="22"/>
        </w:rPr>
        <w:t>Cl</w:t>
      </w:r>
      <w:r>
        <w:rPr>
          <w:rFonts w:hint="eastAsia" w:ascii="Times New Roman" w:hAnsi="Times New Roman" w:eastAsia="宋体" w:cs="Times New Roman"/>
          <w:szCs w:val="22"/>
        </w:rPr>
        <w:t>质量浓度≥</w:t>
      </w:r>
      <w:r>
        <w:rPr>
          <w:rFonts w:ascii="Times New Roman" w:hAnsi="Times New Roman" w:eastAsia="宋体" w:cs="Times New Roman"/>
          <w:szCs w:val="22"/>
        </w:rPr>
        <w:t>3</w:t>
      </w:r>
      <w:r>
        <w:rPr>
          <w:rFonts w:hint="eastAsia" w:ascii="Times New Roman" w:hAnsi="Times New Roman" w:eastAsia="宋体" w:cs="Times New Roman"/>
          <w:szCs w:val="22"/>
        </w:rPr>
        <w:t>%。</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（5）混合型企业</w:t>
      </w:r>
      <w:r>
        <w:rPr>
          <w:rFonts w:ascii="Times New Roman" w:hAnsi="Times New Roman" w:eastAsia="宋体" w:cs="Times New Roman"/>
          <w:szCs w:val="22"/>
        </w:rPr>
        <w:t>hybrid processing enterprise</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具有盐渍泡菜加工方式，同时含盐水渍泡菜加工方式或其他盐渍类加工方式的蔬菜制品加工企业。</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（6）蔬菜盐渍生产加工设施  vegetable salted facilities</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 xml:space="preserve">    以蔬菜为主要原料，直接使用食盐或食盐水盐渍生产泡菜粗加工产品的设施</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w:t>
      </w:r>
      <w:r>
        <w:rPr>
          <w:rFonts w:ascii="Times New Roman" w:hAnsi="Times New Roman" w:eastAsia="宋体" w:cs="Times New Roman"/>
          <w:szCs w:val="22"/>
        </w:rPr>
        <w:t>7</w:t>
      </w:r>
      <w:r>
        <w:rPr>
          <w:rFonts w:hint="eastAsia" w:ascii="Times New Roman" w:hAnsi="Times New Roman" w:eastAsia="宋体" w:cs="Times New Roman"/>
          <w:szCs w:val="22"/>
        </w:rPr>
        <w:t>）污水集中处理设施 concentrated wastewater treatment facility</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为两家及两家以上排污单位提供污水处理服务的企业或机构，包括各种规模和类型的城镇污水集中处理设施、工业集聚区（各类工业园区、开发区、出口加工区等）污水集中处理设施，以及其他由两家及两家以上排污单位共用的污水处理设施等。</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w:t>
      </w:r>
      <w:r>
        <w:rPr>
          <w:rFonts w:ascii="Times New Roman" w:hAnsi="Times New Roman" w:eastAsia="宋体" w:cs="Times New Roman"/>
          <w:szCs w:val="22"/>
        </w:rPr>
        <w:t>8</w:t>
      </w:r>
      <w:r>
        <w:rPr>
          <w:rFonts w:hint="eastAsia" w:ascii="Times New Roman" w:hAnsi="Times New Roman" w:eastAsia="宋体" w:cs="Times New Roman"/>
          <w:szCs w:val="22"/>
        </w:rPr>
        <w:t>）直接排放 direct discharge</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指排污单位直接向环境水体排放水污染物的行为</w:t>
      </w:r>
      <w:r>
        <w:rPr>
          <w:rFonts w:ascii="Times New Roman" w:hAnsi="Times New Roman" w:eastAsia="宋体" w:cs="Times New Roman"/>
          <w:szCs w:val="22"/>
        </w:rPr>
        <w:t>。</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w:t>
      </w:r>
      <w:r>
        <w:rPr>
          <w:rFonts w:ascii="Times New Roman" w:hAnsi="Times New Roman" w:eastAsia="宋体" w:cs="Times New Roman"/>
          <w:szCs w:val="22"/>
        </w:rPr>
        <w:t>9</w:t>
      </w:r>
      <w:r>
        <w:rPr>
          <w:rFonts w:hint="eastAsia" w:ascii="Times New Roman" w:hAnsi="Times New Roman" w:eastAsia="宋体" w:cs="Times New Roman"/>
          <w:szCs w:val="22"/>
        </w:rPr>
        <w:t>）间接排放 indirect discharge</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指排污单位向污水集中处理设施排放水污染物的行为。</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w:t>
      </w:r>
      <w:r>
        <w:rPr>
          <w:rFonts w:ascii="Times New Roman" w:hAnsi="Times New Roman" w:eastAsia="宋体" w:cs="Times New Roman"/>
          <w:szCs w:val="22"/>
        </w:rPr>
        <w:t>10</w:t>
      </w:r>
      <w:r>
        <w:rPr>
          <w:rFonts w:hint="eastAsia" w:ascii="Times New Roman" w:hAnsi="Times New Roman" w:eastAsia="宋体" w:cs="Times New Roman"/>
          <w:szCs w:val="22"/>
        </w:rPr>
        <w:t>）现有企业 existing facility</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指在本标准实施之日前，已建成投产或环境影响评价文件已通过审批的泡菜企业或生产设施</w:t>
      </w:r>
      <w:r>
        <w:rPr>
          <w:rFonts w:ascii="Times New Roman" w:hAnsi="Times New Roman" w:eastAsia="宋体" w:cs="Times New Roman"/>
          <w:szCs w:val="22"/>
        </w:rPr>
        <w:t>。</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（1</w:t>
      </w:r>
      <w:r>
        <w:rPr>
          <w:rFonts w:ascii="Times New Roman" w:hAnsi="Times New Roman" w:eastAsia="宋体" w:cs="Times New Roman"/>
          <w:szCs w:val="22"/>
        </w:rPr>
        <w:t>1</w:t>
      </w:r>
      <w:r>
        <w:rPr>
          <w:rFonts w:hint="eastAsia" w:ascii="Times New Roman" w:hAnsi="Times New Roman" w:eastAsia="宋体" w:cs="Times New Roman"/>
          <w:szCs w:val="22"/>
        </w:rPr>
        <w:t>）新建企业 new facility</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指在本标准实施之日起，环境影响评价文件通过审批的新建、改建和扩建的泡菜生产设施建设项目。</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（1</w:t>
      </w:r>
      <w:r>
        <w:rPr>
          <w:rFonts w:ascii="Times New Roman" w:hAnsi="Times New Roman" w:eastAsia="宋体" w:cs="Times New Roman"/>
          <w:szCs w:val="22"/>
        </w:rPr>
        <w:t>2</w:t>
      </w:r>
      <w:r>
        <w:rPr>
          <w:rFonts w:hint="eastAsia" w:ascii="Times New Roman" w:hAnsi="Times New Roman" w:eastAsia="宋体" w:cs="Times New Roman"/>
          <w:szCs w:val="22"/>
        </w:rPr>
        <w:t>）氯化物 chloride</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指溶于水中形成离子态的氯化钠（NaCl）、氯化钾（KCl）、氯化镁（MgCl</w:t>
      </w:r>
      <w:r>
        <w:rPr>
          <w:rFonts w:ascii="Times New Roman" w:hAnsi="Times New Roman" w:eastAsia="宋体" w:cs="Times New Roman"/>
          <w:szCs w:val="22"/>
        </w:rPr>
        <w:t>2</w:t>
      </w:r>
      <w:r>
        <w:rPr>
          <w:rFonts w:hint="eastAsia" w:ascii="Times New Roman" w:hAnsi="Times New Roman" w:eastAsia="宋体" w:cs="Times New Roman"/>
          <w:szCs w:val="22"/>
        </w:rPr>
        <w:t>）、氯化钙（CaCl</w:t>
      </w:r>
      <w:r>
        <w:rPr>
          <w:rFonts w:ascii="Times New Roman" w:hAnsi="Times New Roman" w:eastAsia="宋体" w:cs="Times New Roman"/>
          <w:szCs w:val="22"/>
        </w:rPr>
        <w:t>2</w:t>
      </w:r>
      <w:r>
        <w:rPr>
          <w:rFonts w:hint="eastAsia" w:ascii="Times New Roman" w:hAnsi="Times New Roman" w:eastAsia="宋体" w:cs="Times New Roman"/>
          <w:szCs w:val="22"/>
        </w:rPr>
        <w:t>）等含氯化合物。</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（1</w:t>
      </w:r>
      <w:r>
        <w:rPr>
          <w:rFonts w:ascii="Times New Roman" w:hAnsi="Times New Roman" w:eastAsia="宋体" w:cs="Times New Roman"/>
          <w:szCs w:val="22"/>
        </w:rPr>
        <w:t>3</w:t>
      </w:r>
      <w:r>
        <w:rPr>
          <w:rFonts w:hint="eastAsia" w:ascii="Times New Roman" w:hAnsi="Times New Roman" w:eastAsia="宋体" w:cs="Times New Roman"/>
          <w:szCs w:val="22"/>
        </w:rPr>
        <w:t>）排水量 effluent volume</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指生产设施或企业向企业法定边界以外排放的废水的量，包括与生产有直接或间接关系的各种外排废水（含厂区生活污水、冷却废水、厂区锅炉和电站排水等）。</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（1</w:t>
      </w:r>
      <w:r>
        <w:rPr>
          <w:rFonts w:ascii="Times New Roman" w:hAnsi="Times New Roman" w:eastAsia="宋体" w:cs="Times New Roman"/>
          <w:szCs w:val="22"/>
        </w:rPr>
        <w:t>4</w:t>
      </w:r>
      <w:r>
        <w:rPr>
          <w:rFonts w:hint="eastAsia" w:ascii="Times New Roman" w:hAnsi="Times New Roman" w:eastAsia="宋体" w:cs="Times New Roman"/>
          <w:szCs w:val="22"/>
        </w:rPr>
        <w:t>）单位产品基准排水量 benchmark effluent volume per unit product</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用于核定水污染物排放浓度而规定的生产单位产品的废水排放量上限值。</w:t>
      </w:r>
    </w:p>
    <w:p>
      <w:pPr>
        <w:keepNext/>
        <w:keepLines/>
        <w:spacing w:before="120" w:after="120" w:line="415" w:lineRule="auto"/>
        <w:jc w:val="left"/>
        <w:outlineLvl w:val="1"/>
        <w:rPr>
          <w:rFonts w:ascii="Times New Roman" w:hAnsi="Times New Roman" w:eastAsia="宋体" w:cs="Times New Roman"/>
          <w:b/>
          <w:bCs/>
          <w:sz w:val="30"/>
          <w:szCs w:val="32"/>
        </w:rPr>
      </w:pPr>
      <w:bookmarkStart w:id="48" w:name="_Toc76386127"/>
      <w:r>
        <w:rPr>
          <w:rFonts w:hint="eastAsia" w:ascii="Times New Roman" w:hAnsi="Times New Roman" w:eastAsia="宋体" w:cs="Times New Roman"/>
          <w:b/>
          <w:bCs/>
          <w:sz w:val="30"/>
          <w:szCs w:val="32"/>
        </w:rPr>
        <w:t>6.4污染物项目的选择</w:t>
      </w:r>
      <w:bookmarkEnd w:id="48"/>
    </w:p>
    <w:p>
      <w:pPr>
        <w:keepNext/>
        <w:keepLines/>
        <w:spacing w:before="156" w:beforeLines="50" w:after="156" w:afterLines="50" w:line="360" w:lineRule="auto"/>
        <w:jc w:val="left"/>
        <w:outlineLvl w:val="2"/>
        <w:rPr>
          <w:rFonts w:ascii="Times New Roman" w:hAnsi="Times New Roman" w:eastAsia="宋体" w:cs="Times New Roman"/>
          <w:b/>
          <w:bCs/>
          <w:sz w:val="28"/>
          <w:szCs w:val="32"/>
        </w:rPr>
      </w:pPr>
      <w:bookmarkStart w:id="49" w:name="_Toc76386128"/>
      <w:r>
        <w:rPr>
          <w:rFonts w:hint="eastAsia" w:ascii="Times New Roman" w:hAnsi="Times New Roman" w:eastAsia="宋体" w:cs="Times New Roman"/>
          <w:b/>
          <w:bCs/>
          <w:sz w:val="28"/>
          <w:szCs w:val="32"/>
        </w:rPr>
        <w:t>6.4.1泡菜工业水污染物梳理</w:t>
      </w:r>
      <w:bookmarkEnd w:id="49"/>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分析泡菜工业的原料使用、生产工艺流程以及污水处理药剂投加等方面，并征求专家意见，选取了9项可能出现的污染物指标，具体监测项目如表6-1所示。</w:t>
      </w:r>
    </w:p>
    <w:p>
      <w:pPr>
        <w:jc w:val="center"/>
        <w:rPr>
          <w:rFonts w:ascii="Times New Roman" w:hAnsi="Times New Roman" w:eastAsia="宋体" w:cs="Times New Roman"/>
          <w:b/>
          <w:bCs/>
          <w:sz w:val="18"/>
          <w:szCs w:val="32"/>
        </w:rPr>
      </w:pPr>
      <w:r>
        <w:rPr>
          <w:rFonts w:hint="eastAsia" w:ascii="Times New Roman" w:hAnsi="Times New Roman" w:eastAsia="宋体" w:cs="Times New Roman"/>
          <w:b/>
          <w:bCs/>
          <w:sz w:val="18"/>
          <w:szCs w:val="32"/>
        </w:rPr>
        <w:t>表6-1泡菜废水污染物监测项目</w:t>
      </w:r>
    </w:p>
    <w:tbl>
      <w:tblPr>
        <w:tblStyle w:val="25"/>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384"/>
        <w:gridCol w:w="2876"/>
        <w:gridCol w:w="1518"/>
        <w:gridCol w:w="274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84" w:type="dxa"/>
          </w:tcPr>
          <w:p>
            <w:pPr>
              <w:jc w:val="center"/>
              <w:rPr>
                <w:rFonts w:ascii="Times New Roman" w:hAnsi="Times New Roman" w:eastAsia="宋体" w:cs="Times New Roman"/>
                <w:b/>
                <w:sz w:val="18"/>
                <w:szCs w:val="22"/>
              </w:rPr>
            </w:pPr>
            <w:r>
              <w:rPr>
                <w:rFonts w:hint="eastAsia" w:ascii="Times New Roman" w:hAnsi="Times New Roman" w:eastAsia="宋体" w:cs="Times New Roman"/>
                <w:b/>
                <w:sz w:val="18"/>
                <w:szCs w:val="22"/>
              </w:rPr>
              <w:t>序号</w:t>
            </w:r>
          </w:p>
        </w:tc>
        <w:tc>
          <w:tcPr>
            <w:tcW w:w="2876" w:type="dxa"/>
          </w:tcPr>
          <w:p>
            <w:pPr>
              <w:jc w:val="center"/>
              <w:rPr>
                <w:rFonts w:ascii="Times New Roman" w:hAnsi="Times New Roman" w:eastAsia="宋体" w:cs="Times New Roman"/>
                <w:b/>
                <w:sz w:val="18"/>
                <w:szCs w:val="22"/>
              </w:rPr>
            </w:pPr>
            <w:r>
              <w:rPr>
                <w:rFonts w:hint="eastAsia" w:ascii="Times New Roman" w:hAnsi="Times New Roman" w:eastAsia="宋体" w:cs="Times New Roman"/>
                <w:b/>
                <w:sz w:val="18"/>
                <w:szCs w:val="22"/>
              </w:rPr>
              <w:t>污染物项目</w:t>
            </w:r>
          </w:p>
        </w:tc>
        <w:tc>
          <w:tcPr>
            <w:tcW w:w="1518" w:type="dxa"/>
          </w:tcPr>
          <w:p>
            <w:pPr>
              <w:jc w:val="center"/>
              <w:rPr>
                <w:rFonts w:ascii="Times New Roman" w:hAnsi="Times New Roman" w:eastAsia="宋体" w:cs="Times New Roman"/>
                <w:b/>
                <w:sz w:val="18"/>
                <w:szCs w:val="22"/>
              </w:rPr>
            </w:pPr>
            <w:r>
              <w:rPr>
                <w:rFonts w:hint="eastAsia" w:ascii="Times New Roman" w:hAnsi="Times New Roman" w:eastAsia="宋体" w:cs="Times New Roman"/>
                <w:b/>
                <w:sz w:val="18"/>
                <w:szCs w:val="22"/>
              </w:rPr>
              <w:t>序号</w:t>
            </w:r>
          </w:p>
        </w:tc>
        <w:tc>
          <w:tcPr>
            <w:tcW w:w="2744" w:type="dxa"/>
          </w:tcPr>
          <w:p>
            <w:pPr>
              <w:jc w:val="center"/>
              <w:rPr>
                <w:rFonts w:ascii="Times New Roman" w:hAnsi="Times New Roman" w:eastAsia="宋体" w:cs="Times New Roman"/>
                <w:b/>
                <w:sz w:val="18"/>
                <w:szCs w:val="22"/>
              </w:rPr>
            </w:pPr>
            <w:r>
              <w:rPr>
                <w:rFonts w:hint="eastAsia" w:ascii="Times New Roman" w:hAnsi="Times New Roman" w:eastAsia="宋体" w:cs="Times New Roman"/>
                <w:b/>
                <w:sz w:val="18"/>
                <w:szCs w:val="22"/>
              </w:rPr>
              <w:t>污染物项目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84" w:type="dxa"/>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1</w:t>
            </w:r>
          </w:p>
        </w:tc>
        <w:tc>
          <w:tcPr>
            <w:tcW w:w="2876" w:type="dxa"/>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pH值</w:t>
            </w:r>
          </w:p>
        </w:tc>
        <w:tc>
          <w:tcPr>
            <w:tcW w:w="1518" w:type="dxa"/>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6</w:t>
            </w:r>
          </w:p>
        </w:tc>
        <w:tc>
          <w:tcPr>
            <w:tcW w:w="2744" w:type="dxa"/>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氨氮（</w:t>
            </w:r>
            <w:r>
              <w:rPr>
                <w:rFonts w:ascii="Times New Roman" w:hAnsi="Times New Roman" w:eastAsia="宋体" w:cs="Times New Roman"/>
                <w:sz w:val="18"/>
                <w:szCs w:val="22"/>
              </w:rPr>
              <w:t>NH</w:t>
            </w:r>
            <w:r>
              <w:rPr>
                <w:rFonts w:ascii="Times New Roman" w:hAnsi="Times New Roman" w:eastAsia="宋体" w:cs="Times New Roman"/>
                <w:sz w:val="18"/>
                <w:szCs w:val="22"/>
                <w:vertAlign w:val="subscript"/>
              </w:rPr>
              <w:t>3</w:t>
            </w:r>
            <w:r>
              <w:rPr>
                <w:rFonts w:ascii="Times New Roman" w:hAnsi="Times New Roman" w:eastAsia="宋体" w:cs="Times New Roman"/>
                <w:sz w:val="18"/>
                <w:szCs w:val="22"/>
              </w:rPr>
              <w:t>-N</w:t>
            </w:r>
            <w:r>
              <w:rPr>
                <w:rFonts w:hint="eastAsia" w:ascii="Times New Roman" w:hAnsi="Times New Roman" w:eastAsia="宋体" w:cs="Times New Roman"/>
                <w:sz w:val="18"/>
                <w:szCs w:val="22"/>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84" w:type="dxa"/>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2</w:t>
            </w:r>
          </w:p>
        </w:tc>
        <w:tc>
          <w:tcPr>
            <w:tcW w:w="2876" w:type="dxa"/>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色度</w:t>
            </w:r>
          </w:p>
        </w:tc>
        <w:tc>
          <w:tcPr>
            <w:tcW w:w="1518" w:type="dxa"/>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7</w:t>
            </w:r>
          </w:p>
        </w:tc>
        <w:tc>
          <w:tcPr>
            <w:tcW w:w="2744" w:type="dxa"/>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总氮</w:t>
            </w:r>
            <w:r>
              <w:rPr>
                <w:rFonts w:hint="eastAsia" w:ascii="Times New Roman" w:hAnsi="Times New Roman" w:eastAsia="宋体" w:cs="Times New Roman"/>
                <w:sz w:val="18"/>
                <w:szCs w:val="22"/>
              </w:rPr>
              <w:t>（TN）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1384" w:type="dxa"/>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3</w:t>
            </w:r>
          </w:p>
        </w:tc>
        <w:tc>
          <w:tcPr>
            <w:tcW w:w="2876" w:type="dxa"/>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SS</w:t>
            </w:r>
          </w:p>
        </w:tc>
        <w:tc>
          <w:tcPr>
            <w:tcW w:w="1518" w:type="dxa"/>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8</w:t>
            </w:r>
          </w:p>
        </w:tc>
        <w:tc>
          <w:tcPr>
            <w:tcW w:w="2744" w:type="dxa"/>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总磷（</w:t>
            </w:r>
            <w:r>
              <w:rPr>
                <w:rFonts w:ascii="Times New Roman" w:hAnsi="Times New Roman" w:eastAsia="宋体" w:cs="Times New Roman"/>
                <w:sz w:val="18"/>
                <w:szCs w:val="22"/>
              </w:rPr>
              <w:t>TP</w:t>
            </w:r>
            <w:r>
              <w:rPr>
                <w:rFonts w:hint="eastAsia" w:ascii="Times New Roman" w:hAnsi="Times New Roman" w:eastAsia="宋体" w:cs="Times New Roman"/>
                <w:sz w:val="18"/>
                <w:szCs w:val="22"/>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84" w:type="dxa"/>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4</w:t>
            </w:r>
          </w:p>
        </w:tc>
        <w:tc>
          <w:tcPr>
            <w:tcW w:w="2876" w:type="dxa"/>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五日生化需氧量（BOD</w:t>
            </w:r>
            <w:r>
              <w:rPr>
                <w:rFonts w:hint="eastAsia" w:ascii="Times New Roman" w:hAnsi="Times New Roman" w:eastAsia="宋体" w:cs="Times New Roman"/>
                <w:sz w:val="18"/>
                <w:szCs w:val="22"/>
                <w:vertAlign w:val="subscript"/>
              </w:rPr>
              <w:t>5</w:t>
            </w:r>
            <w:r>
              <w:rPr>
                <w:rFonts w:hint="eastAsia" w:ascii="Times New Roman" w:hAnsi="Times New Roman" w:eastAsia="宋体" w:cs="Times New Roman"/>
                <w:sz w:val="18"/>
                <w:szCs w:val="22"/>
              </w:rPr>
              <w:t>）</w:t>
            </w:r>
          </w:p>
        </w:tc>
        <w:tc>
          <w:tcPr>
            <w:tcW w:w="1518" w:type="dxa"/>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9</w:t>
            </w:r>
          </w:p>
        </w:tc>
        <w:tc>
          <w:tcPr>
            <w:tcW w:w="2744" w:type="dxa"/>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氯化物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84" w:type="dxa"/>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5</w:t>
            </w:r>
          </w:p>
        </w:tc>
        <w:tc>
          <w:tcPr>
            <w:tcW w:w="2876" w:type="dxa"/>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化学需氧量（COD</w:t>
            </w:r>
            <w:r>
              <w:rPr>
                <w:rFonts w:hint="eastAsia" w:ascii="Times New Roman" w:hAnsi="Times New Roman" w:eastAsia="宋体" w:cs="Times New Roman"/>
                <w:sz w:val="18"/>
                <w:szCs w:val="22"/>
                <w:vertAlign w:val="subscript"/>
              </w:rPr>
              <w:t>Cr</w:t>
            </w:r>
            <w:r>
              <w:rPr>
                <w:rFonts w:hint="eastAsia" w:ascii="Times New Roman" w:hAnsi="Times New Roman" w:eastAsia="宋体" w:cs="Times New Roman"/>
                <w:sz w:val="18"/>
                <w:szCs w:val="22"/>
              </w:rPr>
              <w:t>）</w:t>
            </w:r>
          </w:p>
        </w:tc>
        <w:tc>
          <w:tcPr>
            <w:tcW w:w="1518" w:type="dxa"/>
          </w:tcPr>
          <w:p>
            <w:pPr>
              <w:jc w:val="center"/>
              <w:rPr>
                <w:rFonts w:ascii="Times New Roman" w:hAnsi="Times New Roman" w:eastAsia="宋体" w:cs="Times New Roman"/>
                <w:sz w:val="18"/>
                <w:szCs w:val="22"/>
              </w:rPr>
            </w:pPr>
          </w:p>
        </w:tc>
        <w:tc>
          <w:tcPr>
            <w:tcW w:w="2744" w:type="dxa"/>
            <w:vAlign w:val="center"/>
          </w:tcPr>
          <w:p>
            <w:pPr>
              <w:jc w:val="center"/>
              <w:rPr>
                <w:rFonts w:ascii="Times New Roman" w:hAnsi="Times New Roman" w:eastAsia="宋体" w:cs="Times New Roman"/>
                <w:sz w:val="18"/>
                <w:szCs w:val="22"/>
              </w:rPr>
            </w:pPr>
          </w:p>
        </w:tc>
      </w:tr>
    </w:tbl>
    <w:p>
      <w:pPr>
        <w:keepNext/>
        <w:keepLines/>
        <w:spacing w:before="156" w:beforeLines="50" w:after="156" w:afterLines="50" w:line="360" w:lineRule="auto"/>
        <w:jc w:val="left"/>
        <w:outlineLvl w:val="2"/>
        <w:rPr>
          <w:rFonts w:ascii="Times New Roman" w:hAnsi="Times New Roman" w:eastAsia="宋体" w:cs="Times New Roman"/>
          <w:b/>
          <w:bCs/>
          <w:sz w:val="28"/>
          <w:szCs w:val="32"/>
        </w:rPr>
      </w:pPr>
      <w:bookmarkStart w:id="50" w:name="_Toc76386129"/>
      <w:r>
        <w:rPr>
          <w:rFonts w:hint="eastAsia" w:ascii="Times New Roman" w:hAnsi="Times New Roman" w:eastAsia="宋体" w:cs="Times New Roman"/>
          <w:b/>
          <w:bCs/>
          <w:sz w:val="28"/>
          <w:szCs w:val="32"/>
        </w:rPr>
        <w:t>6.4.2标准污染物项目选择说明</w:t>
      </w:r>
      <w:bookmarkEnd w:id="50"/>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（1）pH值</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pH 是泡菜污水的重要指标，pH 偏碱或者偏酸对后续污水处理影响很大，尤其是对采用生物法处理的工艺，可能会直接破坏污水处理系统中的活性污泥稳定性，酸碱污水排入外环境也会造成极大的生态风险。因此，将 pH 作为《四川省泡菜工业水污染物排放标准》的控制项目。</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（2）色度</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泡菜工业中使用大量食盐对蔬菜进行腌制加工，各工段产生废水色度较大，造成排水呈现出颜色，从而降低水体的透明度，大量消耗水中的氧，造成水体缺氧，影响水生生物和微生物生长，破坏水体自净，同时易造成视觉上的污染。因此，将</w:t>
      </w:r>
      <w:r>
        <w:rPr>
          <w:rFonts w:hint="eastAsia" w:ascii="Times New Roman" w:hAnsi="Times New Roman" w:eastAsia="宋体" w:cs="Times New Roman"/>
          <w:szCs w:val="21"/>
        </w:rPr>
        <w:t>色度</w:t>
      </w:r>
      <w:r>
        <w:rPr>
          <w:rFonts w:hint="eastAsia" w:ascii="Times New Roman" w:hAnsi="Times New Roman" w:eastAsia="宋体" w:cs="Times New Roman"/>
          <w:szCs w:val="22"/>
        </w:rPr>
        <w:t>作为《四川省泡菜工业水污染物排放标准》的控制指标。</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（3）悬浮物</w:t>
      </w:r>
      <w:r>
        <w:rPr>
          <w:rFonts w:ascii="Times New Roman" w:hAnsi="Times New Roman" w:eastAsia="宋体" w:cs="Times New Roman"/>
          <w:szCs w:val="22"/>
        </w:rPr>
        <w:t>（</w:t>
      </w:r>
      <w:r>
        <w:rPr>
          <w:rFonts w:hint="eastAsia" w:ascii="Times New Roman" w:hAnsi="Times New Roman" w:eastAsia="宋体" w:cs="Times New Roman"/>
          <w:szCs w:val="22"/>
        </w:rPr>
        <w:t>SS</w:t>
      </w:r>
      <w:r>
        <w:rPr>
          <w:rFonts w:ascii="Times New Roman" w:hAnsi="Times New Roman" w:eastAsia="宋体" w:cs="Times New Roman"/>
          <w:szCs w:val="22"/>
        </w:rPr>
        <w:t>）</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由于生产</w:t>
      </w:r>
      <w:r>
        <w:rPr>
          <w:rFonts w:ascii="Times New Roman" w:hAnsi="Times New Roman" w:eastAsia="宋体" w:cs="Times New Roman"/>
          <w:szCs w:val="22"/>
        </w:rPr>
        <w:t>工艺过程中，需要对</w:t>
      </w:r>
      <w:r>
        <w:rPr>
          <w:rFonts w:hint="eastAsia" w:ascii="Times New Roman" w:hAnsi="Times New Roman" w:eastAsia="宋体" w:cs="Times New Roman"/>
          <w:szCs w:val="22"/>
        </w:rPr>
        <w:t>泡菜</w:t>
      </w:r>
      <w:r>
        <w:rPr>
          <w:rFonts w:ascii="Times New Roman" w:hAnsi="Times New Roman" w:eastAsia="宋体" w:cs="Times New Roman"/>
          <w:szCs w:val="22"/>
        </w:rPr>
        <w:t>进行清洗，</w:t>
      </w:r>
      <w:r>
        <w:rPr>
          <w:rFonts w:hint="eastAsia" w:ascii="Times New Roman" w:hAnsi="Times New Roman" w:eastAsia="宋体" w:cs="Times New Roman"/>
          <w:szCs w:val="22"/>
        </w:rPr>
        <w:t>从而</w:t>
      </w:r>
      <w:r>
        <w:rPr>
          <w:rFonts w:ascii="Times New Roman" w:hAnsi="Times New Roman" w:eastAsia="宋体" w:cs="Times New Roman"/>
          <w:szCs w:val="22"/>
        </w:rPr>
        <w:t>含有一定的悬浮物，其主要成分为无机物和有机物</w:t>
      </w:r>
      <w:r>
        <w:rPr>
          <w:rFonts w:hint="eastAsia" w:ascii="Times New Roman" w:hAnsi="Times New Roman" w:eastAsia="宋体" w:cs="Times New Roman"/>
          <w:szCs w:val="22"/>
        </w:rPr>
        <w:t>。</w:t>
      </w:r>
      <w:r>
        <w:rPr>
          <w:rFonts w:ascii="Times New Roman" w:hAnsi="Times New Roman" w:eastAsia="宋体" w:cs="Times New Roman"/>
          <w:szCs w:val="22"/>
        </w:rPr>
        <w:t>悬浮物</w:t>
      </w:r>
      <w:r>
        <w:rPr>
          <w:rFonts w:hint="eastAsia" w:ascii="Times New Roman" w:hAnsi="Times New Roman" w:eastAsia="宋体" w:cs="Times New Roman"/>
          <w:szCs w:val="22"/>
        </w:rPr>
        <w:t>的</w:t>
      </w:r>
      <w:r>
        <w:rPr>
          <w:rFonts w:ascii="Times New Roman" w:hAnsi="Times New Roman" w:eastAsia="宋体" w:cs="Times New Roman"/>
          <w:szCs w:val="22"/>
        </w:rPr>
        <w:t>存在不</w:t>
      </w:r>
      <w:r>
        <w:rPr>
          <w:rFonts w:hint="eastAsia" w:ascii="Times New Roman" w:hAnsi="Times New Roman" w:eastAsia="宋体" w:cs="Times New Roman"/>
          <w:szCs w:val="22"/>
        </w:rPr>
        <w:t>仅</w:t>
      </w:r>
      <w:r>
        <w:rPr>
          <w:rFonts w:ascii="Times New Roman" w:hAnsi="Times New Roman" w:eastAsia="宋体" w:cs="Times New Roman"/>
          <w:szCs w:val="22"/>
        </w:rPr>
        <w:t>使水质浑浊，而且可能带有</w:t>
      </w:r>
      <w:r>
        <w:rPr>
          <w:rFonts w:hint="eastAsia" w:ascii="Times New Roman" w:hAnsi="Times New Roman" w:eastAsia="宋体" w:cs="Times New Roman"/>
          <w:szCs w:val="22"/>
        </w:rPr>
        <w:t>表观</w:t>
      </w:r>
      <w:r>
        <w:rPr>
          <w:rFonts w:ascii="Times New Roman" w:hAnsi="Times New Roman" w:eastAsia="宋体" w:cs="Times New Roman"/>
          <w:szCs w:val="22"/>
        </w:rPr>
        <w:t>色度。另外</w:t>
      </w:r>
      <w:r>
        <w:rPr>
          <w:rFonts w:hint="eastAsia" w:ascii="Times New Roman" w:hAnsi="Times New Roman" w:eastAsia="宋体" w:cs="Times New Roman"/>
          <w:szCs w:val="22"/>
        </w:rPr>
        <w:t>，</w:t>
      </w:r>
      <w:r>
        <w:rPr>
          <w:rFonts w:ascii="Times New Roman" w:hAnsi="Times New Roman" w:eastAsia="宋体" w:cs="Times New Roman"/>
          <w:szCs w:val="22"/>
        </w:rPr>
        <w:t>悬浮物聚集于水面将影响水体复氧，沉淀于水底会引起水体淤积，破坏水体底栖生物的</w:t>
      </w:r>
      <w:r>
        <w:rPr>
          <w:rFonts w:hint="eastAsia" w:ascii="Times New Roman" w:hAnsi="Times New Roman" w:eastAsia="宋体" w:cs="Times New Roman"/>
          <w:szCs w:val="22"/>
        </w:rPr>
        <w:t>生存</w:t>
      </w:r>
      <w:r>
        <w:rPr>
          <w:rFonts w:ascii="Times New Roman" w:hAnsi="Times New Roman" w:eastAsia="宋体" w:cs="Times New Roman"/>
          <w:szCs w:val="22"/>
        </w:rPr>
        <w:t>条件。因此</w:t>
      </w:r>
      <w:r>
        <w:rPr>
          <w:rFonts w:hint="eastAsia" w:ascii="Times New Roman" w:hAnsi="Times New Roman" w:eastAsia="宋体" w:cs="Times New Roman"/>
          <w:szCs w:val="22"/>
        </w:rPr>
        <w:t>，</w:t>
      </w:r>
      <w:r>
        <w:rPr>
          <w:rFonts w:ascii="Times New Roman" w:hAnsi="Times New Roman" w:eastAsia="宋体" w:cs="Times New Roman"/>
          <w:szCs w:val="22"/>
        </w:rPr>
        <w:t>悬浮物是</w:t>
      </w:r>
      <w:r>
        <w:rPr>
          <w:rFonts w:hint="eastAsia" w:ascii="Times New Roman" w:hAnsi="Times New Roman" w:eastAsia="宋体" w:cs="Times New Roman"/>
          <w:szCs w:val="22"/>
        </w:rPr>
        <w:t>废水</w:t>
      </w:r>
      <w:r>
        <w:rPr>
          <w:rFonts w:ascii="Times New Roman" w:hAnsi="Times New Roman" w:eastAsia="宋体" w:cs="Times New Roman"/>
          <w:szCs w:val="22"/>
        </w:rPr>
        <w:t>排放的基本控制项目。</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w:t>
      </w:r>
      <w:r>
        <w:rPr>
          <w:rFonts w:ascii="Times New Roman" w:hAnsi="Times New Roman" w:eastAsia="宋体" w:cs="Times New Roman"/>
          <w:szCs w:val="22"/>
        </w:rPr>
        <w:t>4</w:t>
      </w:r>
      <w:r>
        <w:rPr>
          <w:rFonts w:hint="eastAsia" w:ascii="Times New Roman" w:hAnsi="Times New Roman" w:eastAsia="宋体" w:cs="Times New Roman"/>
          <w:szCs w:val="22"/>
        </w:rPr>
        <w:t>）五日生化需氧量（B</w:t>
      </w:r>
      <w:r>
        <w:rPr>
          <w:rFonts w:ascii="Times New Roman" w:hAnsi="Times New Roman" w:eastAsia="宋体" w:cs="Times New Roman"/>
          <w:szCs w:val="22"/>
        </w:rPr>
        <w:t>OD</w:t>
      </w:r>
      <w:r>
        <w:rPr>
          <w:rFonts w:ascii="Times New Roman" w:hAnsi="Times New Roman" w:eastAsia="宋体" w:cs="Times New Roman"/>
          <w:szCs w:val="22"/>
          <w:vertAlign w:val="subscript"/>
        </w:rPr>
        <w:t>5</w:t>
      </w:r>
      <w:r>
        <w:rPr>
          <w:rFonts w:hint="eastAsia" w:ascii="Times New Roman" w:hAnsi="Times New Roman" w:eastAsia="宋体" w:cs="Times New Roman"/>
          <w:szCs w:val="22"/>
        </w:rPr>
        <w:t>）、化学需氧量</w:t>
      </w:r>
      <w:r>
        <w:rPr>
          <w:rFonts w:hint="eastAsia" w:ascii="Times New Roman" w:hAnsi="Times New Roman" w:eastAsia="宋体" w:cs="Times New Roman"/>
          <w:szCs w:val="21"/>
        </w:rPr>
        <w:t>（</w:t>
      </w:r>
      <w:r>
        <w:rPr>
          <w:rFonts w:ascii="Times New Roman" w:hAnsi="Times New Roman" w:eastAsia="宋体" w:cs="Times New Roman"/>
          <w:szCs w:val="21"/>
        </w:rPr>
        <w:t>COD</w:t>
      </w:r>
      <w:r>
        <w:rPr>
          <w:rFonts w:hint="eastAsia" w:ascii="Times New Roman" w:hAnsi="Times New Roman" w:eastAsia="宋体" w:cs="Times New Roman"/>
          <w:szCs w:val="21"/>
          <w:vertAlign w:val="subscript"/>
        </w:rPr>
        <w:t>Cr</w:t>
      </w:r>
      <w:r>
        <w:rPr>
          <w:rFonts w:hint="eastAsia" w:ascii="Times New Roman" w:hAnsi="Times New Roman" w:eastAsia="宋体" w:cs="Times New Roman"/>
          <w:szCs w:val="21"/>
        </w:rPr>
        <w:t>）</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泡菜生产</w:t>
      </w:r>
      <w:r>
        <w:rPr>
          <w:rFonts w:ascii="Times New Roman" w:hAnsi="Times New Roman" w:eastAsia="宋体" w:cs="Times New Roman"/>
          <w:szCs w:val="22"/>
        </w:rPr>
        <w:t>过程中，因存在对蔬菜的腌渍</w:t>
      </w:r>
      <w:r>
        <w:rPr>
          <w:rFonts w:hint="eastAsia" w:ascii="Times New Roman" w:hAnsi="Times New Roman" w:eastAsia="宋体" w:cs="Times New Roman"/>
          <w:szCs w:val="22"/>
        </w:rPr>
        <w:t>及</w:t>
      </w:r>
      <w:r>
        <w:rPr>
          <w:rFonts w:ascii="Times New Roman" w:hAnsi="Times New Roman" w:eastAsia="宋体" w:cs="Times New Roman"/>
          <w:szCs w:val="22"/>
        </w:rPr>
        <w:t>清洗工序，会产生大量的废水</w:t>
      </w:r>
      <w:r>
        <w:rPr>
          <w:rFonts w:hint="eastAsia" w:ascii="Times New Roman" w:hAnsi="Times New Roman" w:eastAsia="宋体" w:cs="Times New Roman"/>
          <w:szCs w:val="22"/>
        </w:rPr>
        <w:t>，</w:t>
      </w:r>
      <w:r>
        <w:rPr>
          <w:rFonts w:ascii="Times New Roman" w:hAnsi="Times New Roman" w:eastAsia="宋体" w:cs="Times New Roman"/>
          <w:szCs w:val="22"/>
        </w:rPr>
        <w:t>其中有机物含量相对较高。</w:t>
      </w:r>
      <w:r>
        <w:rPr>
          <w:rFonts w:hint="eastAsia" w:ascii="Times New Roman" w:hAnsi="Times New Roman" w:eastAsia="宋体" w:cs="Times New Roman"/>
          <w:szCs w:val="22"/>
        </w:rPr>
        <w:t>有机物是</w:t>
      </w:r>
      <w:r>
        <w:rPr>
          <w:rFonts w:ascii="Times New Roman" w:hAnsi="Times New Roman" w:eastAsia="宋体" w:cs="Times New Roman"/>
          <w:szCs w:val="22"/>
        </w:rPr>
        <w:t>废水的重要水质指标，当大量有机物进入水体后，在微生物的作用下进行氧化分解，从而使水中的溶解氧降低，影响鱼类的</w:t>
      </w:r>
      <w:r>
        <w:rPr>
          <w:rFonts w:hint="eastAsia" w:ascii="Times New Roman" w:hAnsi="Times New Roman" w:eastAsia="宋体" w:cs="Times New Roman"/>
          <w:szCs w:val="22"/>
        </w:rPr>
        <w:t>生存</w:t>
      </w:r>
      <w:r>
        <w:rPr>
          <w:rFonts w:ascii="Times New Roman" w:hAnsi="Times New Roman" w:eastAsia="宋体" w:cs="Times New Roman"/>
          <w:szCs w:val="22"/>
        </w:rPr>
        <w:t>。</w:t>
      </w:r>
      <w:r>
        <w:rPr>
          <w:rFonts w:hint="eastAsia" w:ascii="Times New Roman" w:hAnsi="Times New Roman" w:eastAsia="宋体" w:cs="Times New Roman"/>
          <w:szCs w:val="22"/>
        </w:rPr>
        <w:t>本标准采用B</w:t>
      </w:r>
      <w:r>
        <w:rPr>
          <w:rFonts w:ascii="Times New Roman" w:hAnsi="Times New Roman" w:eastAsia="宋体" w:cs="Times New Roman"/>
          <w:szCs w:val="22"/>
        </w:rPr>
        <w:t>OD</w:t>
      </w:r>
      <w:r>
        <w:rPr>
          <w:rFonts w:ascii="Times New Roman" w:hAnsi="Times New Roman" w:eastAsia="宋体" w:cs="Times New Roman"/>
          <w:szCs w:val="22"/>
          <w:vertAlign w:val="subscript"/>
        </w:rPr>
        <w:t>5</w:t>
      </w:r>
      <w:r>
        <w:rPr>
          <w:rFonts w:hint="eastAsia" w:ascii="Times New Roman" w:hAnsi="Times New Roman" w:eastAsia="宋体" w:cs="Times New Roman"/>
          <w:szCs w:val="22"/>
        </w:rPr>
        <w:t>、</w:t>
      </w:r>
      <w:r>
        <w:rPr>
          <w:rFonts w:ascii="Times New Roman" w:hAnsi="Times New Roman" w:eastAsia="宋体" w:cs="Times New Roman"/>
          <w:szCs w:val="21"/>
        </w:rPr>
        <w:t>COD</w:t>
      </w:r>
      <w:r>
        <w:rPr>
          <w:rFonts w:hint="eastAsia" w:ascii="Times New Roman" w:hAnsi="Times New Roman" w:eastAsia="宋体" w:cs="Times New Roman"/>
          <w:szCs w:val="21"/>
          <w:vertAlign w:val="subscript"/>
        </w:rPr>
        <w:t>Cr</w:t>
      </w:r>
      <w:r>
        <w:rPr>
          <w:rFonts w:hint="eastAsia" w:ascii="Times New Roman" w:hAnsi="Times New Roman" w:eastAsia="宋体" w:cs="Times New Roman"/>
          <w:szCs w:val="22"/>
        </w:rPr>
        <w:t>两个</w:t>
      </w:r>
      <w:r>
        <w:rPr>
          <w:rFonts w:ascii="Times New Roman" w:hAnsi="Times New Roman" w:eastAsia="宋体" w:cs="Times New Roman"/>
          <w:szCs w:val="22"/>
        </w:rPr>
        <w:t>指标，从不同的角度对泡菜废水中的有机物给予控制。</w:t>
      </w:r>
      <w:r>
        <w:rPr>
          <w:rFonts w:hint="eastAsia" w:ascii="Times New Roman" w:hAnsi="Times New Roman" w:eastAsia="宋体" w:cs="Times New Roman"/>
          <w:szCs w:val="22"/>
        </w:rPr>
        <w:t>其中</w:t>
      </w:r>
      <w:r>
        <w:rPr>
          <w:rFonts w:ascii="Times New Roman" w:hAnsi="Times New Roman" w:eastAsia="宋体" w:cs="Times New Roman"/>
          <w:szCs w:val="22"/>
        </w:rPr>
        <w:t>，</w:t>
      </w:r>
      <w:r>
        <w:rPr>
          <w:rFonts w:ascii="Times New Roman" w:hAnsi="Times New Roman" w:eastAsia="宋体" w:cs="Times New Roman"/>
          <w:szCs w:val="21"/>
        </w:rPr>
        <w:t>COD</w:t>
      </w:r>
      <w:r>
        <w:rPr>
          <w:rFonts w:hint="eastAsia" w:ascii="Times New Roman" w:hAnsi="Times New Roman" w:eastAsia="宋体" w:cs="Times New Roman"/>
          <w:szCs w:val="21"/>
          <w:vertAlign w:val="subscript"/>
        </w:rPr>
        <w:t>Cr</w:t>
      </w:r>
      <w:r>
        <w:rPr>
          <w:rFonts w:hint="eastAsia" w:ascii="Times New Roman" w:hAnsi="Times New Roman" w:eastAsia="宋体" w:cs="Times New Roman"/>
          <w:szCs w:val="22"/>
        </w:rPr>
        <w:t>表示</w:t>
      </w:r>
      <w:r>
        <w:rPr>
          <w:rFonts w:ascii="Times New Roman" w:hAnsi="Times New Roman" w:eastAsia="宋体" w:cs="Times New Roman"/>
          <w:szCs w:val="22"/>
        </w:rPr>
        <w:t>的有机物量接近</w:t>
      </w:r>
      <w:r>
        <w:rPr>
          <w:rFonts w:hint="eastAsia" w:ascii="Times New Roman" w:hAnsi="Times New Roman" w:eastAsia="宋体" w:cs="Times New Roman"/>
          <w:szCs w:val="22"/>
        </w:rPr>
        <w:t>废水</w:t>
      </w:r>
      <w:r>
        <w:rPr>
          <w:rFonts w:ascii="Times New Roman" w:hAnsi="Times New Roman" w:eastAsia="宋体" w:cs="Times New Roman"/>
          <w:szCs w:val="22"/>
        </w:rPr>
        <w:t>中有机物总量，用以评价水产品</w:t>
      </w:r>
      <w:r>
        <w:rPr>
          <w:rFonts w:hint="eastAsia" w:ascii="Times New Roman" w:hAnsi="Times New Roman" w:eastAsia="宋体" w:cs="Times New Roman"/>
          <w:szCs w:val="22"/>
        </w:rPr>
        <w:t>加工</w:t>
      </w:r>
      <w:r>
        <w:rPr>
          <w:rFonts w:ascii="Times New Roman" w:hAnsi="Times New Roman" w:eastAsia="宋体" w:cs="Times New Roman"/>
          <w:szCs w:val="22"/>
        </w:rPr>
        <w:t>废水处理前后的水质情况。</w:t>
      </w:r>
      <w:r>
        <w:rPr>
          <w:rFonts w:hint="eastAsia" w:ascii="Times New Roman" w:hAnsi="Times New Roman" w:eastAsia="宋体" w:cs="Times New Roman"/>
          <w:szCs w:val="22"/>
        </w:rPr>
        <w:t>B</w:t>
      </w:r>
      <w:r>
        <w:rPr>
          <w:rFonts w:ascii="Times New Roman" w:hAnsi="Times New Roman" w:eastAsia="宋体" w:cs="Times New Roman"/>
          <w:szCs w:val="22"/>
        </w:rPr>
        <w:t>OD</w:t>
      </w:r>
      <w:r>
        <w:rPr>
          <w:rFonts w:ascii="Times New Roman" w:hAnsi="Times New Roman" w:eastAsia="宋体" w:cs="Times New Roman"/>
          <w:szCs w:val="22"/>
          <w:vertAlign w:val="subscript"/>
        </w:rPr>
        <w:t>5</w:t>
      </w:r>
      <w:r>
        <w:rPr>
          <w:rFonts w:hint="eastAsia" w:ascii="Times New Roman" w:hAnsi="Times New Roman" w:eastAsia="宋体" w:cs="Times New Roman"/>
          <w:szCs w:val="22"/>
        </w:rPr>
        <w:t>的</w:t>
      </w:r>
      <w:r>
        <w:rPr>
          <w:rFonts w:ascii="Times New Roman" w:hAnsi="Times New Roman" w:eastAsia="宋体" w:cs="Times New Roman"/>
          <w:szCs w:val="22"/>
        </w:rPr>
        <w:t>内容范围类同</w:t>
      </w:r>
      <w:r>
        <w:rPr>
          <w:rFonts w:ascii="Times New Roman" w:hAnsi="Times New Roman" w:eastAsia="宋体" w:cs="Times New Roman"/>
          <w:szCs w:val="21"/>
        </w:rPr>
        <w:t>COD</w:t>
      </w:r>
      <w:r>
        <w:rPr>
          <w:rFonts w:hint="eastAsia" w:ascii="Times New Roman" w:hAnsi="Times New Roman" w:eastAsia="宋体" w:cs="Times New Roman"/>
          <w:szCs w:val="21"/>
          <w:vertAlign w:val="subscript"/>
        </w:rPr>
        <w:t>Cr</w:t>
      </w:r>
      <w:r>
        <w:rPr>
          <w:rFonts w:hint="eastAsia" w:ascii="Times New Roman" w:hAnsi="Times New Roman" w:eastAsia="宋体" w:cs="Times New Roman"/>
          <w:szCs w:val="22"/>
        </w:rPr>
        <w:t>，</w:t>
      </w:r>
      <w:r>
        <w:rPr>
          <w:rFonts w:ascii="Times New Roman" w:hAnsi="Times New Roman" w:eastAsia="宋体" w:cs="Times New Roman"/>
          <w:szCs w:val="22"/>
        </w:rPr>
        <w:t>能够表征水体中可生物氧化的有机物含量，反映在一定条件下有机物进行生物氧化过程的难易程度和时间进程，对废水污染控制和生物处理过程有一定的指导作用。</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w:t>
      </w:r>
      <w:r>
        <w:rPr>
          <w:rFonts w:ascii="Times New Roman" w:hAnsi="Times New Roman" w:eastAsia="宋体" w:cs="Times New Roman"/>
          <w:szCs w:val="22"/>
        </w:rPr>
        <w:t>5</w:t>
      </w:r>
      <w:r>
        <w:rPr>
          <w:rFonts w:hint="eastAsia" w:ascii="Times New Roman" w:hAnsi="Times New Roman" w:eastAsia="宋体" w:cs="Times New Roman"/>
          <w:szCs w:val="22"/>
        </w:rPr>
        <w:t>）氨氮</w:t>
      </w:r>
      <w:r>
        <w:rPr>
          <w:rFonts w:hint="eastAsia" w:ascii="Times New Roman" w:hAnsi="Times New Roman" w:eastAsia="宋体" w:cs="Times New Roman"/>
          <w:szCs w:val="21"/>
        </w:rPr>
        <w:t>（</w:t>
      </w:r>
      <w:r>
        <w:rPr>
          <w:rFonts w:ascii="Times New Roman" w:hAnsi="Times New Roman" w:eastAsia="宋体" w:cs="Times New Roman"/>
          <w:szCs w:val="21"/>
        </w:rPr>
        <w:t>NH</w:t>
      </w:r>
      <w:r>
        <w:rPr>
          <w:rFonts w:ascii="Times New Roman" w:hAnsi="Times New Roman" w:eastAsia="宋体" w:cs="Times New Roman"/>
          <w:szCs w:val="21"/>
          <w:vertAlign w:val="subscript"/>
        </w:rPr>
        <w:t>3</w:t>
      </w:r>
      <w:r>
        <w:rPr>
          <w:rFonts w:ascii="Times New Roman" w:hAnsi="Times New Roman" w:eastAsia="宋体" w:cs="Times New Roman"/>
          <w:szCs w:val="21"/>
        </w:rPr>
        <w:t>-N</w:t>
      </w:r>
      <w:r>
        <w:rPr>
          <w:rFonts w:hint="eastAsia" w:ascii="Times New Roman" w:hAnsi="Times New Roman" w:eastAsia="宋体" w:cs="Times New Roman"/>
          <w:szCs w:val="21"/>
        </w:rPr>
        <w:t>）</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氨氮（NH</w:t>
      </w:r>
      <w:r>
        <w:rPr>
          <w:rFonts w:hint="eastAsia" w:ascii="Times New Roman" w:hAnsi="Times New Roman" w:eastAsia="宋体" w:cs="Times New Roman"/>
          <w:szCs w:val="22"/>
          <w:vertAlign w:val="subscript"/>
        </w:rPr>
        <w:t>3</w:t>
      </w:r>
      <w:r>
        <w:rPr>
          <w:rFonts w:hint="eastAsia" w:ascii="Times New Roman" w:hAnsi="Times New Roman" w:eastAsia="宋体" w:cs="Times New Roman"/>
          <w:szCs w:val="22"/>
        </w:rPr>
        <w:t>-N）以游离氨（NH</w:t>
      </w:r>
      <w:r>
        <w:rPr>
          <w:rFonts w:hint="eastAsia" w:ascii="Times New Roman" w:hAnsi="Times New Roman" w:eastAsia="宋体" w:cs="Times New Roman"/>
          <w:szCs w:val="22"/>
          <w:vertAlign w:val="subscript"/>
        </w:rPr>
        <w:t>3</w:t>
      </w:r>
      <w:r>
        <w:rPr>
          <w:rFonts w:hint="eastAsia" w:ascii="Times New Roman" w:hAnsi="Times New Roman" w:eastAsia="宋体" w:cs="Times New Roman"/>
          <w:szCs w:val="22"/>
        </w:rPr>
        <w:t>）或铵盐（NH</w:t>
      </w:r>
      <w:r>
        <w:rPr>
          <w:rFonts w:hint="eastAsia" w:ascii="Times New Roman" w:hAnsi="Times New Roman" w:eastAsia="宋体" w:cs="Times New Roman"/>
          <w:szCs w:val="22"/>
          <w:vertAlign w:val="subscript"/>
        </w:rPr>
        <w:t>4</w:t>
      </w:r>
      <w:r>
        <w:rPr>
          <w:rFonts w:hint="eastAsia" w:ascii="Times New Roman" w:hAnsi="Times New Roman" w:eastAsia="宋体" w:cs="Times New Roman"/>
          <w:szCs w:val="22"/>
          <w:vertAlign w:val="superscript"/>
        </w:rPr>
        <w:t>-</w:t>
      </w:r>
      <w:r>
        <w:rPr>
          <w:rFonts w:hint="eastAsia" w:ascii="Times New Roman" w:hAnsi="Times New Roman" w:eastAsia="宋体" w:cs="Times New Roman"/>
          <w:szCs w:val="22"/>
        </w:rPr>
        <w:t>）形式存在于水中，是水中常见污染物，水环境中存在过量的氨氮会造成水体富营养化，水中溶解氧浓度降低，导致水体发黑发臭，水质下降，对水生动植物的生存造成影响。因此，将</w:t>
      </w:r>
      <w:r>
        <w:rPr>
          <w:rFonts w:ascii="Times New Roman" w:hAnsi="Times New Roman" w:eastAsia="宋体" w:cs="Times New Roman"/>
          <w:szCs w:val="21"/>
        </w:rPr>
        <w:t>NH</w:t>
      </w:r>
      <w:r>
        <w:rPr>
          <w:rFonts w:ascii="Times New Roman" w:hAnsi="Times New Roman" w:eastAsia="宋体" w:cs="Times New Roman"/>
          <w:szCs w:val="21"/>
          <w:vertAlign w:val="subscript"/>
        </w:rPr>
        <w:t>3</w:t>
      </w:r>
      <w:r>
        <w:rPr>
          <w:rFonts w:ascii="Times New Roman" w:hAnsi="Times New Roman" w:eastAsia="宋体" w:cs="Times New Roman"/>
          <w:szCs w:val="21"/>
        </w:rPr>
        <w:t>-N</w:t>
      </w:r>
      <w:r>
        <w:rPr>
          <w:rFonts w:hint="eastAsia" w:ascii="Times New Roman" w:hAnsi="Times New Roman" w:eastAsia="宋体" w:cs="Times New Roman"/>
          <w:szCs w:val="22"/>
        </w:rPr>
        <w:t>作为《四川省泡菜工业水污染物排放标准》的控制指标。</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w:t>
      </w:r>
      <w:r>
        <w:rPr>
          <w:rFonts w:ascii="Times New Roman" w:hAnsi="Times New Roman" w:eastAsia="宋体" w:cs="Times New Roman"/>
          <w:szCs w:val="22"/>
        </w:rPr>
        <w:t>6</w:t>
      </w:r>
      <w:r>
        <w:rPr>
          <w:rFonts w:hint="eastAsia" w:ascii="Times New Roman" w:hAnsi="Times New Roman" w:eastAsia="宋体" w:cs="Times New Roman"/>
          <w:szCs w:val="22"/>
        </w:rPr>
        <w:t>）总氮</w:t>
      </w:r>
      <w:r>
        <w:rPr>
          <w:rFonts w:hint="eastAsia" w:ascii="Times New Roman" w:hAnsi="Times New Roman" w:eastAsia="宋体" w:cs="Times New Roman"/>
          <w:szCs w:val="21"/>
        </w:rPr>
        <w:t>（</w:t>
      </w:r>
      <w:r>
        <w:rPr>
          <w:rFonts w:ascii="Times New Roman" w:hAnsi="Times New Roman" w:eastAsia="宋体" w:cs="Times New Roman"/>
          <w:szCs w:val="21"/>
        </w:rPr>
        <w:t>TN</w:t>
      </w:r>
      <w:r>
        <w:rPr>
          <w:rFonts w:hint="eastAsia" w:ascii="Times New Roman" w:hAnsi="Times New Roman" w:eastAsia="宋体" w:cs="Times New Roman"/>
          <w:szCs w:val="21"/>
        </w:rPr>
        <w:t>）</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泡菜工业废水中的总氮包括有机氮、氨氮、亚硝酸盐氮和硝酸盐氮等几种形式，是常见的水污染物，水中氮元素的过量排放会引起水体富营养化，使藻类大量繁殖，使水质恶化，影响水生生物的生长与繁殖。因此，将</w:t>
      </w:r>
      <w:r>
        <w:rPr>
          <w:rFonts w:ascii="Times New Roman" w:hAnsi="Times New Roman" w:eastAsia="宋体" w:cs="Times New Roman"/>
          <w:szCs w:val="21"/>
        </w:rPr>
        <w:t>TN</w:t>
      </w:r>
      <w:r>
        <w:rPr>
          <w:rFonts w:hint="eastAsia" w:ascii="Times New Roman" w:hAnsi="Times New Roman" w:eastAsia="宋体" w:cs="Times New Roman"/>
          <w:szCs w:val="22"/>
        </w:rPr>
        <w:t>作为《四川省泡菜工业水污染物排放标准》的控制指标。</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w:t>
      </w:r>
      <w:r>
        <w:rPr>
          <w:rFonts w:ascii="Times New Roman" w:hAnsi="Times New Roman" w:eastAsia="宋体" w:cs="Times New Roman"/>
          <w:szCs w:val="22"/>
        </w:rPr>
        <w:t>7</w:t>
      </w:r>
      <w:r>
        <w:rPr>
          <w:rFonts w:hint="eastAsia" w:ascii="Times New Roman" w:hAnsi="Times New Roman" w:eastAsia="宋体" w:cs="Times New Roman"/>
          <w:szCs w:val="22"/>
        </w:rPr>
        <w:t>）总磷</w:t>
      </w:r>
      <w:r>
        <w:rPr>
          <w:rFonts w:hint="eastAsia" w:ascii="Times New Roman" w:hAnsi="Times New Roman" w:eastAsia="宋体" w:cs="Times New Roman"/>
          <w:szCs w:val="21"/>
        </w:rPr>
        <w:t>（</w:t>
      </w:r>
      <w:r>
        <w:rPr>
          <w:rFonts w:ascii="Times New Roman" w:hAnsi="Times New Roman" w:eastAsia="宋体" w:cs="Times New Roman"/>
          <w:szCs w:val="21"/>
        </w:rPr>
        <w:t>TP</w:t>
      </w:r>
      <w:r>
        <w:rPr>
          <w:rFonts w:hint="eastAsia" w:ascii="Times New Roman" w:hAnsi="Times New Roman" w:eastAsia="宋体" w:cs="Times New Roman"/>
          <w:szCs w:val="21"/>
        </w:rPr>
        <w:t>）</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总磷</w:t>
      </w:r>
      <w:r>
        <w:rPr>
          <w:rFonts w:hint="eastAsia" w:ascii="Times New Roman" w:hAnsi="Times New Roman" w:eastAsia="宋体" w:cs="Times New Roman"/>
          <w:szCs w:val="21"/>
        </w:rPr>
        <w:t>（</w:t>
      </w:r>
      <w:r>
        <w:rPr>
          <w:rFonts w:ascii="Times New Roman" w:hAnsi="Times New Roman" w:eastAsia="宋体" w:cs="Times New Roman"/>
          <w:szCs w:val="21"/>
        </w:rPr>
        <w:t>TP</w:t>
      </w:r>
      <w:r>
        <w:rPr>
          <w:rFonts w:hint="eastAsia" w:ascii="Times New Roman" w:hAnsi="Times New Roman" w:eastAsia="宋体" w:cs="Times New Roman"/>
          <w:szCs w:val="21"/>
        </w:rPr>
        <w:t>）</w:t>
      </w:r>
      <w:r>
        <w:rPr>
          <w:rFonts w:hint="eastAsia" w:ascii="Times New Roman" w:hAnsi="Times New Roman" w:eastAsia="宋体" w:cs="Times New Roman"/>
          <w:szCs w:val="22"/>
        </w:rPr>
        <w:t>是水中常见污染物，</w:t>
      </w:r>
      <w:r>
        <w:rPr>
          <w:rFonts w:hint="eastAsia" w:ascii="Arial" w:hAnsi="Arial" w:eastAsia="宋体" w:cs="Arial"/>
          <w:szCs w:val="22"/>
          <w:shd w:val="clear" w:color="auto" w:fill="FFFFFF"/>
        </w:rPr>
        <w:t>总磷超标</w:t>
      </w:r>
      <w:r>
        <w:rPr>
          <w:rFonts w:ascii="Arial" w:hAnsi="Arial" w:eastAsia="宋体" w:cs="Arial"/>
          <w:szCs w:val="22"/>
          <w:shd w:val="clear" w:color="auto" w:fill="FFFFFF"/>
        </w:rPr>
        <w:t>会加速水体的富营养化，导致大量的鱼虾死亡，藻类疯狂生长，严重的影响生态平衡</w:t>
      </w:r>
      <w:r>
        <w:rPr>
          <w:rFonts w:hint="eastAsia" w:ascii="Times New Roman" w:hAnsi="Times New Roman" w:eastAsia="宋体" w:cs="Times New Roman"/>
          <w:szCs w:val="22"/>
        </w:rPr>
        <w:t>。因此，将</w:t>
      </w:r>
      <w:r>
        <w:rPr>
          <w:rFonts w:ascii="Times New Roman" w:hAnsi="Times New Roman" w:eastAsia="宋体" w:cs="Times New Roman"/>
          <w:szCs w:val="21"/>
        </w:rPr>
        <w:t>T</w:t>
      </w:r>
      <w:r>
        <w:rPr>
          <w:rFonts w:hint="eastAsia" w:ascii="Times New Roman" w:hAnsi="Times New Roman" w:eastAsia="宋体" w:cs="Times New Roman"/>
          <w:szCs w:val="21"/>
        </w:rPr>
        <w:t>P</w:t>
      </w:r>
      <w:r>
        <w:rPr>
          <w:rFonts w:hint="eastAsia" w:ascii="Times New Roman" w:hAnsi="Times New Roman" w:eastAsia="宋体" w:cs="Times New Roman"/>
          <w:szCs w:val="22"/>
        </w:rPr>
        <w:t>作为《四川省泡菜工业水污染物排放标准》的控制指标。</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w:t>
      </w:r>
      <w:r>
        <w:rPr>
          <w:rFonts w:ascii="Times New Roman" w:hAnsi="Times New Roman" w:eastAsia="宋体" w:cs="Times New Roman"/>
          <w:szCs w:val="22"/>
        </w:rPr>
        <w:t>8</w:t>
      </w:r>
      <w:r>
        <w:rPr>
          <w:rFonts w:hint="eastAsia" w:ascii="Times New Roman" w:hAnsi="Times New Roman" w:eastAsia="宋体" w:cs="Times New Roman"/>
          <w:szCs w:val="22"/>
        </w:rPr>
        <w:t>）氯化物</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食盐是泡菜生产加工的主要原料，</w:t>
      </w:r>
      <w:r>
        <w:rPr>
          <w:rFonts w:ascii="Times New Roman" w:hAnsi="Times New Roman" w:eastAsia="宋体" w:cs="Times New Roman"/>
          <w:szCs w:val="22"/>
        </w:rPr>
        <w:t>泡菜在生产加工过程中会消耗大量的食盐，因而在泡菜盐渍和清洗脱盐工段会产生大量含盐废水，当水中的氯离子达到一定浓度时，使水产生不同的味觉，使水质产生感官性状的恶化。如当水中氯化物浓度为250mg/L，人就会察觉出咸味；而当水中氯化物浓度为170mg/L，阳离子为镁时，水则会出现苦味。</w:t>
      </w:r>
      <w:r>
        <w:rPr>
          <w:rFonts w:hint="eastAsia" w:ascii="Times New Roman" w:hAnsi="Times New Roman" w:eastAsia="宋体" w:cs="Times New Roman"/>
          <w:szCs w:val="22"/>
        </w:rPr>
        <w:t>同时</w:t>
      </w:r>
      <w:r>
        <w:rPr>
          <w:rFonts w:ascii="Times New Roman" w:hAnsi="Times New Roman" w:eastAsia="宋体" w:cs="Times New Roman"/>
          <w:szCs w:val="22"/>
        </w:rPr>
        <w:t>，氯离子也是保持人体细胞内外体液量、渗透压以及水和电解质平衡不可缺少的要素。氯化物含量过高时，可干扰人体电解质平衡，使人体细胞外渗透压增加，导致细胞失水，代谢过程出现故障。</w:t>
      </w:r>
      <w:r>
        <w:rPr>
          <w:rFonts w:hint="eastAsia" w:ascii="Times New Roman" w:hAnsi="Times New Roman" w:eastAsia="宋体" w:cs="Times New Roman"/>
          <w:szCs w:val="22"/>
        </w:rPr>
        <w:t>此外，氯离子浓度较高时，会对水生生物造成危害，影响其</w:t>
      </w:r>
      <w:r>
        <w:rPr>
          <w:rFonts w:ascii="Times New Roman" w:hAnsi="Times New Roman" w:eastAsia="宋体" w:cs="Times New Roman"/>
          <w:szCs w:val="22"/>
        </w:rPr>
        <w:t>生长繁殖或</w:t>
      </w:r>
      <w:r>
        <w:rPr>
          <w:rFonts w:hint="eastAsia" w:ascii="Times New Roman" w:hAnsi="Times New Roman" w:eastAsia="宋体" w:cs="Times New Roman"/>
          <w:szCs w:val="22"/>
        </w:rPr>
        <w:t>直接</w:t>
      </w:r>
      <w:r>
        <w:rPr>
          <w:rFonts w:ascii="Times New Roman" w:hAnsi="Times New Roman" w:eastAsia="宋体" w:cs="Times New Roman"/>
          <w:szCs w:val="22"/>
        </w:rPr>
        <w:t>导致死亡</w:t>
      </w:r>
      <w:r>
        <w:rPr>
          <w:rFonts w:hint="eastAsia" w:ascii="Times New Roman" w:hAnsi="Times New Roman" w:eastAsia="宋体" w:cs="Times New Roman"/>
          <w:szCs w:val="22"/>
        </w:rPr>
        <w:t>。因此，将氯化物作为《四川省泡菜工业水污染物排放标准》的控制指标。</w:t>
      </w:r>
    </w:p>
    <w:p>
      <w:pPr>
        <w:keepNext/>
        <w:keepLines/>
        <w:spacing w:before="120" w:after="120" w:line="415" w:lineRule="auto"/>
        <w:jc w:val="left"/>
        <w:outlineLvl w:val="1"/>
        <w:rPr>
          <w:rFonts w:ascii="Times New Roman" w:hAnsi="Times New Roman" w:eastAsia="宋体" w:cs="Times New Roman"/>
          <w:b/>
          <w:bCs/>
          <w:sz w:val="30"/>
          <w:szCs w:val="32"/>
        </w:rPr>
      </w:pPr>
      <w:bookmarkStart w:id="51" w:name="_Toc76386130"/>
      <w:r>
        <w:rPr>
          <w:rFonts w:hint="eastAsia" w:ascii="Times New Roman" w:hAnsi="Times New Roman" w:eastAsia="宋体" w:cs="Times New Roman"/>
          <w:b/>
          <w:bCs/>
          <w:sz w:val="30"/>
          <w:szCs w:val="32"/>
        </w:rPr>
        <w:t>6.5污染物限值的确定及制定依据</w:t>
      </w:r>
      <w:bookmarkEnd w:id="51"/>
    </w:p>
    <w:p>
      <w:pPr>
        <w:keepNext/>
        <w:keepLines/>
        <w:spacing w:before="156" w:beforeLines="50" w:after="156" w:afterLines="50" w:line="360" w:lineRule="auto"/>
        <w:jc w:val="left"/>
        <w:outlineLvl w:val="2"/>
        <w:rPr>
          <w:rFonts w:ascii="Times New Roman" w:hAnsi="Times New Roman" w:eastAsia="宋体" w:cs="Times New Roman"/>
          <w:b/>
          <w:bCs/>
          <w:sz w:val="28"/>
          <w:szCs w:val="32"/>
        </w:rPr>
      </w:pPr>
      <w:bookmarkStart w:id="52" w:name="_Toc76386131"/>
      <w:r>
        <w:rPr>
          <w:rFonts w:hint="eastAsia" w:ascii="Times New Roman" w:hAnsi="Times New Roman" w:eastAsia="宋体" w:cs="Times New Roman"/>
          <w:b/>
          <w:bCs/>
          <w:sz w:val="28"/>
          <w:szCs w:val="32"/>
        </w:rPr>
        <w:t>6.5.1直接排放限值</w:t>
      </w:r>
      <w:bookmarkEnd w:id="52"/>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（1）pH值</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在</w:t>
      </w:r>
      <w:r>
        <w:rPr>
          <w:rFonts w:ascii="Times New Roman" w:hAnsi="Times New Roman" w:eastAsia="宋体" w:cs="Times New Roman"/>
          <w:szCs w:val="22"/>
        </w:rPr>
        <w:t>国内外大多数污水</w:t>
      </w:r>
      <w:r>
        <w:rPr>
          <w:rFonts w:hint="eastAsia" w:ascii="Times New Roman" w:hAnsi="Times New Roman" w:eastAsia="宋体" w:cs="Times New Roman"/>
          <w:szCs w:val="22"/>
        </w:rPr>
        <w:t>排放</w:t>
      </w:r>
      <w:r>
        <w:rPr>
          <w:rFonts w:ascii="Times New Roman" w:hAnsi="Times New Roman" w:eastAsia="宋体" w:cs="Times New Roman"/>
          <w:szCs w:val="22"/>
        </w:rPr>
        <w:t>标准中，</w:t>
      </w:r>
      <w:r>
        <w:rPr>
          <w:rFonts w:hint="eastAsia" w:ascii="Times New Roman" w:hAnsi="Times New Roman" w:eastAsia="宋体" w:cs="Times New Roman"/>
          <w:szCs w:val="22"/>
        </w:rPr>
        <w:t xml:space="preserve"> pH 排放限值</w:t>
      </w:r>
      <w:r>
        <w:rPr>
          <w:rFonts w:ascii="Times New Roman" w:hAnsi="Times New Roman" w:eastAsia="宋体" w:cs="Times New Roman"/>
          <w:szCs w:val="22"/>
        </w:rPr>
        <w:t>均在</w:t>
      </w:r>
      <w:r>
        <w:rPr>
          <w:rFonts w:hint="eastAsia" w:ascii="Times New Roman" w:hAnsi="Times New Roman" w:eastAsia="宋体" w:cs="Times New Roman"/>
          <w:szCs w:val="22"/>
        </w:rPr>
        <w:t xml:space="preserve"> 6-9之间</w:t>
      </w:r>
      <w:r>
        <w:rPr>
          <w:rFonts w:ascii="Times New Roman" w:hAnsi="Times New Roman" w:eastAsia="宋体" w:cs="Times New Roman"/>
          <w:szCs w:val="22"/>
        </w:rPr>
        <w:t>。</w:t>
      </w:r>
      <w:r>
        <w:rPr>
          <w:rFonts w:hint="eastAsia" w:ascii="Times New Roman" w:hAnsi="Times New Roman" w:eastAsia="宋体" w:cs="Times New Roman"/>
          <w:szCs w:val="22"/>
        </w:rPr>
        <w:t>根据对</w:t>
      </w:r>
      <w:r>
        <w:rPr>
          <w:rFonts w:ascii="Times New Roman" w:hAnsi="Times New Roman" w:eastAsia="宋体" w:cs="Times New Roman"/>
          <w:szCs w:val="22"/>
        </w:rPr>
        <w:t>泡菜</w:t>
      </w:r>
      <w:r>
        <w:rPr>
          <w:rFonts w:hint="eastAsia" w:ascii="Times New Roman" w:hAnsi="Times New Roman" w:eastAsia="宋体" w:cs="Times New Roman"/>
          <w:szCs w:val="22"/>
        </w:rPr>
        <w:t>工业</w:t>
      </w:r>
      <w:r>
        <w:rPr>
          <w:rFonts w:ascii="Times New Roman" w:hAnsi="Times New Roman" w:eastAsia="宋体" w:cs="Times New Roman"/>
          <w:szCs w:val="22"/>
        </w:rPr>
        <w:t>企业废水处理情况调查监测的结果</w:t>
      </w:r>
      <w:r>
        <w:rPr>
          <w:rFonts w:hint="eastAsia" w:ascii="Times New Roman" w:hAnsi="Times New Roman" w:eastAsia="宋体" w:cs="Times New Roman"/>
          <w:szCs w:val="22"/>
        </w:rPr>
        <w:t>，我省泡菜工业企业排放废水的 pH 值在5-6之间，经污水处理设施处理后，可以控制在6-</w:t>
      </w:r>
      <w:r>
        <w:rPr>
          <w:rFonts w:ascii="Times New Roman" w:hAnsi="Times New Roman" w:eastAsia="宋体" w:cs="Times New Roman"/>
          <w:szCs w:val="22"/>
        </w:rPr>
        <w:t>9</w:t>
      </w:r>
      <w:r>
        <w:rPr>
          <w:rFonts w:hint="eastAsia" w:ascii="Times New Roman" w:hAnsi="Times New Roman" w:eastAsia="宋体" w:cs="Times New Roman"/>
          <w:szCs w:val="22"/>
        </w:rPr>
        <w:t>之间，能够满足标准要求，</w:t>
      </w:r>
      <w:r>
        <w:rPr>
          <w:rFonts w:ascii="Times New Roman" w:hAnsi="Times New Roman" w:eastAsia="宋体" w:cs="Times New Roman"/>
          <w:szCs w:val="22"/>
        </w:rPr>
        <w:t>并且不会对受纳水体和周围环境造成危害</w:t>
      </w:r>
      <w:r>
        <w:rPr>
          <w:rFonts w:hint="eastAsia" w:ascii="Times New Roman" w:hAnsi="Times New Roman" w:eastAsia="宋体" w:cs="Times New Roman"/>
          <w:szCs w:val="22"/>
        </w:rPr>
        <w:t>。因此</w:t>
      </w:r>
      <w:r>
        <w:rPr>
          <w:rFonts w:ascii="Times New Roman" w:hAnsi="Times New Roman" w:eastAsia="宋体" w:cs="Times New Roman"/>
          <w:szCs w:val="22"/>
        </w:rPr>
        <w:t>本标准</w:t>
      </w:r>
      <w:r>
        <w:rPr>
          <w:rFonts w:hint="eastAsia" w:ascii="Times New Roman" w:hAnsi="Times New Roman" w:eastAsia="宋体" w:cs="Times New Roman"/>
          <w:szCs w:val="22"/>
        </w:rPr>
        <w:t>确定</w:t>
      </w:r>
      <w:r>
        <w:rPr>
          <w:rFonts w:ascii="Times New Roman" w:hAnsi="Times New Roman" w:eastAsia="宋体" w:cs="Times New Roman"/>
          <w:szCs w:val="22"/>
        </w:rPr>
        <w:t>现有企业、新建企业</w:t>
      </w:r>
      <w:r>
        <w:rPr>
          <w:rFonts w:hint="eastAsia" w:ascii="Times New Roman" w:hAnsi="Times New Roman" w:eastAsia="宋体" w:cs="Times New Roman"/>
          <w:szCs w:val="22"/>
        </w:rPr>
        <w:t>废水</w:t>
      </w:r>
      <w:r>
        <w:rPr>
          <w:rFonts w:ascii="Times New Roman" w:hAnsi="Times New Roman" w:eastAsia="宋体" w:cs="Times New Roman"/>
          <w:szCs w:val="22"/>
        </w:rPr>
        <w:t>的pH</w:t>
      </w:r>
      <w:r>
        <w:rPr>
          <w:rFonts w:hint="eastAsia" w:ascii="Times New Roman" w:hAnsi="Times New Roman" w:eastAsia="宋体" w:cs="Times New Roman"/>
          <w:szCs w:val="22"/>
        </w:rPr>
        <w:t>排放</w:t>
      </w:r>
      <w:r>
        <w:rPr>
          <w:rFonts w:ascii="Times New Roman" w:hAnsi="Times New Roman" w:eastAsia="宋体" w:cs="Times New Roman"/>
          <w:szCs w:val="22"/>
        </w:rPr>
        <w:t>限值均为</w:t>
      </w:r>
      <w:r>
        <w:rPr>
          <w:rFonts w:hint="eastAsia" w:ascii="Times New Roman" w:hAnsi="Times New Roman" w:eastAsia="宋体" w:cs="Times New Roman"/>
          <w:szCs w:val="22"/>
        </w:rPr>
        <w:t>6</w:t>
      </w:r>
      <w:r>
        <w:rPr>
          <w:rFonts w:ascii="Times New Roman" w:hAnsi="Times New Roman" w:eastAsia="宋体" w:cs="Times New Roman"/>
          <w:szCs w:val="22"/>
        </w:rPr>
        <w:t>-9</w:t>
      </w:r>
      <w:r>
        <w:rPr>
          <w:rFonts w:hint="eastAsia" w:ascii="Times New Roman" w:hAnsi="Times New Roman" w:eastAsia="宋体" w:cs="Times New Roman"/>
          <w:szCs w:val="22"/>
        </w:rPr>
        <w:t>。</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（2）色度</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标准规定现有企业泡菜废水色度的排放限值为稀释倍数 50，与GB 8978 的表4 中一级排放限值（稀释倍数 50）相同。新建企业泡菜废水色度的排放限值为稀释倍数 30，严于 GB 8978 的表4 中一级排放限值（稀释倍数 50）；严于 GB 18918 的二级排放限值（稀释倍数 40），与 GB 18918 的一级 A 和一级 B 排放限值（稀释倍数 30）相同。</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我省泡菜废水往往带有一定的色度（稀释倍数＜70），通过沉淀、气浮、生化处理等方式可以达标（稀释倍数＜30）。</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（3）悬浮物（SS）</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标准规定现有企业泡菜废水悬浮物的排放限值为70 mg/L，与GB 8978 的表4 中一级排放限值（70mg/L）相同。新建企业泡菜废水悬浮物的排放限值为30 mg/L，严于 GB 8978 的表4 中一级排放限值（70 mg/L）；与GB 18918 的二级排放限值（30 mg/L）相同。</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现有企业生产废水中的SS浓度一般在140-260 mg/L之间，在调查的企业中，采用现有的污水处理工艺，治理后出水SS浓度可达到7-25 mg/L，去除率可达到90%以上，可以达到本标准要求。</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（4）五日生化</w:t>
      </w:r>
      <w:r>
        <w:rPr>
          <w:rFonts w:ascii="Times New Roman" w:hAnsi="Times New Roman" w:eastAsia="宋体" w:cs="Times New Roman"/>
          <w:szCs w:val="22"/>
        </w:rPr>
        <w:t>需氧量</w:t>
      </w:r>
      <w:r>
        <w:rPr>
          <w:rFonts w:hint="eastAsia" w:ascii="Times New Roman" w:hAnsi="Times New Roman" w:eastAsia="宋体" w:cs="Times New Roman"/>
          <w:szCs w:val="22"/>
        </w:rPr>
        <w:t>（B</w:t>
      </w:r>
      <w:r>
        <w:rPr>
          <w:rFonts w:ascii="Times New Roman" w:hAnsi="Times New Roman" w:eastAsia="宋体" w:cs="Times New Roman"/>
          <w:szCs w:val="22"/>
        </w:rPr>
        <w:t>OD</w:t>
      </w:r>
      <w:r>
        <w:rPr>
          <w:rFonts w:ascii="Times New Roman" w:hAnsi="Times New Roman" w:eastAsia="宋体" w:cs="Times New Roman"/>
          <w:szCs w:val="22"/>
          <w:vertAlign w:val="subscript"/>
        </w:rPr>
        <w:t>5</w:t>
      </w:r>
      <w:r>
        <w:rPr>
          <w:rFonts w:hint="eastAsia" w:ascii="Times New Roman" w:hAnsi="Times New Roman" w:eastAsia="宋体" w:cs="Times New Roman"/>
          <w:szCs w:val="22"/>
        </w:rPr>
        <w:t>）</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根据对</w:t>
      </w:r>
      <w:r>
        <w:rPr>
          <w:rFonts w:ascii="Times New Roman" w:hAnsi="Times New Roman" w:eastAsia="宋体" w:cs="Times New Roman"/>
          <w:szCs w:val="22"/>
        </w:rPr>
        <w:t>泡菜企业废水</w:t>
      </w:r>
      <w:r>
        <w:rPr>
          <w:rFonts w:hint="eastAsia" w:ascii="Times New Roman" w:hAnsi="Times New Roman" w:eastAsia="宋体" w:cs="Times New Roman"/>
          <w:szCs w:val="22"/>
        </w:rPr>
        <w:t>进出水</w:t>
      </w:r>
      <w:r>
        <w:rPr>
          <w:rFonts w:ascii="Times New Roman" w:hAnsi="Times New Roman" w:eastAsia="宋体" w:cs="Times New Roman"/>
          <w:szCs w:val="22"/>
        </w:rPr>
        <w:t>情况调查监测的结果，</w:t>
      </w:r>
      <w:r>
        <w:rPr>
          <w:rFonts w:hint="eastAsia" w:ascii="Times New Roman" w:hAnsi="Times New Roman" w:eastAsia="宋体" w:cs="Times New Roman"/>
          <w:szCs w:val="22"/>
        </w:rPr>
        <w:t>泡菜</w:t>
      </w:r>
      <w:r>
        <w:rPr>
          <w:rFonts w:ascii="Times New Roman" w:hAnsi="Times New Roman" w:eastAsia="宋体" w:cs="Times New Roman"/>
          <w:szCs w:val="22"/>
        </w:rPr>
        <w:t>废水</w:t>
      </w:r>
      <w:r>
        <w:rPr>
          <w:rFonts w:hint="eastAsia" w:ascii="Times New Roman" w:hAnsi="Times New Roman" w:eastAsia="宋体" w:cs="Times New Roman"/>
          <w:szCs w:val="22"/>
        </w:rPr>
        <w:t>有机物</w:t>
      </w:r>
      <w:r>
        <w:rPr>
          <w:rFonts w:ascii="Times New Roman" w:hAnsi="Times New Roman" w:eastAsia="宋体" w:cs="Times New Roman"/>
          <w:szCs w:val="22"/>
        </w:rPr>
        <w:t>含量较高（</w:t>
      </w:r>
      <w:r>
        <w:rPr>
          <w:rFonts w:hint="eastAsia" w:ascii="Times New Roman" w:hAnsi="Times New Roman" w:eastAsia="宋体" w:cs="Times New Roman"/>
          <w:szCs w:val="22"/>
        </w:rPr>
        <w:t>BOD</w:t>
      </w:r>
      <w:r>
        <w:rPr>
          <w:rFonts w:hint="eastAsia" w:ascii="Times New Roman" w:hAnsi="Times New Roman" w:eastAsia="宋体" w:cs="Times New Roman"/>
          <w:szCs w:val="22"/>
          <w:vertAlign w:val="subscript"/>
        </w:rPr>
        <w:t>5</w:t>
      </w:r>
      <w:r>
        <w:rPr>
          <w:rFonts w:hint="eastAsia" w:ascii="Times New Roman" w:hAnsi="Times New Roman" w:eastAsia="宋体" w:cs="Times New Roman"/>
          <w:szCs w:val="22"/>
        </w:rPr>
        <w:t>在700</w:t>
      </w:r>
      <w:r>
        <w:rPr>
          <w:rFonts w:ascii="Times New Roman" w:hAnsi="Times New Roman" w:eastAsia="宋体" w:cs="Times New Roman"/>
          <w:szCs w:val="22"/>
        </w:rPr>
        <w:t>-1800mg/L</w:t>
      </w:r>
      <w:r>
        <w:rPr>
          <w:rFonts w:hint="eastAsia" w:ascii="Times New Roman" w:hAnsi="Times New Roman" w:eastAsia="宋体" w:cs="Times New Roman"/>
          <w:szCs w:val="22"/>
        </w:rPr>
        <w:t>之间</w:t>
      </w:r>
      <w:r>
        <w:rPr>
          <w:rFonts w:ascii="Times New Roman" w:hAnsi="Times New Roman" w:eastAsia="宋体" w:cs="Times New Roman"/>
          <w:szCs w:val="22"/>
        </w:rPr>
        <w:t>）</w:t>
      </w:r>
      <w:r>
        <w:rPr>
          <w:rFonts w:hint="eastAsia" w:ascii="Times New Roman" w:hAnsi="Times New Roman" w:eastAsia="宋体" w:cs="Times New Roman"/>
          <w:szCs w:val="22"/>
        </w:rPr>
        <w:t>，</w:t>
      </w:r>
      <w:r>
        <w:rPr>
          <w:rFonts w:ascii="Times New Roman" w:hAnsi="Times New Roman" w:eastAsia="宋体" w:cs="Times New Roman"/>
          <w:szCs w:val="22"/>
        </w:rPr>
        <w:t>由于其可生化性较好，易于进行生物处理，因此废水中的有机物得到了有效的去除，处理后的</w:t>
      </w:r>
      <w:r>
        <w:rPr>
          <w:rFonts w:hint="eastAsia" w:ascii="Times New Roman" w:hAnsi="Times New Roman" w:eastAsia="宋体" w:cs="Times New Roman"/>
          <w:szCs w:val="22"/>
        </w:rPr>
        <w:t>出水BOD浓度</w:t>
      </w:r>
      <w:r>
        <w:rPr>
          <w:rFonts w:ascii="Times New Roman" w:hAnsi="Times New Roman" w:eastAsia="宋体" w:cs="Times New Roman"/>
          <w:szCs w:val="22"/>
        </w:rPr>
        <w:t>一般小于20mg/L</w:t>
      </w:r>
      <w:r>
        <w:rPr>
          <w:rFonts w:hint="eastAsia" w:ascii="Times New Roman" w:hAnsi="Times New Roman" w:eastAsia="宋体" w:cs="Times New Roman"/>
          <w:szCs w:val="22"/>
        </w:rPr>
        <w:t>。参照</w:t>
      </w:r>
      <w:r>
        <w:rPr>
          <w:rFonts w:ascii="Times New Roman" w:hAnsi="Times New Roman" w:eastAsia="宋体" w:cs="Times New Roman"/>
          <w:szCs w:val="22"/>
        </w:rPr>
        <w:t>《污水</w:t>
      </w:r>
      <w:r>
        <w:rPr>
          <w:rFonts w:hint="eastAsia" w:ascii="Times New Roman" w:hAnsi="Times New Roman" w:eastAsia="宋体" w:cs="Times New Roman"/>
          <w:szCs w:val="22"/>
        </w:rPr>
        <w:t>综合</w:t>
      </w:r>
      <w:r>
        <w:rPr>
          <w:rFonts w:ascii="Times New Roman" w:hAnsi="Times New Roman" w:eastAsia="宋体" w:cs="Times New Roman"/>
          <w:szCs w:val="22"/>
        </w:rPr>
        <w:t>排放标准》</w:t>
      </w:r>
      <w:r>
        <w:rPr>
          <w:rFonts w:hint="eastAsia" w:ascii="Times New Roman" w:hAnsi="Times New Roman" w:eastAsia="宋体" w:cs="Times New Roman"/>
          <w:szCs w:val="22"/>
        </w:rPr>
        <w:t>（GB8978-1996）、</w:t>
      </w:r>
      <w:r>
        <w:rPr>
          <w:rFonts w:ascii="Times New Roman" w:hAnsi="Times New Roman" w:eastAsia="宋体" w:cs="Times New Roman"/>
          <w:szCs w:val="22"/>
        </w:rPr>
        <w:t>《</w:t>
      </w:r>
      <w:r>
        <w:rPr>
          <w:rFonts w:hint="eastAsia" w:ascii="Times New Roman" w:hAnsi="Times New Roman" w:eastAsia="宋体" w:cs="Times New Roman"/>
          <w:szCs w:val="22"/>
        </w:rPr>
        <w:t>城镇</w:t>
      </w:r>
      <w:r>
        <w:rPr>
          <w:rFonts w:ascii="Times New Roman" w:hAnsi="Times New Roman" w:eastAsia="宋体" w:cs="Times New Roman"/>
          <w:szCs w:val="22"/>
        </w:rPr>
        <w:t>污水处理厂污染物排放标准》</w:t>
      </w:r>
      <w:r>
        <w:rPr>
          <w:rFonts w:hint="eastAsia" w:ascii="Times New Roman" w:hAnsi="Times New Roman" w:eastAsia="宋体" w:cs="Times New Roman"/>
          <w:szCs w:val="22"/>
        </w:rPr>
        <w:t>（GB18918-2002）及</w:t>
      </w:r>
      <w:r>
        <w:rPr>
          <w:rFonts w:ascii="Times New Roman" w:hAnsi="Times New Roman" w:eastAsia="宋体" w:cs="Times New Roman"/>
          <w:szCs w:val="22"/>
        </w:rPr>
        <w:t>调查结果，确定现有企业的</w:t>
      </w:r>
      <w:r>
        <w:rPr>
          <w:rFonts w:hint="eastAsia" w:ascii="Times New Roman" w:hAnsi="Times New Roman" w:eastAsia="宋体" w:cs="Times New Roman"/>
          <w:szCs w:val="22"/>
        </w:rPr>
        <w:t>BOD排放</w:t>
      </w:r>
      <w:r>
        <w:rPr>
          <w:rFonts w:ascii="Times New Roman" w:hAnsi="Times New Roman" w:eastAsia="宋体" w:cs="Times New Roman"/>
          <w:szCs w:val="22"/>
        </w:rPr>
        <w:t>浓度限值为</w:t>
      </w:r>
      <w:r>
        <w:rPr>
          <w:rFonts w:hint="eastAsia" w:ascii="Times New Roman" w:hAnsi="Times New Roman" w:eastAsia="宋体" w:cs="Times New Roman"/>
          <w:szCs w:val="22"/>
        </w:rPr>
        <w:t>20</w:t>
      </w:r>
      <w:r>
        <w:rPr>
          <w:rFonts w:ascii="Times New Roman" w:hAnsi="Times New Roman" w:eastAsia="宋体" w:cs="Times New Roman"/>
          <w:szCs w:val="22"/>
        </w:rPr>
        <w:t>mg/L</w:t>
      </w:r>
      <w:r>
        <w:rPr>
          <w:rFonts w:hint="eastAsia" w:ascii="Times New Roman" w:hAnsi="Times New Roman" w:eastAsia="宋体" w:cs="Times New Roman"/>
          <w:szCs w:val="22"/>
        </w:rPr>
        <w:t>，</w:t>
      </w:r>
      <w:r>
        <w:rPr>
          <w:rFonts w:ascii="Times New Roman" w:hAnsi="Times New Roman" w:eastAsia="宋体" w:cs="Times New Roman"/>
          <w:szCs w:val="22"/>
        </w:rPr>
        <w:t>新建企业</w:t>
      </w:r>
      <w:r>
        <w:rPr>
          <w:rFonts w:hint="eastAsia" w:ascii="Times New Roman" w:hAnsi="Times New Roman" w:eastAsia="宋体" w:cs="Times New Roman"/>
          <w:szCs w:val="22"/>
        </w:rPr>
        <w:t>15</w:t>
      </w:r>
      <w:r>
        <w:rPr>
          <w:rFonts w:ascii="Times New Roman" w:hAnsi="Times New Roman" w:eastAsia="宋体" w:cs="Times New Roman"/>
          <w:szCs w:val="22"/>
        </w:rPr>
        <w:t>mg/L</w:t>
      </w:r>
      <w:r>
        <w:rPr>
          <w:rFonts w:hint="eastAsia" w:ascii="Times New Roman" w:hAnsi="Times New Roman" w:eastAsia="宋体" w:cs="Times New Roman"/>
          <w:szCs w:val="22"/>
        </w:rPr>
        <w:t>。</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（5）化学需氧量</w:t>
      </w:r>
      <w:r>
        <w:rPr>
          <w:rFonts w:hint="eastAsia" w:ascii="Times New Roman" w:hAnsi="Times New Roman" w:eastAsia="宋体" w:cs="Times New Roman"/>
          <w:szCs w:val="21"/>
        </w:rPr>
        <w:t>（</w:t>
      </w:r>
      <w:r>
        <w:rPr>
          <w:rFonts w:ascii="Times New Roman" w:hAnsi="Times New Roman" w:eastAsia="宋体" w:cs="Times New Roman"/>
          <w:szCs w:val="21"/>
        </w:rPr>
        <w:t>COD</w:t>
      </w:r>
      <w:r>
        <w:rPr>
          <w:rFonts w:hint="eastAsia" w:ascii="Times New Roman" w:hAnsi="Times New Roman" w:eastAsia="宋体" w:cs="Times New Roman"/>
          <w:szCs w:val="21"/>
          <w:vertAlign w:val="subscript"/>
        </w:rPr>
        <w:t>Cr</w:t>
      </w:r>
      <w:r>
        <w:rPr>
          <w:rFonts w:hint="eastAsia" w:ascii="Times New Roman" w:hAnsi="Times New Roman" w:eastAsia="宋体" w:cs="Times New Roman"/>
          <w:szCs w:val="21"/>
        </w:rPr>
        <w:t>）</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标准规定现有企业泡菜废水化学需氧量的排放限值为100 mg/L，与GB 8978 的表4 中一级排放限值（100 mg/L）相同。新建企业泡菜废水化学需氧量的排放限值为80 mg/L，严于 GB 8978 的表4 中一级排放限值（100 mg/L）；严于 GB 18918 的二级排放限值（100 mg/L），宽于GB 18918 的一级 B排放限值（60 mg/L）。</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由于泡菜废水可生化性较好，采用多种生化处理工艺可有效去除废水中的有机物，去除率可达 90%以上。现有企业生产废水中的</w:t>
      </w:r>
      <w:r>
        <w:rPr>
          <w:rFonts w:ascii="Times New Roman" w:hAnsi="Times New Roman" w:eastAsia="宋体" w:cs="Times New Roman"/>
          <w:szCs w:val="21"/>
        </w:rPr>
        <w:t>COD</w:t>
      </w:r>
      <w:r>
        <w:rPr>
          <w:rFonts w:hint="eastAsia" w:ascii="Times New Roman" w:hAnsi="Times New Roman" w:eastAsia="宋体" w:cs="Times New Roman"/>
          <w:szCs w:val="21"/>
          <w:vertAlign w:val="subscript"/>
        </w:rPr>
        <w:t>Cr</w:t>
      </w:r>
      <w:r>
        <w:rPr>
          <w:rFonts w:hint="eastAsia" w:ascii="Times New Roman" w:hAnsi="Times New Roman" w:eastAsia="宋体" w:cs="Times New Roman"/>
          <w:szCs w:val="21"/>
        </w:rPr>
        <w:t>浓度一般在</w:t>
      </w:r>
      <w:r>
        <w:rPr>
          <w:rFonts w:ascii="Times New Roman" w:hAnsi="Times New Roman" w:eastAsia="宋体" w:cs="Times New Roman"/>
          <w:szCs w:val="22"/>
        </w:rPr>
        <w:t>1600-3100</w:t>
      </w:r>
      <w:r>
        <w:rPr>
          <w:rFonts w:hint="eastAsia" w:ascii="Times New Roman" w:hAnsi="Times New Roman" w:eastAsia="宋体" w:cs="Times New Roman"/>
          <w:szCs w:val="22"/>
        </w:rPr>
        <w:t xml:space="preserve"> mg/L之间，目前采用的UASB+A/O+曝气生物滤池工艺能够实现</w:t>
      </w:r>
      <w:r>
        <w:rPr>
          <w:rFonts w:ascii="Times New Roman" w:hAnsi="Times New Roman" w:eastAsia="宋体" w:cs="Times New Roman"/>
          <w:szCs w:val="21"/>
        </w:rPr>
        <w:t>COD</w:t>
      </w:r>
      <w:r>
        <w:rPr>
          <w:rFonts w:hint="eastAsia" w:ascii="Times New Roman" w:hAnsi="Times New Roman" w:eastAsia="宋体" w:cs="Times New Roman"/>
          <w:szCs w:val="21"/>
          <w:vertAlign w:val="subscript"/>
        </w:rPr>
        <w:t>Cr</w:t>
      </w:r>
      <w:r>
        <w:rPr>
          <w:rFonts w:hint="eastAsia" w:ascii="Times New Roman" w:hAnsi="Times New Roman" w:eastAsia="宋体" w:cs="Times New Roman"/>
          <w:szCs w:val="22"/>
        </w:rPr>
        <w:t>去除率98%，采用的</w:t>
      </w:r>
      <w:r>
        <w:rPr>
          <w:rFonts w:ascii="Times New Roman" w:hAnsi="Times New Roman" w:eastAsia="宋体" w:cs="Times New Roman"/>
          <w:szCs w:val="22"/>
        </w:rPr>
        <w:t>ABR+A/O+植物稳定塘</w:t>
      </w:r>
      <w:r>
        <w:rPr>
          <w:rFonts w:hint="eastAsia" w:ascii="Times New Roman" w:hAnsi="Times New Roman" w:eastAsia="宋体" w:cs="Times New Roman"/>
          <w:szCs w:val="22"/>
        </w:rPr>
        <w:t>工艺能够实现</w:t>
      </w:r>
      <w:r>
        <w:rPr>
          <w:rFonts w:ascii="Times New Roman" w:hAnsi="Times New Roman" w:eastAsia="宋体" w:cs="Times New Roman"/>
          <w:szCs w:val="21"/>
        </w:rPr>
        <w:t>COD</w:t>
      </w:r>
      <w:r>
        <w:rPr>
          <w:rFonts w:hint="eastAsia" w:ascii="Times New Roman" w:hAnsi="Times New Roman" w:eastAsia="宋体" w:cs="Times New Roman"/>
          <w:szCs w:val="21"/>
          <w:vertAlign w:val="subscript"/>
        </w:rPr>
        <w:t>Cr</w:t>
      </w:r>
      <w:r>
        <w:rPr>
          <w:rFonts w:hint="eastAsia" w:ascii="Times New Roman" w:hAnsi="Times New Roman" w:eastAsia="宋体" w:cs="Times New Roman"/>
          <w:szCs w:val="22"/>
        </w:rPr>
        <w:t>去除率99.7%，采用的</w:t>
      </w:r>
      <w:r>
        <w:rPr>
          <w:rFonts w:ascii="Times New Roman" w:hAnsi="Times New Roman" w:eastAsia="宋体" w:cs="Times New Roman"/>
          <w:szCs w:val="22"/>
        </w:rPr>
        <w:t>ABR+生物接触氧化</w:t>
      </w:r>
      <w:r>
        <w:rPr>
          <w:rFonts w:hint="eastAsia" w:ascii="Times New Roman" w:hAnsi="Times New Roman" w:eastAsia="宋体" w:cs="Times New Roman"/>
          <w:szCs w:val="22"/>
        </w:rPr>
        <w:t>工艺能够实现</w:t>
      </w:r>
      <w:r>
        <w:rPr>
          <w:rFonts w:ascii="Times New Roman" w:hAnsi="Times New Roman" w:eastAsia="宋体" w:cs="Times New Roman"/>
          <w:szCs w:val="21"/>
        </w:rPr>
        <w:t>COD</w:t>
      </w:r>
      <w:r>
        <w:rPr>
          <w:rFonts w:hint="eastAsia" w:ascii="Times New Roman" w:hAnsi="Times New Roman" w:eastAsia="宋体" w:cs="Times New Roman"/>
          <w:szCs w:val="21"/>
          <w:vertAlign w:val="subscript"/>
        </w:rPr>
        <w:t>Cr</w:t>
      </w:r>
      <w:r>
        <w:rPr>
          <w:rFonts w:hint="eastAsia" w:ascii="Times New Roman" w:hAnsi="Times New Roman" w:eastAsia="宋体" w:cs="Times New Roman"/>
          <w:szCs w:val="22"/>
        </w:rPr>
        <w:t>去除率97%，采用的多级</w:t>
      </w:r>
      <w:r>
        <w:rPr>
          <w:rFonts w:ascii="Times New Roman" w:hAnsi="Times New Roman" w:eastAsia="宋体" w:cs="Times New Roman"/>
          <w:szCs w:val="22"/>
        </w:rPr>
        <w:t>接触氧化</w:t>
      </w:r>
      <w:r>
        <w:rPr>
          <w:rFonts w:hint="eastAsia" w:ascii="Times New Roman" w:hAnsi="Times New Roman" w:eastAsia="宋体" w:cs="Times New Roman"/>
          <w:szCs w:val="22"/>
        </w:rPr>
        <w:t>工艺能够实现</w:t>
      </w:r>
      <w:r>
        <w:rPr>
          <w:rFonts w:ascii="Times New Roman" w:hAnsi="Times New Roman" w:eastAsia="宋体" w:cs="Times New Roman"/>
          <w:szCs w:val="21"/>
        </w:rPr>
        <w:t>COD</w:t>
      </w:r>
      <w:r>
        <w:rPr>
          <w:rFonts w:hint="eastAsia" w:ascii="Times New Roman" w:hAnsi="Times New Roman" w:eastAsia="宋体" w:cs="Times New Roman"/>
          <w:szCs w:val="21"/>
          <w:vertAlign w:val="subscript"/>
        </w:rPr>
        <w:t>Cr</w:t>
      </w:r>
      <w:r>
        <w:rPr>
          <w:rFonts w:hint="eastAsia" w:ascii="Times New Roman" w:hAnsi="Times New Roman" w:eastAsia="宋体" w:cs="Times New Roman"/>
          <w:szCs w:val="22"/>
        </w:rPr>
        <w:t>去除率99.8%，基本能够达到标准限值要求。通过对泡菜行业省控重点企业的监测数据进行分析，现有重点企业生产废水出水</w:t>
      </w:r>
      <w:r>
        <w:rPr>
          <w:rFonts w:ascii="Times New Roman" w:hAnsi="Times New Roman" w:eastAsia="宋体" w:cs="Times New Roman"/>
          <w:szCs w:val="21"/>
        </w:rPr>
        <w:t>COD</w:t>
      </w:r>
      <w:r>
        <w:rPr>
          <w:rFonts w:hint="eastAsia" w:ascii="Times New Roman" w:hAnsi="Times New Roman" w:eastAsia="宋体" w:cs="Times New Roman"/>
          <w:szCs w:val="21"/>
          <w:vertAlign w:val="subscript"/>
        </w:rPr>
        <w:t>Cr</w:t>
      </w:r>
      <w:r>
        <w:rPr>
          <w:rFonts w:hint="eastAsia" w:ascii="Times New Roman" w:hAnsi="Times New Roman" w:eastAsia="宋体" w:cs="Times New Roman"/>
          <w:szCs w:val="21"/>
        </w:rPr>
        <w:t>浓度值均能达到标准限值要求。</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（6）氨氮</w:t>
      </w:r>
      <w:r>
        <w:rPr>
          <w:rFonts w:hint="eastAsia" w:ascii="Times New Roman" w:hAnsi="Times New Roman" w:eastAsia="宋体" w:cs="Times New Roman"/>
          <w:szCs w:val="21"/>
        </w:rPr>
        <w:t>（</w:t>
      </w:r>
      <w:r>
        <w:rPr>
          <w:rFonts w:ascii="Times New Roman" w:hAnsi="Times New Roman" w:eastAsia="宋体" w:cs="Times New Roman"/>
          <w:szCs w:val="21"/>
        </w:rPr>
        <w:t>NH</w:t>
      </w:r>
      <w:r>
        <w:rPr>
          <w:rFonts w:ascii="Times New Roman" w:hAnsi="Times New Roman" w:eastAsia="宋体" w:cs="Times New Roman"/>
          <w:szCs w:val="21"/>
          <w:vertAlign w:val="subscript"/>
        </w:rPr>
        <w:t>3</w:t>
      </w:r>
      <w:r>
        <w:rPr>
          <w:rFonts w:ascii="Times New Roman" w:hAnsi="Times New Roman" w:eastAsia="宋体" w:cs="Times New Roman"/>
          <w:szCs w:val="21"/>
        </w:rPr>
        <w:t>-N</w:t>
      </w:r>
      <w:r>
        <w:rPr>
          <w:rFonts w:hint="eastAsia" w:ascii="Times New Roman" w:hAnsi="Times New Roman" w:eastAsia="宋体" w:cs="Times New Roman"/>
          <w:szCs w:val="21"/>
        </w:rPr>
        <w:t>）</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标准规定现有企业泡菜废水氨氮的排放限值为15 mg/L，与GB 8978 的表4 中一级排放限值（15 mg/L）相同。新建企业泡菜废水氨氮的排放限值为10（15）mg/L，略严于 GB 8978 的表4 中一级排放限值（15mg/L）。</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由于氮、磷富营养化日益成为我国水环境质量达标的主要制约因子，泡菜废水中氨氮浓度一般在50-120 mg/L之间，因此应严格管控，并促进其回收利用。目前采用</w:t>
      </w:r>
      <w:r>
        <w:rPr>
          <w:rFonts w:ascii="Times New Roman" w:hAnsi="Times New Roman" w:eastAsia="宋体" w:cs="Times New Roman"/>
          <w:szCs w:val="22"/>
        </w:rPr>
        <w:t>UASB+A/O+曝气生物滤池</w:t>
      </w:r>
      <w:r>
        <w:rPr>
          <w:rFonts w:hint="eastAsia" w:ascii="Times New Roman" w:hAnsi="Times New Roman" w:eastAsia="宋体" w:cs="Times New Roman"/>
          <w:szCs w:val="22"/>
        </w:rPr>
        <w:t>工艺能够实现</w:t>
      </w:r>
      <w:r>
        <w:rPr>
          <w:rFonts w:ascii="Times New Roman" w:hAnsi="Times New Roman" w:eastAsia="宋体" w:cs="Times New Roman"/>
          <w:szCs w:val="21"/>
        </w:rPr>
        <w:t>NH</w:t>
      </w:r>
      <w:r>
        <w:rPr>
          <w:rFonts w:ascii="Times New Roman" w:hAnsi="Times New Roman" w:eastAsia="宋体" w:cs="Times New Roman"/>
          <w:szCs w:val="21"/>
          <w:vertAlign w:val="subscript"/>
        </w:rPr>
        <w:t>3</w:t>
      </w:r>
      <w:r>
        <w:rPr>
          <w:rFonts w:ascii="Times New Roman" w:hAnsi="Times New Roman" w:eastAsia="宋体" w:cs="Times New Roman"/>
          <w:szCs w:val="21"/>
        </w:rPr>
        <w:t>-N</w:t>
      </w:r>
      <w:r>
        <w:rPr>
          <w:rFonts w:hint="eastAsia" w:ascii="Times New Roman" w:hAnsi="Times New Roman" w:eastAsia="宋体" w:cs="Times New Roman"/>
          <w:szCs w:val="22"/>
        </w:rPr>
        <w:t>去除率94.7%，采用的</w:t>
      </w:r>
      <w:r>
        <w:rPr>
          <w:rFonts w:ascii="Times New Roman" w:hAnsi="Times New Roman" w:eastAsia="宋体" w:cs="Times New Roman"/>
          <w:szCs w:val="22"/>
        </w:rPr>
        <w:t>ABR+A/O+植物稳定塘</w:t>
      </w:r>
      <w:r>
        <w:rPr>
          <w:rFonts w:hint="eastAsia" w:ascii="Times New Roman" w:hAnsi="Times New Roman" w:eastAsia="宋体" w:cs="Times New Roman"/>
          <w:szCs w:val="22"/>
        </w:rPr>
        <w:t>工艺能够实现</w:t>
      </w:r>
      <w:r>
        <w:rPr>
          <w:rFonts w:ascii="Times New Roman" w:hAnsi="Times New Roman" w:eastAsia="宋体" w:cs="Times New Roman"/>
          <w:szCs w:val="21"/>
        </w:rPr>
        <w:t>NH</w:t>
      </w:r>
      <w:r>
        <w:rPr>
          <w:rFonts w:ascii="Times New Roman" w:hAnsi="Times New Roman" w:eastAsia="宋体" w:cs="Times New Roman"/>
          <w:szCs w:val="21"/>
          <w:vertAlign w:val="subscript"/>
        </w:rPr>
        <w:t>3</w:t>
      </w:r>
      <w:r>
        <w:rPr>
          <w:rFonts w:ascii="Times New Roman" w:hAnsi="Times New Roman" w:eastAsia="宋体" w:cs="Times New Roman"/>
          <w:szCs w:val="21"/>
        </w:rPr>
        <w:t>-N</w:t>
      </w:r>
      <w:r>
        <w:rPr>
          <w:rFonts w:hint="eastAsia" w:ascii="Times New Roman" w:hAnsi="Times New Roman" w:eastAsia="宋体" w:cs="Times New Roman"/>
          <w:szCs w:val="22"/>
        </w:rPr>
        <w:t>去除率99.9%，采用的多级</w:t>
      </w:r>
      <w:r>
        <w:rPr>
          <w:rFonts w:ascii="Times New Roman" w:hAnsi="Times New Roman" w:eastAsia="宋体" w:cs="Times New Roman"/>
          <w:szCs w:val="22"/>
        </w:rPr>
        <w:t>接触氧化</w:t>
      </w:r>
      <w:r>
        <w:rPr>
          <w:rFonts w:hint="eastAsia" w:ascii="Times New Roman" w:hAnsi="Times New Roman" w:eastAsia="宋体" w:cs="Times New Roman"/>
          <w:szCs w:val="22"/>
        </w:rPr>
        <w:t>工艺能够实现</w:t>
      </w:r>
      <w:r>
        <w:rPr>
          <w:rFonts w:ascii="Times New Roman" w:hAnsi="Times New Roman" w:eastAsia="宋体" w:cs="Times New Roman"/>
          <w:szCs w:val="21"/>
        </w:rPr>
        <w:t>NH</w:t>
      </w:r>
      <w:r>
        <w:rPr>
          <w:rFonts w:ascii="Times New Roman" w:hAnsi="Times New Roman" w:eastAsia="宋体" w:cs="Times New Roman"/>
          <w:szCs w:val="21"/>
          <w:vertAlign w:val="subscript"/>
        </w:rPr>
        <w:t>3</w:t>
      </w:r>
      <w:r>
        <w:rPr>
          <w:rFonts w:ascii="Times New Roman" w:hAnsi="Times New Roman" w:eastAsia="宋体" w:cs="Times New Roman"/>
          <w:szCs w:val="21"/>
        </w:rPr>
        <w:t>-N</w:t>
      </w:r>
      <w:r>
        <w:rPr>
          <w:rFonts w:hint="eastAsia" w:ascii="Times New Roman" w:hAnsi="Times New Roman" w:eastAsia="宋体" w:cs="Times New Roman"/>
          <w:szCs w:val="22"/>
        </w:rPr>
        <w:t>去除率99.2%，基本能够达到标准限值要求。通过对泡菜行业省控重点企业的监测数据进行分析，现有重点企业生产废水出水</w:t>
      </w:r>
      <w:r>
        <w:rPr>
          <w:rFonts w:ascii="Times New Roman" w:hAnsi="Times New Roman" w:eastAsia="宋体" w:cs="Times New Roman"/>
          <w:szCs w:val="21"/>
        </w:rPr>
        <w:t>NH</w:t>
      </w:r>
      <w:r>
        <w:rPr>
          <w:rFonts w:ascii="Times New Roman" w:hAnsi="Times New Roman" w:eastAsia="宋体" w:cs="Times New Roman"/>
          <w:szCs w:val="21"/>
          <w:vertAlign w:val="subscript"/>
        </w:rPr>
        <w:t>3</w:t>
      </w:r>
      <w:r>
        <w:rPr>
          <w:rFonts w:ascii="Times New Roman" w:hAnsi="Times New Roman" w:eastAsia="宋体" w:cs="Times New Roman"/>
          <w:szCs w:val="21"/>
        </w:rPr>
        <w:t>-N</w:t>
      </w:r>
      <w:r>
        <w:rPr>
          <w:rFonts w:hint="eastAsia" w:ascii="Times New Roman" w:hAnsi="Times New Roman" w:eastAsia="宋体" w:cs="Times New Roman"/>
          <w:szCs w:val="21"/>
        </w:rPr>
        <w:t>浓度值均能达到标准限值要求。</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（7）总氮</w:t>
      </w:r>
      <w:r>
        <w:rPr>
          <w:rFonts w:hint="eastAsia" w:ascii="Times New Roman" w:hAnsi="Times New Roman" w:eastAsia="宋体" w:cs="Times New Roman"/>
          <w:szCs w:val="21"/>
        </w:rPr>
        <w:t>（</w:t>
      </w:r>
      <w:r>
        <w:rPr>
          <w:rFonts w:ascii="Times New Roman" w:hAnsi="Times New Roman" w:eastAsia="宋体" w:cs="Times New Roman"/>
          <w:szCs w:val="21"/>
        </w:rPr>
        <w:t>TN</w:t>
      </w:r>
      <w:r>
        <w:rPr>
          <w:rFonts w:hint="eastAsia" w:ascii="Times New Roman" w:hAnsi="Times New Roman" w:eastAsia="宋体" w:cs="Times New Roman"/>
          <w:szCs w:val="21"/>
        </w:rPr>
        <w:t>）</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标准规定未对现有企业泡菜废水总氮的排放限值进行规定，新建企业泡菜废水总氮的排放限值为40（50）mg/L，严于 GB 8978 （GB 8978对总氮没有要求，因此本标准属于增加了总氮项目），略严于</w:t>
      </w:r>
      <w:r>
        <w:rPr>
          <w:rFonts w:ascii="Times New Roman" w:hAnsi="Times New Roman" w:eastAsia="宋体" w:cs="Times New Roman"/>
          <w:szCs w:val="22"/>
        </w:rPr>
        <w:t>GB/T31962</w:t>
      </w:r>
      <w:r>
        <w:rPr>
          <w:rFonts w:hint="eastAsia" w:ascii="Times New Roman" w:hAnsi="Times New Roman" w:eastAsia="宋体" w:cs="Times New Roman"/>
          <w:szCs w:val="22"/>
        </w:rPr>
        <w:t>的表1中C等级排放限值（45 mg/L）。</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泡菜废水中总氮浓度一般在200-430 mg/L之间，目前采用</w:t>
      </w:r>
      <w:r>
        <w:rPr>
          <w:rFonts w:ascii="Times New Roman" w:hAnsi="Times New Roman" w:eastAsia="宋体" w:cs="Times New Roman"/>
          <w:szCs w:val="22"/>
        </w:rPr>
        <w:t>UASB+A/O+曝气生物滤池</w:t>
      </w:r>
      <w:r>
        <w:rPr>
          <w:rFonts w:hint="eastAsia" w:ascii="Times New Roman" w:hAnsi="Times New Roman" w:eastAsia="宋体" w:cs="Times New Roman"/>
          <w:szCs w:val="22"/>
        </w:rPr>
        <w:t>工艺实际的</w:t>
      </w:r>
      <w:r>
        <w:rPr>
          <w:rFonts w:hint="eastAsia" w:ascii="Times New Roman" w:hAnsi="Times New Roman" w:eastAsia="宋体" w:cs="Times New Roman"/>
          <w:szCs w:val="21"/>
        </w:rPr>
        <w:t>TN</w:t>
      </w:r>
      <w:r>
        <w:rPr>
          <w:rFonts w:hint="eastAsia" w:ascii="Times New Roman" w:hAnsi="Times New Roman" w:eastAsia="宋体" w:cs="Times New Roman"/>
          <w:szCs w:val="22"/>
        </w:rPr>
        <w:t>去除率可达80.8%，采用的</w:t>
      </w:r>
      <w:r>
        <w:rPr>
          <w:rFonts w:ascii="Times New Roman" w:hAnsi="Times New Roman" w:eastAsia="宋体" w:cs="Times New Roman"/>
          <w:szCs w:val="22"/>
        </w:rPr>
        <w:t>ABR+A/O+植物稳定塘</w:t>
      </w:r>
      <w:r>
        <w:rPr>
          <w:rFonts w:hint="eastAsia" w:ascii="Times New Roman" w:hAnsi="Times New Roman" w:eastAsia="宋体" w:cs="Times New Roman"/>
          <w:szCs w:val="22"/>
        </w:rPr>
        <w:t>工艺实际的</w:t>
      </w:r>
      <w:r>
        <w:rPr>
          <w:rFonts w:hint="eastAsia" w:ascii="Times New Roman" w:hAnsi="Times New Roman" w:eastAsia="宋体" w:cs="Times New Roman"/>
          <w:szCs w:val="21"/>
        </w:rPr>
        <w:t>TN</w:t>
      </w:r>
      <w:r>
        <w:rPr>
          <w:rFonts w:hint="eastAsia" w:ascii="Times New Roman" w:hAnsi="Times New Roman" w:eastAsia="宋体" w:cs="Times New Roman"/>
          <w:szCs w:val="22"/>
        </w:rPr>
        <w:t>去除率为52.8%，采用的多级</w:t>
      </w:r>
      <w:r>
        <w:rPr>
          <w:rFonts w:ascii="Times New Roman" w:hAnsi="Times New Roman" w:eastAsia="宋体" w:cs="Times New Roman"/>
          <w:szCs w:val="22"/>
        </w:rPr>
        <w:t>接触氧化</w:t>
      </w:r>
      <w:r>
        <w:rPr>
          <w:rFonts w:hint="eastAsia" w:ascii="Times New Roman" w:hAnsi="Times New Roman" w:eastAsia="宋体" w:cs="Times New Roman"/>
          <w:szCs w:val="22"/>
        </w:rPr>
        <w:t>工艺实际的</w:t>
      </w:r>
      <w:r>
        <w:rPr>
          <w:rFonts w:hint="eastAsia" w:ascii="Times New Roman" w:hAnsi="Times New Roman" w:eastAsia="宋体" w:cs="Times New Roman"/>
          <w:szCs w:val="21"/>
        </w:rPr>
        <w:t>TN</w:t>
      </w:r>
      <w:r>
        <w:rPr>
          <w:rFonts w:hint="eastAsia" w:ascii="Times New Roman" w:hAnsi="Times New Roman" w:eastAsia="宋体" w:cs="Times New Roman"/>
          <w:szCs w:val="22"/>
        </w:rPr>
        <w:t>去除率为63.5%。通过对泡菜行业省控重点企业的监测数据进行分析，现有重点企业生产废水出水</w:t>
      </w:r>
      <w:r>
        <w:rPr>
          <w:rFonts w:hint="eastAsia" w:ascii="Times New Roman" w:hAnsi="Times New Roman" w:eastAsia="宋体" w:cs="Times New Roman"/>
          <w:szCs w:val="21"/>
        </w:rPr>
        <w:t>TN浓度值低于45</w:t>
      </w:r>
      <w:r>
        <w:rPr>
          <w:rFonts w:hint="eastAsia" w:ascii="Times New Roman" w:hAnsi="Times New Roman" w:eastAsia="宋体" w:cs="Times New Roman"/>
          <w:szCs w:val="22"/>
        </w:rPr>
        <w:t xml:space="preserve"> mg/L的比例为42.86%，</w:t>
      </w:r>
      <w:r>
        <w:rPr>
          <w:rFonts w:hint="eastAsia" w:ascii="Times New Roman" w:hAnsi="Times New Roman" w:eastAsia="宋体" w:cs="Times New Roman"/>
          <w:szCs w:val="21"/>
        </w:rPr>
        <w:t>达标率较低的原因在于</w:t>
      </w:r>
      <w:r>
        <w:rPr>
          <w:rFonts w:hint="eastAsia" w:ascii="Times New Roman" w:hAnsi="Times New Roman" w:eastAsia="宋体" w:cs="Times New Roman"/>
          <w:szCs w:val="22"/>
        </w:rPr>
        <w:t>GB 8978未对TN作出要求，未引起企业重视，若采取有效措施应能达到标准限值要求</w:t>
      </w:r>
      <w:r>
        <w:rPr>
          <w:rFonts w:hint="eastAsia" w:ascii="Times New Roman" w:hAnsi="Times New Roman" w:eastAsia="宋体" w:cs="Times New Roman"/>
          <w:szCs w:val="21"/>
        </w:rPr>
        <w:t>。</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（8）总磷</w:t>
      </w:r>
      <w:r>
        <w:rPr>
          <w:rFonts w:hint="eastAsia" w:ascii="Times New Roman" w:hAnsi="Times New Roman" w:eastAsia="宋体" w:cs="Times New Roman"/>
          <w:szCs w:val="21"/>
        </w:rPr>
        <w:t>（</w:t>
      </w:r>
      <w:r>
        <w:rPr>
          <w:rFonts w:ascii="Times New Roman" w:hAnsi="Times New Roman" w:eastAsia="宋体" w:cs="Times New Roman"/>
          <w:szCs w:val="21"/>
        </w:rPr>
        <w:t>TP</w:t>
      </w:r>
      <w:r>
        <w:rPr>
          <w:rFonts w:hint="eastAsia" w:ascii="Times New Roman" w:hAnsi="Times New Roman" w:eastAsia="宋体" w:cs="Times New Roman"/>
          <w:szCs w:val="21"/>
        </w:rPr>
        <w:t>）</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标准规定现有企业和新建企业泡菜废水总磷的排放限值均为 0.5mg/L，与GB 8978 的表4 中一级排放限值（0.5mg/L）相同。.</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泡菜废水中总磷浓度一般在</w:t>
      </w:r>
      <w:r>
        <w:rPr>
          <w:rFonts w:ascii="Times New Roman" w:hAnsi="Times New Roman" w:eastAsia="宋体" w:cs="Times New Roman"/>
          <w:szCs w:val="22"/>
        </w:rPr>
        <w:t>10-25</w:t>
      </w:r>
      <w:r>
        <w:rPr>
          <w:rFonts w:hint="eastAsia" w:ascii="Times New Roman" w:hAnsi="Times New Roman" w:eastAsia="宋体" w:cs="Times New Roman"/>
          <w:szCs w:val="22"/>
        </w:rPr>
        <w:t xml:space="preserve"> mg/L之间，目前采用</w:t>
      </w:r>
      <w:r>
        <w:rPr>
          <w:rFonts w:ascii="Times New Roman" w:hAnsi="Times New Roman" w:eastAsia="宋体" w:cs="Times New Roman"/>
          <w:szCs w:val="22"/>
        </w:rPr>
        <w:t>UASB+A/O+曝气生物滤池</w:t>
      </w:r>
      <w:r>
        <w:rPr>
          <w:rFonts w:hint="eastAsia" w:ascii="Times New Roman" w:hAnsi="Times New Roman" w:eastAsia="宋体" w:cs="Times New Roman"/>
          <w:szCs w:val="22"/>
        </w:rPr>
        <w:t>工艺能够实现</w:t>
      </w:r>
      <w:r>
        <w:rPr>
          <w:rFonts w:hint="eastAsia" w:ascii="Times New Roman" w:hAnsi="Times New Roman" w:eastAsia="宋体" w:cs="Times New Roman"/>
          <w:szCs w:val="21"/>
        </w:rPr>
        <w:t>TP</w:t>
      </w:r>
      <w:r>
        <w:rPr>
          <w:rFonts w:hint="eastAsia" w:ascii="Times New Roman" w:hAnsi="Times New Roman" w:eastAsia="宋体" w:cs="Times New Roman"/>
          <w:szCs w:val="22"/>
        </w:rPr>
        <w:t>去除率99.5%，采用的</w:t>
      </w:r>
      <w:r>
        <w:rPr>
          <w:rFonts w:ascii="Times New Roman" w:hAnsi="Times New Roman" w:eastAsia="宋体" w:cs="Times New Roman"/>
          <w:szCs w:val="22"/>
        </w:rPr>
        <w:t>ABR+A/O+植物稳定塘</w:t>
      </w:r>
      <w:r>
        <w:rPr>
          <w:rFonts w:hint="eastAsia" w:ascii="Times New Roman" w:hAnsi="Times New Roman" w:eastAsia="宋体" w:cs="Times New Roman"/>
          <w:szCs w:val="22"/>
        </w:rPr>
        <w:t>工艺能够实现</w:t>
      </w:r>
      <w:r>
        <w:rPr>
          <w:rFonts w:hint="eastAsia" w:ascii="Times New Roman" w:hAnsi="Times New Roman" w:eastAsia="宋体" w:cs="Times New Roman"/>
          <w:szCs w:val="21"/>
        </w:rPr>
        <w:t>TP</w:t>
      </w:r>
      <w:r>
        <w:rPr>
          <w:rFonts w:hint="eastAsia" w:ascii="Times New Roman" w:hAnsi="Times New Roman" w:eastAsia="宋体" w:cs="Times New Roman"/>
          <w:szCs w:val="22"/>
        </w:rPr>
        <w:t>去除率99.6%，采用的</w:t>
      </w:r>
      <w:r>
        <w:rPr>
          <w:rFonts w:ascii="Times New Roman" w:hAnsi="Times New Roman" w:eastAsia="宋体" w:cs="Times New Roman"/>
          <w:szCs w:val="22"/>
        </w:rPr>
        <w:t>ABR+生物接触氧化</w:t>
      </w:r>
      <w:r>
        <w:rPr>
          <w:rFonts w:hint="eastAsia" w:ascii="Times New Roman" w:hAnsi="Times New Roman" w:eastAsia="宋体" w:cs="Times New Roman"/>
          <w:szCs w:val="22"/>
        </w:rPr>
        <w:t>工艺能够实现</w:t>
      </w:r>
      <w:r>
        <w:rPr>
          <w:rFonts w:hint="eastAsia" w:ascii="Times New Roman" w:hAnsi="Times New Roman" w:eastAsia="宋体" w:cs="Times New Roman"/>
          <w:szCs w:val="21"/>
        </w:rPr>
        <w:t>TP</w:t>
      </w:r>
      <w:r>
        <w:rPr>
          <w:rFonts w:hint="eastAsia" w:ascii="Times New Roman" w:hAnsi="Times New Roman" w:eastAsia="宋体" w:cs="Times New Roman"/>
          <w:szCs w:val="22"/>
        </w:rPr>
        <w:t>去除率98.8%，采用的多级</w:t>
      </w:r>
      <w:r>
        <w:rPr>
          <w:rFonts w:ascii="Times New Roman" w:hAnsi="Times New Roman" w:eastAsia="宋体" w:cs="Times New Roman"/>
          <w:szCs w:val="22"/>
        </w:rPr>
        <w:t>接触氧化</w:t>
      </w:r>
      <w:r>
        <w:rPr>
          <w:rFonts w:hint="eastAsia" w:ascii="Times New Roman" w:hAnsi="Times New Roman" w:eastAsia="宋体" w:cs="Times New Roman"/>
          <w:szCs w:val="22"/>
        </w:rPr>
        <w:t>工艺能够实现</w:t>
      </w:r>
      <w:r>
        <w:rPr>
          <w:rFonts w:hint="eastAsia" w:ascii="Times New Roman" w:hAnsi="Times New Roman" w:eastAsia="宋体" w:cs="Times New Roman"/>
          <w:szCs w:val="21"/>
        </w:rPr>
        <w:t>TP</w:t>
      </w:r>
      <w:r>
        <w:rPr>
          <w:rFonts w:hint="eastAsia" w:ascii="Times New Roman" w:hAnsi="Times New Roman" w:eastAsia="宋体" w:cs="Times New Roman"/>
          <w:szCs w:val="22"/>
        </w:rPr>
        <w:t>去除率99.8%，基本能够达到标准限值要求。通过对泡菜行业省控重点企业的监测数据进行分析，现有重点企业生产废水出水</w:t>
      </w:r>
      <w:r>
        <w:rPr>
          <w:rFonts w:hint="eastAsia" w:ascii="Times New Roman" w:hAnsi="Times New Roman" w:eastAsia="宋体" w:cs="Times New Roman"/>
          <w:szCs w:val="21"/>
        </w:rPr>
        <w:t>TP浓度值均能达到标准限值要求。</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（9）氯化物</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由于泡菜在生产加工过程中需要加入大量的食盐，因此泡菜废水中氯化物含量非常高，其盐渍</w:t>
      </w:r>
      <w:r>
        <w:rPr>
          <w:rFonts w:ascii="Times New Roman" w:hAnsi="Times New Roman" w:eastAsia="宋体" w:cs="Times New Roman"/>
          <w:szCs w:val="22"/>
        </w:rPr>
        <w:t>工段，废水氯化物浓度在</w:t>
      </w:r>
      <w:r>
        <w:rPr>
          <w:rFonts w:hint="eastAsia" w:ascii="Times New Roman" w:hAnsi="Times New Roman" w:eastAsia="宋体" w:cs="Times New Roman"/>
          <w:szCs w:val="22"/>
        </w:rPr>
        <w:t>约为</w:t>
      </w:r>
      <w:r>
        <w:rPr>
          <w:rFonts w:ascii="Times New Roman" w:hAnsi="Times New Roman" w:eastAsia="宋体" w:cs="Times New Roman"/>
          <w:szCs w:val="22"/>
        </w:rPr>
        <w:t>60</w:t>
      </w:r>
      <w:r>
        <w:rPr>
          <w:rFonts w:hint="eastAsia" w:ascii="Times New Roman" w:hAnsi="Times New Roman" w:eastAsia="宋体" w:cs="Times New Roman"/>
          <w:szCs w:val="22"/>
        </w:rPr>
        <w:t>000</w:t>
      </w:r>
      <w:r>
        <w:rPr>
          <w:rFonts w:ascii="Times New Roman" w:hAnsi="Times New Roman" w:eastAsia="宋体" w:cs="Times New Roman"/>
          <w:szCs w:val="22"/>
        </w:rPr>
        <w:t>-108000mg/L</w:t>
      </w:r>
      <w:r>
        <w:rPr>
          <w:rFonts w:hint="eastAsia" w:ascii="Times New Roman" w:hAnsi="Times New Roman" w:eastAsia="宋体" w:cs="Times New Roman"/>
          <w:szCs w:val="22"/>
        </w:rPr>
        <w:t>甚至</w:t>
      </w:r>
      <w:r>
        <w:rPr>
          <w:rFonts w:ascii="Times New Roman" w:hAnsi="Times New Roman" w:eastAsia="宋体" w:cs="Times New Roman"/>
          <w:szCs w:val="22"/>
        </w:rPr>
        <w:t>更</w:t>
      </w:r>
      <w:r>
        <w:rPr>
          <w:rFonts w:hint="eastAsia" w:ascii="Times New Roman" w:hAnsi="Times New Roman" w:eastAsia="宋体" w:cs="Times New Roman"/>
          <w:szCs w:val="22"/>
        </w:rPr>
        <w:t>高</w:t>
      </w:r>
      <w:r>
        <w:rPr>
          <w:rFonts w:ascii="Times New Roman" w:hAnsi="Times New Roman" w:eastAsia="宋体" w:cs="Times New Roman"/>
          <w:szCs w:val="22"/>
        </w:rPr>
        <w:t>（</w:t>
      </w:r>
      <w:r>
        <w:rPr>
          <w:rFonts w:hint="eastAsia" w:ascii="Times New Roman" w:hAnsi="Times New Roman" w:eastAsia="宋体" w:cs="Times New Roman"/>
          <w:szCs w:val="22"/>
        </w:rPr>
        <w:t>N</w:t>
      </w:r>
      <w:r>
        <w:rPr>
          <w:rFonts w:ascii="Times New Roman" w:hAnsi="Times New Roman" w:eastAsia="宋体" w:cs="Times New Roman"/>
          <w:szCs w:val="22"/>
        </w:rPr>
        <w:t>aCl浓度</w:t>
      </w:r>
      <w:r>
        <w:rPr>
          <w:rFonts w:hint="eastAsia" w:ascii="Times New Roman" w:hAnsi="Times New Roman" w:eastAsia="宋体" w:cs="Times New Roman"/>
          <w:szCs w:val="22"/>
        </w:rPr>
        <w:t>或</w:t>
      </w:r>
      <w:r>
        <w:rPr>
          <w:rFonts w:ascii="Times New Roman" w:hAnsi="Times New Roman" w:eastAsia="宋体" w:cs="Times New Roman"/>
          <w:szCs w:val="22"/>
        </w:rPr>
        <w:t>盐度</w:t>
      </w:r>
      <w:r>
        <w:rPr>
          <w:rFonts w:hint="eastAsia" w:ascii="Times New Roman" w:hAnsi="Times New Roman" w:eastAsia="宋体" w:cs="Times New Roman"/>
          <w:szCs w:val="22"/>
        </w:rPr>
        <w:t>6</w:t>
      </w:r>
      <w:r>
        <w:rPr>
          <w:rFonts w:ascii="Times New Roman" w:hAnsi="Times New Roman" w:eastAsia="宋体" w:cs="Times New Roman"/>
          <w:szCs w:val="22"/>
        </w:rPr>
        <w:t>-18%</w:t>
      </w:r>
      <w:r>
        <w:rPr>
          <w:rFonts w:hint="eastAsia" w:ascii="Times New Roman" w:hAnsi="Times New Roman" w:eastAsia="宋体" w:cs="Times New Roman"/>
          <w:szCs w:val="22"/>
        </w:rPr>
        <w:t>，</w:t>
      </w:r>
      <w:r>
        <w:rPr>
          <w:rFonts w:ascii="Times New Roman" w:hAnsi="Times New Roman" w:eastAsia="宋体" w:cs="Times New Roman"/>
          <w:szCs w:val="22"/>
        </w:rPr>
        <w:t>最高可达</w:t>
      </w:r>
      <w:r>
        <w:rPr>
          <w:rFonts w:hint="eastAsia" w:ascii="Times New Roman" w:hAnsi="Times New Roman" w:eastAsia="宋体" w:cs="Times New Roman"/>
          <w:szCs w:val="22"/>
        </w:rPr>
        <w:t>20</w:t>
      </w:r>
      <w:r>
        <w:rPr>
          <w:rFonts w:ascii="Times New Roman" w:hAnsi="Times New Roman" w:eastAsia="宋体" w:cs="Times New Roman"/>
          <w:szCs w:val="22"/>
        </w:rPr>
        <w:t>%以上）</w:t>
      </w:r>
      <w:r>
        <w:rPr>
          <w:rFonts w:hint="eastAsia" w:ascii="Times New Roman" w:hAnsi="Times New Roman" w:eastAsia="宋体" w:cs="Times New Roman"/>
          <w:szCs w:val="22"/>
        </w:rPr>
        <w:t>；脱盐</w:t>
      </w:r>
      <w:r>
        <w:rPr>
          <w:rFonts w:ascii="Times New Roman" w:hAnsi="Times New Roman" w:eastAsia="宋体" w:cs="Times New Roman"/>
          <w:szCs w:val="22"/>
        </w:rPr>
        <w:t>工段废水氯化物浓度</w:t>
      </w:r>
      <w:r>
        <w:rPr>
          <w:rFonts w:hint="eastAsia" w:ascii="Times New Roman" w:hAnsi="Times New Roman" w:eastAsia="宋体" w:cs="Times New Roman"/>
          <w:szCs w:val="22"/>
        </w:rPr>
        <w:t>约</w:t>
      </w:r>
      <w:r>
        <w:rPr>
          <w:rFonts w:ascii="Times New Roman" w:hAnsi="Times New Roman" w:eastAsia="宋体" w:cs="Times New Roman"/>
          <w:szCs w:val="22"/>
        </w:rPr>
        <w:t>为</w:t>
      </w:r>
      <w:r>
        <w:rPr>
          <w:rFonts w:hint="eastAsia" w:ascii="Times New Roman" w:hAnsi="Times New Roman" w:eastAsia="宋体" w:cs="Times New Roman"/>
          <w:szCs w:val="22"/>
        </w:rPr>
        <w:t>12000</w:t>
      </w:r>
      <w:r>
        <w:rPr>
          <w:rFonts w:ascii="Times New Roman" w:hAnsi="Times New Roman" w:eastAsia="宋体" w:cs="Times New Roman"/>
          <w:szCs w:val="22"/>
        </w:rPr>
        <w:t>-18000mg/L</w:t>
      </w:r>
      <w:r>
        <w:rPr>
          <w:rFonts w:hint="eastAsia" w:ascii="Times New Roman" w:hAnsi="Times New Roman" w:eastAsia="宋体" w:cs="Times New Roman"/>
          <w:szCs w:val="22"/>
        </w:rPr>
        <w:t>（NaCl浓度或盐度</w:t>
      </w:r>
      <w:r>
        <w:rPr>
          <w:rFonts w:ascii="Times New Roman" w:hAnsi="Times New Roman" w:eastAsia="宋体" w:cs="Times New Roman"/>
          <w:szCs w:val="22"/>
        </w:rPr>
        <w:t>2</w:t>
      </w:r>
      <w:r>
        <w:rPr>
          <w:rFonts w:hint="eastAsia" w:ascii="Times New Roman" w:hAnsi="Times New Roman" w:eastAsia="宋体" w:cs="Times New Roman"/>
          <w:szCs w:val="22"/>
        </w:rPr>
        <w:t>-</w:t>
      </w:r>
      <w:r>
        <w:rPr>
          <w:rFonts w:ascii="Times New Roman" w:hAnsi="Times New Roman" w:eastAsia="宋体" w:cs="Times New Roman"/>
          <w:szCs w:val="22"/>
        </w:rPr>
        <w:t>3</w:t>
      </w:r>
      <w:r>
        <w:rPr>
          <w:rFonts w:hint="eastAsia" w:ascii="Times New Roman" w:hAnsi="Times New Roman" w:eastAsia="宋体" w:cs="Times New Roman"/>
          <w:szCs w:val="22"/>
        </w:rPr>
        <w:t>%）；</w:t>
      </w:r>
      <w:r>
        <w:rPr>
          <w:rFonts w:ascii="Times New Roman" w:hAnsi="Times New Roman" w:eastAsia="宋体" w:cs="Times New Roman"/>
          <w:szCs w:val="22"/>
        </w:rPr>
        <w:t>清洗工段废水氯化物浓度为</w:t>
      </w:r>
      <w:r>
        <w:rPr>
          <w:rFonts w:hint="eastAsia" w:ascii="Times New Roman" w:hAnsi="Times New Roman" w:eastAsia="宋体" w:cs="Times New Roman"/>
          <w:szCs w:val="22"/>
        </w:rPr>
        <w:t>3000</w:t>
      </w:r>
      <w:r>
        <w:rPr>
          <w:rFonts w:ascii="Times New Roman" w:hAnsi="Times New Roman" w:eastAsia="宋体" w:cs="Times New Roman"/>
          <w:szCs w:val="22"/>
        </w:rPr>
        <w:t>-6000mg/L</w:t>
      </w:r>
      <w:r>
        <w:rPr>
          <w:rFonts w:hint="eastAsia" w:ascii="Times New Roman" w:hAnsi="Times New Roman" w:eastAsia="宋体" w:cs="Times New Roman"/>
          <w:szCs w:val="22"/>
        </w:rPr>
        <w:t>（NaCl浓度或盐度</w:t>
      </w:r>
      <w:r>
        <w:rPr>
          <w:rFonts w:ascii="Times New Roman" w:hAnsi="Times New Roman" w:eastAsia="宋体" w:cs="Times New Roman"/>
          <w:szCs w:val="22"/>
        </w:rPr>
        <w:t>0.5</w:t>
      </w:r>
      <w:r>
        <w:rPr>
          <w:rFonts w:hint="eastAsia" w:ascii="Times New Roman" w:hAnsi="Times New Roman" w:eastAsia="宋体" w:cs="Times New Roman"/>
          <w:szCs w:val="22"/>
        </w:rPr>
        <w:t>-</w:t>
      </w:r>
      <w:r>
        <w:rPr>
          <w:rFonts w:ascii="Times New Roman" w:hAnsi="Times New Roman" w:eastAsia="宋体" w:cs="Times New Roman"/>
          <w:szCs w:val="22"/>
        </w:rPr>
        <w:t>1</w:t>
      </w:r>
      <w:r>
        <w:rPr>
          <w:rFonts w:hint="eastAsia" w:ascii="Times New Roman" w:hAnsi="Times New Roman" w:eastAsia="宋体" w:cs="Times New Roman"/>
          <w:szCs w:val="22"/>
        </w:rPr>
        <w:t>%）。根据</w:t>
      </w:r>
      <w:r>
        <w:rPr>
          <w:rFonts w:ascii="Times New Roman" w:hAnsi="Times New Roman" w:eastAsia="宋体" w:cs="Times New Roman"/>
          <w:szCs w:val="22"/>
        </w:rPr>
        <w:t>调查监测，</w:t>
      </w:r>
      <w:r>
        <w:rPr>
          <w:rFonts w:hint="eastAsia" w:ascii="Times New Roman" w:hAnsi="Times New Roman" w:eastAsia="宋体" w:cs="Times New Roman"/>
          <w:szCs w:val="22"/>
        </w:rPr>
        <w:t>四川省</w:t>
      </w:r>
      <w:r>
        <w:rPr>
          <w:rFonts w:ascii="Times New Roman" w:hAnsi="Times New Roman" w:eastAsia="宋体" w:cs="Times New Roman"/>
          <w:szCs w:val="22"/>
        </w:rPr>
        <w:t>泡菜废水企业</w:t>
      </w:r>
      <w:r>
        <w:rPr>
          <w:rFonts w:hint="eastAsia" w:ascii="Times New Roman" w:hAnsi="Times New Roman" w:eastAsia="宋体" w:cs="Times New Roman"/>
          <w:szCs w:val="22"/>
        </w:rPr>
        <w:t>总排口氯化物浓度在3890-6900mg/L之间，目前企业已有</w:t>
      </w:r>
      <w:r>
        <w:rPr>
          <w:rFonts w:ascii="Times New Roman" w:hAnsi="Times New Roman" w:eastAsia="宋体" w:cs="Times New Roman"/>
          <w:szCs w:val="22"/>
        </w:rPr>
        <w:t>废水处理设施及工艺均</w:t>
      </w:r>
      <w:r>
        <w:rPr>
          <w:rFonts w:hint="eastAsia" w:ascii="Times New Roman" w:hAnsi="Times New Roman" w:eastAsia="宋体" w:cs="Times New Roman"/>
          <w:szCs w:val="22"/>
        </w:rPr>
        <w:t>无脱盐功能，且由于</w:t>
      </w:r>
      <w:r>
        <w:rPr>
          <w:rFonts w:ascii="Times New Roman" w:hAnsi="Times New Roman" w:eastAsia="宋体" w:cs="Times New Roman"/>
          <w:szCs w:val="22"/>
        </w:rPr>
        <w:t>成本问题，也无法对所有泡菜废水</w:t>
      </w:r>
      <w:r>
        <w:rPr>
          <w:rFonts w:hint="eastAsia" w:ascii="Times New Roman" w:hAnsi="Times New Roman" w:eastAsia="宋体" w:cs="Times New Roman"/>
          <w:szCs w:val="22"/>
        </w:rPr>
        <w:t>进行</w:t>
      </w:r>
      <w:r>
        <w:rPr>
          <w:rFonts w:ascii="Times New Roman" w:hAnsi="Times New Roman" w:eastAsia="宋体" w:cs="Times New Roman"/>
          <w:szCs w:val="22"/>
        </w:rPr>
        <w:t>脱盐处理。</w:t>
      </w:r>
      <w:r>
        <w:rPr>
          <w:rFonts w:hint="eastAsia" w:ascii="Times New Roman" w:hAnsi="Times New Roman" w:eastAsia="宋体" w:cs="Times New Roman"/>
          <w:szCs w:val="22"/>
        </w:rPr>
        <w:t>而</w:t>
      </w:r>
      <w:r>
        <w:rPr>
          <w:rFonts w:ascii="Times New Roman" w:hAnsi="Times New Roman" w:eastAsia="宋体" w:cs="Times New Roman"/>
          <w:szCs w:val="22"/>
        </w:rPr>
        <w:t>针对高浓度盐渍废水的处理工艺，</w:t>
      </w:r>
      <w:r>
        <w:rPr>
          <w:rFonts w:hint="eastAsia" w:ascii="Times New Roman" w:hAnsi="Times New Roman" w:eastAsia="宋体" w:cs="Times New Roman"/>
          <w:szCs w:val="22"/>
        </w:rPr>
        <w:t>如MVR蒸发、电渗析-膜系统等手段可减少部分盐排放，但MVR蒸发和电渗析-膜系统在处理榨菜废水中不仅费用超过了一般企业所承受的范围，而且其运行中还存在很多目前尚不能解决的问题。</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同时，为掌握</w:t>
      </w:r>
      <w:r>
        <w:rPr>
          <w:rFonts w:ascii="Times New Roman" w:hAnsi="Times New Roman" w:eastAsia="宋体" w:cs="Times New Roman"/>
          <w:szCs w:val="22"/>
        </w:rPr>
        <w:t>氯离子排放对环境水体的影响，我省自</w:t>
      </w:r>
      <w:r>
        <w:rPr>
          <w:rFonts w:hint="eastAsia" w:ascii="Times New Roman" w:hAnsi="Times New Roman" w:eastAsia="宋体" w:cs="Times New Roman"/>
          <w:szCs w:val="22"/>
        </w:rPr>
        <w:t>201</w:t>
      </w:r>
      <w:r>
        <w:rPr>
          <w:rFonts w:ascii="Times New Roman" w:hAnsi="Times New Roman" w:eastAsia="宋体" w:cs="Times New Roman"/>
          <w:szCs w:val="22"/>
        </w:rPr>
        <w:t>8</w:t>
      </w:r>
      <w:r>
        <w:rPr>
          <w:rFonts w:hint="eastAsia" w:ascii="Times New Roman" w:hAnsi="Times New Roman" w:eastAsia="宋体" w:cs="Times New Roman"/>
          <w:szCs w:val="22"/>
        </w:rPr>
        <w:t>年</w:t>
      </w:r>
      <w:r>
        <w:rPr>
          <w:rFonts w:ascii="Times New Roman" w:hAnsi="Times New Roman" w:eastAsia="宋体" w:cs="Times New Roman"/>
          <w:szCs w:val="22"/>
        </w:rPr>
        <w:t>开展了</w:t>
      </w:r>
      <w:r>
        <w:rPr>
          <w:rFonts w:hint="eastAsia" w:ascii="Times New Roman" w:hAnsi="Times New Roman" w:eastAsia="宋体" w:cs="Times New Roman"/>
          <w:szCs w:val="22"/>
        </w:rPr>
        <w:t>重点水环境</w:t>
      </w:r>
      <w:r>
        <w:rPr>
          <w:rFonts w:ascii="Times New Roman" w:hAnsi="Times New Roman" w:eastAsia="宋体" w:cs="Times New Roman"/>
          <w:szCs w:val="22"/>
        </w:rPr>
        <w:t>断面氯离子浓度监测的工作</w:t>
      </w:r>
      <w:r>
        <w:rPr>
          <w:rFonts w:hint="eastAsia" w:ascii="Times New Roman" w:hAnsi="Times New Roman" w:eastAsia="宋体" w:cs="Times New Roman"/>
          <w:szCs w:val="22"/>
        </w:rPr>
        <w:t>，</w:t>
      </w:r>
      <w:r>
        <w:rPr>
          <w:rFonts w:ascii="Times New Roman" w:hAnsi="Times New Roman" w:eastAsia="宋体" w:cs="Times New Roman"/>
          <w:szCs w:val="22"/>
        </w:rPr>
        <w:t>如图5-3</w:t>
      </w:r>
      <w:r>
        <w:rPr>
          <w:rFonts w:hint="eastAsia" w:ascii="Times New Roman" w:hAnsi="Times New Roman" w:eastAsia="宋体" w:cs="Times New Roman"/>
          <w:szCs w:val="22"/>
        </w:rPr>
        <w:t>和图5</w:t>
      </w:r>
      <w:r>
        <w:rPr>
          <w:rFonts w:ascii="Times New Roman" w:hAnsi="Times New Roman" w:eastAsia="宋体" w:cs="Times New Roman"/>
          <w:szCs w:val="22"/>
        </w:rPr>
        <w:t>-4</w:t>
      </w:r>
      <w:r>
        <w:rPr>
          <w:rFonts w:hint="eastAsia" w:ascii="Times New Roman" w:hAnsi="Times New Roman" w:eastAsia="宋体" w:cs="Times New Roman"/>
          <w:szCs w:val="22"/>
        </w:rPr>
        <w:t>所示</w:t>
      </w:r>
      <w:r>
        <w:rPr>
          <w:rFonts w:ascii="Times New Roman" w:hAnsi="Times New Roman" w:eastAsia="宋体" w:cs="Times New Roman"/>
          <w:szCs w:val="22"/>
        </w:rPr>
        <w:t>。</w:t>
      </w:r>
      <w:r>
        <w:rPr>
          <w:rFonts w:hint="eastAsia" w:ascii="Times New Roman" w:hAnsi="Times New Roman" w:eastAsia="宋体" w:cs="Times New Roman"/>
          <w:szCs w:val="22"/>
        </w:rPr>
        <w:t>2018</w:t>
      </w:r>
      <w:r>
        <w:rPr>
          <w:rFonts w:ascii="Times New Roman" w:hAnsi="Times New Roman" w:eastAsia="宋体" w:cs="Times New Roman"/>
          <w:szCs w:val="22"/>
        </w:rPr>
        <w:t xml:space="preserve"> -2020</w:t>
      </w:r>
      <w:r>
        <w:rPr>
          <w:rFonts w:hint="eastAsia" w:ascii="Times New Roman" w:hAnsi="Times New Roman" w:eastAsia="宋体" w:cs="Times New Roman"/>
          <w:szCs w:val="22"/>
        </w:rPr>
        <w:t>年，四川省长江一级支流干流地表水断面氯化物平均浓度在4mg/L～</w:t>
      </w:r>
      <w:r>
        <w:rPr>
          <w:rFonts w:ascii="Times New Roman" w:hAnsi="Times New Roman" w:eastAsia="宋体" w:cs="Times New Roman"/>
          <w:szCs w:val="22"/>
        </w:rPr>
        <w:t>80</w:t>
      </w:r>
      <w:r>
        <w:rPr>
          <w:rFonts w:hint="eastAsia" w:ascii="Times New Roman" w:hAnsi="Times New Roman" w:eastAsia="宋体" w:cs="Times New Roman"/>
          <w:szCs w:val="22"/>
        </w:rPr>
        <w:t xml:space="preserve"> mg/L范围内，远远低于已知部分水生生物的氯化物致毒浓度。但从上游到下游沱江大桥和沙溪口有氯离子浓度升高的趋势，并且部分支流污染较严重，氯离子浓度最高达到了243 mg/L。由上可以分析得到四川省泡菜企业高盐废水的排放短时间内对水生动植物不会造成明显影响，但长期潜在影响当前无法评估。</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根据</w:t>
      </w:r>
      <w:r>
        <w:rPr>
          <w:rFonts w:ascii="Times New Roman" w:hAnsi="Times New Roman" w:eastAsia="宋体" w:cs="Times New Roman"/>
          <w:szCs w:val="22"/>
        </w:rPr>
        <w:t>以上</w:t>
      </w:r>
      <w:r>
        <w:rPr>
          <w:rFonts w:hint="eastAsia" w:ascii="Times New Roman" w:hAnsi="Times New Roman" w:eastAsia="宋体" w:cs="Times New Roman"/>
          <w:szCs w:val="22"/>
        </w:rPr>
        <w:t>分析，本标准规定现有企业盐渍泡菜</w:t>
      </w:r>
      <w:r>
        <w:rPr>
          <w:rFonts w:ascii="Times New Roman" w:hAnsi="Times New Roman" w:eastAsia="宋体" w:cs="Times New Roman"/>
          <w:szCs w:val="22"/>
        </w:rPr>
        <w:t>企业</w:t>
      </w:r>
      <w:r>
        <w:rPr>
          <w:rFonts w:hint="eastAsia" w:ascii="Times New Roman" w:hAnsi="Times New Roman" w:eastAsia="宋体" w:cs="Times New Roman"/>
          <w:szCs w:val="22"/>
        </w:rPr>
        <w:t>废水氯化物的排放限值为6000 mg/L，混合型</w:t>
      </w:r>
      <w:r>
        <w:rPr>
          <w:rFonts w:ascii="Times New Roman" w:hAnsi="Times New Roman" w:eastAsia="宋体" w:cs="Times New Roman"/>
          <w:szCs w:val="22"/>
        </w:rPr>
        <w:t>企业废水氯化物排放限值为</w:t>
      </w:r>
      <w:r>
        <w:rPr>
          <w:rFonts w:hint="eastAsia" w:ascii="Times New Roman" w:hAnsi="Times New Roman" w:eastAsia="宋体" w:cs="Times New Roman"/>
          <w:szCs w:val="22"/>
        </w:rPr>
        <w:t>4000 mg/L，盐水渍泡菜及其他类盐渍类企业</w:t>
      </w:r>
      <w:r>
        <w:rPr>
          <w:rFonts w:ascii="Times New Roman" w:hAnsi="Times New Roman" w:eastAsia="宋体" w:cs="Times New Roman"/>
          <w:szCs w:val="22"/>
        </w:rPr>
        <w:t>废水氯化物排放限值为</w:t>
      </w:r>
      <w:r>
        <w:rPr>
          <w:rFonts w:hint="eastAsia" w:ascii="Times New Roman" w:hAnsi="Times New Roman" w:eastAsia="宋体" w:cs="Times New Roman"/>
          <w:szCs w:val="22"/>
        </w:rPr>
        <w:t>2000 mg/L。新建企业盐渍泡菜</w:t>
      </w:r>
      <w:r>
        <w:rPr>
          <w:rFonts w:ascii="Times New Roman" w:hAnsi="Times New Roman" w:eastAsia="宋体" w:cs="Times New Roman"/>
          <w:szCs w:val="22"/>
        </w:rPr>
        <w:t>企业</w:t>
      </w:r>
      <w:r>
        <w:rPr>
          <w:rFonts w:hint="eastAsia" w:ascii="Times New Roman" w:hAnsi="Times New Roman" w:eastAsia="宋体" w:cs="Times New Roman"/>
          <w:szCs w:val="22"/>
        </w:rPr>
        <w:t>废水氯化物的排放限值为5000 mg/L，混合型泡菜</w:t>
      </w:r>
      <w:r>
        <w:rPr>
          <w:rFonts w:ascii="Times New Roman" w:hAnsi="Times New Roman" w:eastAsia="宋体" w:cs="Times New Roman"/>
          <w:szCs w:val="22"/>
        </w:rPr>
        <w:t>企业废水氯化物排放限值为</w:t>
      </w:r>
      <w:r>
        <w:rPr>
          <w:rFonts w:hint="eastAsia" w:ascii="Times New Roman" w:hAnsi="Times New Roman" w:eastAsia="宋体" w:cs="Times New Roman"/>
          <w:szCs w:val="22"/>
        </w:rPr>
        <w:t>3000 mg/L，盐水渍菜及其他类泡菜企业</w:t>
      </w:r>
      <w:r>
        <w:rPr>
          <w:rFonts w:ascii="Times New Roman" w:hAnsi="Times New Roman" w:eastAsia="宋体" w:cs="Times New Roman"/>
          <w:szCs w:val="22"/>
        </w:rPr>
        <w:t>废水氯化物排放限值为</w:t>
      </w:r>
      <w:r>
        <w:rPr>
          <w:rFonts w:hint="eastAsia" w:ascii="Times New Roman" w:hAnsi="Times New Roman" w:eastAsia="宋体" w:cs="Times New Roman"/>
          <w:szCs w:val="22"/>
        </w:rPr>
        <w:t>1000 mg/L。盐渍泡菜</w:t>
      </w:r>
      <w:r>
        <w:rPr>
          <w:rFonts w:ascii="Times New Roman" w:hAnsi="Times New Roman" w:eastAsia="宋体" w:cs="Times New Roman"/>
          <w:szCs w:val="22"/>
        </w:rPr>
        <w:t>限值较</w:t>
      </w:r>
      <w:r>
        <w:rPr>
          <w:rFonts w:hint="eastAsia" w:ascii="Times New Roman" w:hAnsi="Times New Roman" w:eastAsia="宋体" w:cs="Times New Roman"/>
          <w:szCs w:val="22"/>
        </w:rPr>
        <w:t>《制革及毛皮加工工业水污染物排放标准》（GB30486-2013）重</w:t>
      </w:r>
      <w:r>
        <w:rPr>
          <w:rFonts w:ascii="Times New Roman" w:hAnsi="Times New Roman" w:eastAsia="宋体" w:cs="Times New Roman"/>
          <w:szCs w:val="22"/>
        </w:rPr>
        <w:t>氯化物</w:t>
      </w:r>
      <w:r>
        <w:rPr>
          <w:rFonts w:hint="eastAsia" w:ascii="Times New Roman" w:hAnsi="Times New Roman" w:eastAsia="宋体" w:cs="Times New Roman"/>
          <w:szCs w:val="22"/>
        </w:rPr>
        <w:t>直接排放限值（3000 mg/L）宽松，</w:t>
      </w:r>
      <w:r>
        <w:rPr>
          <w:rFonts w:ascii="Times New Roman" w:hAnsi="Times New Roman" w:eastAsia="宋体" w:cs="Times New Roman"/>
          <w:szCs w:val="22"/>
        </w:rPr>
        <w:t>但又严于企业目前的排放浓度。</w:t>
      </w:r>
      <w:r>
        <w:rPr>
          <w:rFonts w:hint="eastAsia" w:ascii="Times New Roman" w:hAnsi="Times New Roman" w:eastAsia="宋体" w:cs="Times New Roman"/>
          <w:szCs w:val="22"/>
        </w:rPr>
        <w:t>主要原则为</w:t>
      </w:r>
      <w:r>
        <w:rPr>
          <w:rFonts w:ascii="Times New Roman" w:hAnsi="Times New Roman" w:eastAsia="宋体" w:cs="Times New Roman"/>
          <w:szCs w:val="22"/>
        </w:rPr>
        <w:t>既考虑</w:t>
      </w:r>
      <w:r>
        <w:rPr>
          <w:rFonts w:hint="eastAsia" w:ascii="Times New Roman" w:hAnsi="Times New Roman" w:eastAsia="宋体" w:cs="Times New Roman"/>
          <w:szCs w:val="22"/>
        </w:rPr>
        <w:t>现阶段国内外</w:t>
      </w:r>
      <w:r>
        <w:rPr>
          <w:rFonts w:ascii="Times New Roman" w:hAnsi="Times New Roman" w:eastAsia="宋体" w:cs="Times New Roman"/>
          <w:szCs w:val="22"/>
        </w:rPr>
        <w:t>对氯</w:t>
      </w:r>
      <w:r>
        <w:rPr>
          <w:rFonts w:hint="eastAsia" w:ascii="Times New Roman" w:hAnsi="Times New Roman" w:eastAsia="宋体" w:cs="Times New Roman"/>
          <w:szCs w:val="22"/>
        </w:rPr>
        <w:t>化物</w:t>
      </w:r>
      <w:r>
        <w:rPr>
          <w:rFonts w:ascii="Times New Roman" w:hAnsi="Times New Roman" w:eastAsia="宋体" w:cs="Times New Roman"/>
          <w:szCs w:val="22"/>
        </w:rPr>
        <w:t>污染控制技术水平</w:t>
      </w:r>
      <w:r>
        <w:rPr>
          <w:rFonts w:hint="eastAsia" w:ascii="Times New Roman" w:hAnsi="Times New Roman" w:eastAsia="宋体" w:cs="Times New Roman"/>
          <w:szCs w:val="22"/>
        </w:rPr>
        <w:t>达不到目前环境管理需求的现状，以及四川省泡菜企业经济条件分布不均，7</w:t>
      </w:r>
      <w:r>
        <w:rPr>
          <w:rFonts w:ascii="Times New Roman" w:hAnsi="Times New Roman" w:eastAsia="宋体" w:cs="Times New Roman"/>
          <w:szCs w:val="22"/>
        </w:rPr>
        <w:t>0</w:t>
      </w:r>
      <w:r>
        <w:rPr>
          <w:rFonts w:hint="eastAsia" w:ascii="Times New Roman" w:hAnsi="Times New Roman" w:eastAsia="宋体" w:cs="Times New Roman"/>
          <w:szCs w:val="22"/>
        </w:rPr>
        <w:t>%左右企业为小微企业的现状</w:t>
      </w:r>
      <w:r>
        <w:rPr>
          <w:rFonts w:ascii="Times New Roman" w:hAnsi="Times New Roman" w:eastAsia="宋体" w:cs="Times New Roman"/>
          <w:szCs w:val="22"/>
        </w:rPr>
        <w:t>，</w:t>
      </w:r>
      <w:r>
        <w:rPr>
          <w:rFonts w:hint="eastAsia" w:ascii="Times New Roman" w:hAnsi="Times New Roman" w:eastAsia="宋体" w:cs="Times New Roman"/>
          <w:szCs w:val="22"/>
        </w:rPr>
        <w:t>以及考虑到根据现有监测数据表明我省主要干流水体尚有容纳氯离子的能力，因此在基于当前经济技术水平及环境现状，本标准</w:t>
      </w:r>
      <w:r>
        <w:rPr>
          <w:rFonts w:ascii="Times New Roman" w:hAnsi="Times New Roman" w:eastAsia="宋体" w:cs="Times New Roman"/>
          <w:szCs w:val="22"/>
        </w:rPr>
        <w:t>适当放宽对氯离子的控制</w:t>
      </w:r>
      <w:r>
        <w:rPr>
          <w:rFonts w:hint="eastAsia" w:ascii="Times New Roman" w:hAnsi="Times New Roman" w:eastAsia="宋体" w:cs="Times New Roman"/>
          <w:szCs w:val="22"/>
        </w:rPr>
        <w:t>浓度</w:t>
      </w:r>
      <w:r>
        <w:rPr>
          <w:rFonts w:ascii="Times New Roman" w:hAnsi="Times New Roman" w:eastAsia="宋体" w:cs="Times New Roman"/>
          <w:szCs w:val="22"/>
        </w:rPr>
        <w:t>，</w:t>
      </w:r>
      <w:r>
        <w:rPr>
          <w:rFonts w:hint="eastAsia" w:ascii="Times New Roman" w:hAnsi="Times New Roman" w:eastAsia="宋体" w:cs="Times New Roman"/>
          <w:szCs w:val="22"/>
        </w:rPr>
        <w:t>但又</w:t>
      </w:r>
      <w:r>
        <w:rPr>
          <w:rFonts w:ascii="Times New Roman" w:hAnsi="Times New Roman" w:eastAsia="宋体" w:cs="Times New Roman"/>
          <w:szCs w:val="22"/>
        </w:rPr>
        <w:t>可限制</w:t>
      </w:r>
      <w:r>
        <w:rPr>
          <w:rFonts w:hint="eastAsia" w:ascii="Times New Roman" w:hAnsi="Times New Roman" w:eastAsia="宋体" w:cs="Times New Roman"/>
          <w:szCs w:val="22"/>
        </w:rPr>
        <w:t>高氮磷</w:t>
      </w:r>
      <w:r>
        <w:rPr>
          <w:rFonts w:ascii="Times New Roman" w:hAnsi="Times New Roman" w:eastAsia="宋体" w:cs="Times New Roman"/>
          <w:szCs w:val="22"/>
        </w:rPr>
        <w:t>和</w:t>
      </w:r>
      <w:r>
        <w:rPr>
          <w:rFonts w:hint="eastAsia" w:ascii="Times New Roman" w:hAnsi="Times New Roman" w:eastAsia="宋体" w:cs="Times New Roman"/>
          <w:szCs w:val="22"/>
        </w:rPr>
        <w:t>高</w:t>
      </w:r>
      <w:r>
        <w:rPr>
          <w:rFonts w:ascii="Times New Roman" w:hAnsi="Times New Roman" w:eastAsia="宋体" w:cs="Times New Roman"/>
          <w:szCs w:val="22"/>
        </w:rPr>
        <w:t>氯化物</w:t>
      </w:r>
      <w:r>
        <w:rPr>
          <w:rFonts w:hint="eastAsia" w:ascii="Times New Roman" w:hAnsi="Times New Roman" w:eastAsia="宋体" w:cs="Times New Roman"/>
          <w:szCs w:val="22"/>
        </w:rPr>
        <w:t>浓度的</w:t>
      </w:r>
      <w:r>
        <w:rPr>
          <w:rFonts w:ascii="Times New Roman" w:hAnsi="Times New Roman" w:eastAsia="宋体" w:cs="Times New Roman"/>
          <w:szCs w:val="22"/>
        </w:rPr>
        <w:t>盐渍废水进入</w:t>
      </w:r>
      <w:r>
        <w:rPr>
          <w:rFonts w:hint="eastAsia" w:ascii="Times New Roman" w:hAnsi="Times New Roman" w:eastAsia="宋体" w:cs="Times New Roman"/>
          <w:szCs w:val="22"/>
        </w:rPr>
        <w:t>综合</w:t>
      </w:r>
      <w:r>
        <w:rPr>
          <w:rFonts w:ascii="Times New Roman" w:hAnsi="Times New Roman" w:eastAsia="宋体" w:cs="Times New Roman"/>
          <w:szCs w:val="22"/>
        </w:rPr>
        <w:t>废水处理工段</w:t>
      </w:r>
      <w:r>
        <w:rPr>
          <w:rFonts w:hint="eastAsia" w:ascii="Times New Roman" w:hAnsi="Times New Roman" w:eastAsia="宋体" w:cs="Times New Roman"/>
          <w:szCs w:val="22"/>
        </w:rPr>
        <w:t>，从而倒逼企业升级污染治理工艺，</w:t>
      </w:r>
      <w:r>
        <w:rPr>
          <w:rFonts w:ascii="Times New Roman" w:hAnsi="Times New Roman" w:eastAsia="宋体" w:cs="Times New Roman"/>
          <w:szCs w:val="22"/>
        </w:rPr>
        <w:t>加强清洁生产意识</w:t>
      </w:r>
      <w:r>
        <w:rPr>
          <w:rFonts w:hint="eastAsia" w:ascii="Times New Roman" w:hAnsi="Times New Roman" w:eastAsia="宋体" w:cs="Times New Roman"/>
          <w:szCs w:val="22"/>
        </w:rPr>
        <w:t>，促进企业从</w:t>
      </w:r>
      <w:r>
        <w:rPr>
          <w:rFonts w:ascii="Times New Roman" w:hAnsi="Times New Roman" w:eastAsia="宋体" w:cs="Times New Roman"/>
          <w:szCs w:val="22"/>
        </w:rPr>
        <w:t>源头优化</w:t>
      </w:r>
      <w:r>
        <w:rPr>
          <w:rFonts w:hint="eastAsia" w:ascii="Times New Roman" w:hAnsi="Times New Roman" w:eastAsia="宋体" w:cs="Times New Roman"/>
          <w:szCs w:val="22"/>
        </w:rPr>
        <w:t>生产工艺</w:t>
      </w:r>
      <w:r>
        <w:rPr>
          <w:rFonts w:ascii="Times New Roman" w:hAnsi="Times New Roman" w:eastAsia="宋体" w:cs="Times New Roman"/>
          <w:szCs w:val="22"/>
        </w:rPr>
        <w:t>，并加强对盐渍废水处理和</w:t>
      </w:r>
      <w:r>
        <w:rPr>
          <w:rFonts w:hint="eastAsia" w:ascii="Times New Roman" w:hAnsi="Times New Roman" w:eastAsia="宋体" w:cs="Times New Roman"/>
          <w:szCs w:val="22"/>
        </w:rPr>
        <w:t>回收</w:t>
      </w:r>
      <w:r>
        <w:rPr>
          <w:rFonts w:ascii="Times New Roman" w:hAnsi="Times New Roman" w:eastAsia="宋体" w:cs="Times New Roman"/>
          <w:szCs w:val="22"/>
        </w:rPr>
        <w:t>利用。</w:t>
      </w:r>
    </w:p>
    <w:p>
      <w:pPr>
        <w:keepNext/>
        <w:keepLines/>
        <w:spacing w:before="156" w:beforeLines="50" w:after="156" w:afterLines="50" w:line="360" w:lineRule="auto"/>
        <w:jc w:val="left"/>
        <w:outlineLvl w:val="2"/>
        <w:rPr>
          <w:rFonts w:ascii="Times New Roman" w:hAnsi="Times New Roman" w:eastAsia="宋体" w:cs="Times New Roman"/>
          <w:b/>
          <w:bCs/>
          <w:sz w:val="28"/>
          <w:szCs w:val="32"/>
        </w:rPr>
      </w:pPr>
      <w:bookmarkStart w:id="53" w:name="_Toc76386132"/>
      <w:r>
        <w:rPr>
          <w:rFonts w:hint="eastAsia" w:ascii="Times New Roman" w:hAnsi="Times New Roman" w:eastAsia="宋体" w:cs="Times New Roman"/>
          <w:b/>
          <w:bCs/>
          <w:sz w:val="28"/>
          <w:szCs w:val="32"/>
        </w:rPr>
        <w:t>6.5.2间接排放限值</w:t>
      </w:r>
      <w:bookmarkEnd w:id="53"/>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主要按照《国家水污染物排放标准制订技术导则》（HJ 945.2-2018）中的相关要求，执行标准表 1 和表2中的间接排放限值。表 1和表2中只</w:t>
      </w:r>
      <w:r>
        <w:rPr>
          <w:rFonts w:ascii="Times New Roman" w:hAnsi="Times New Roman" w:eastAsia="宋体" w:cs="Times New Roman"/>
          <w:szCs w:val="22"/>
        </w:rPr>
        <w:t>规定了氯离子</w:t>
      </w:r>
      <w:r>
        <w:rPr>
          <w:rFonts w:hint="eastAsia" w:ascii="Times New Roman" w:hAnsi="Times New Roman" w:eastAsia="宋体" w:cs="Times New Roman"/>
          <w:szCs w:val="22"/>
        </w:rPr>
        <w:t>的间接排放限值，其余污染物排放限值根据《污水综合排放标准》（GB 8978-1996）、《城镇污水处理厂污染物排放标准》（GB18918-2002）和《四川省岷江、沱江流域水污染物排放标准》（DB 51/2311-2016）等</w:t>
      </w:r>
      <w:r>
        <w:rPr>
          <w:rFonts w:ascii="Times New Roman" w:hAnsi="Times New Roman" w:eastAsia="宋体" w:cs="Times New Roman"/>
          <w:szCs w:val="22"/>
        </w:rPr>
        <w:t>相应</w:t>
      </w:r>
      <w:r>
        <w:rPr>
          <w:rFonts w:hint="eastAsia" w:ascii="Times New Roman" w:hAnsi="Times New Roman" w:eastAsia="宋体" w:cs="Times New Roman"/>
          <w:szCs w:val="22"/>
        </w:rPr>
        <w:t>标准</w:t>
      </w:r>
      <w:r>
        <w:rPr>
          <w:rFonts w:ascii="Times New Roman" w:hAnsi="Times New Roman" w:eastAsia="宋体" w:cs="Times New Roman"/>
          <w:szCs w:val="22"/>
        </w:rPr>
        <w:t>的污染物排放控制要求</w:t>
      </w:r>
      <w:r>
        <w:rPr>
          <w:rFonts w:hint="eastAsia" w:ascii="Times New Roman" w:hAnsi="Times New Roman" w:eastAsia="宋体" w:cs="Times New Roman"/>
          <w:szCs w:val="22"/>
        </w:rPr>
        <w:t>，或</w:t>
      </w:r>
      <w:r>
        <w:rPr>
          <w:rFonts w:ascii="Times New Roman" w:hAnsi="Times New Roman" w:eastAsia="宋体" w:cs="Times New Roman"/>
          <w:szCs w:val="22"/>
        </w:rPr>
        <w:t>依</w:t>
      </w:r>
      <w:r>
        <w:rPr>
          <w:rFonts w:hint="eastAsia" w:ascii="Times New Roman" w:hAnsi="Times New Roman" w:eastAsia="宋体" w:cs="Times New Roman"/>
          <w:szCs w:val="22"/>
        </w:rPr>
        <w:t>据环境影响评价相关文件规定执行，也可与污水集中处理设施主管部门协商。</w:t>
      </w:r>
    </w:p>
    <w:p>
      <w:pPr>
        <w:keepNext/>
        <w:keepLines/>
        <w:spacing w:before="156" w:beforeLines="50" w:after="156" w:afterLines="50" w:line="360" w:lineRule="auto"/>
        <w:jc w:val="left"/>
        <w:outlineLvl w:val="2"/>
        <w:rPr>
          <w:rFonts w:ascii="Times New Roman" w:hAnsi="Times New Roman" w:eastAsia="宋体" w:cs="Times New Roman"/>
          <w:b/>
          <w:bCs/>
          <w:sz w:val="28"/>
          <w:szCs w:val="32"/>
        </w:rPr>
      </w:pPr>
      <w:bookmarkStart w:id="54" w:name="_Toc76386133"/>
      <w:r>
        <w:rPr>
          <w:rFonts w:ascii="Times New Roman" w:hAnsi="Times New Roman" w:eastAsia="宋体" w:cs="Times New Roman"/>
          <w:b/>
          <w:bCs/>
          <w:sz w:val="28"/>
          <w:szCs w:val="32"/>
        </w:rPr>
        <w:t>6.5.3</w:t>
      </w:r>
      <w:r>
        <w:rPr>
          <w:rFonts w:hint="eastAsia" w:ascii="Times New Roman" w:hAnsi="Times New Roman" w:eastAsia="宋体" w:cs="Times New Roman"/>
          <w:b/>
          <w:bCs/>
          <w:sz w:val="28"/>
          <w:szCs w:val="32"/>
        </w:rPr>
        <w:t>单位产品基准排水量</w:t>
      </w:r>
      <w:bookmarkEnd w:id="54"/>
    </w:p>
    <w:p>
      <w:pPr>
        <w:spacing w:line="440" w:lineRule="exact"/>
        <w:ind w:firstLine="420" w:firstLineChars="200"/>
        <w:jc w:val="left"/>
        <w:rPr>
          <w:rFonts w:ascii="Times New Roman" w:hAnsi="Times New Roman" w:eastAsia="宋体" w:cs="Times New Roman"/>
          <w:szCs w:val="22"/>
        </w:rPr>
      </w:pPr>
      <w:r>
        <w:rPr>
          <w:rFonts w:ascii="Times New Roman" w:hAnsi="Times New Roman" w:eastAsia="宋体" w:cs="Times New Roman"/>
          <w:szCs w:val="22"/>
        </w:rPr>
        <w:t>根据项目组调查数据</w:t>
      </w:r>
      <w:r>
        <w:rPr>
          <w:rFonts w:hint="eastAsia" w:ascii="Times New Roman" w:hAnsi="Times New Roman" w:eastAsia="宋体" w:cs="Times New Roman"/>
          <w:szCs w:val="22"/>
        </w:rPr>
        <w:t>，大部分盐</w:t>
      </w:r>
      <w:r>
        <w:rPr>
          <w:rFonts w:ascii="Times New Roman" w:hAnsi="Times New Roman" w:eastAsia="宋体" w:cs="Times New Roman"/>
          <w:szCs w:val="22"/>
        </w:rPr>
        <w:t>渍</w:t>
      </w:r>
      <w:r>
        <w:rPr>
          <w:rFonts w:hint="eastAsia" w:ascii="Times New Roman" w:hAnsi="Times New Roman" w:eastAsia="宋体" w:cs="Times New Roman"/>
          <w:szCs w:val="22"/>
        </w:rPr>
        <w:t>泡菜</w:t>
      </w:r>
      <w:r>
        <w:rPr>
          <w:rFonts w:ascii="Times New Roman" w:hAnsi="Times New Roman" w:eastAsia="宋体" w:cs="Times New Roman"/>
          <w:szCs w:val="22"/>
        </w:rPr>
        <w:t>企业</w:t>
      </w:r>
      <w:r>
        <w:rPr>
          <w:rFonts w:hint="eastAsia" w:ascii="Times New Roman" w:hAnsi="Times New Roman" w:eastAsia="宋体" w:cs="Times New Roman"/>
          <w:szCs w:val="22"/>
        </w:rPr>
        <w:t>吨</w:t>
      </w:r>
      <w:r>
        <w:rPr>
          <w:rFonts w:ascii="Times New Roman" w:hAnsi="Times New Roman" w:eastAsia="宋体" w:cs="Times New Roman"/>
          <w:szCs w:val="22"/>
        </w:rPr>
        <w:t>产品</w:t>
      </w:r>
      <w:r>
        <w:rPr>
          <w:rFonts w:hint="eastAsia" w:ascii="Times New Roman" w:hAnsi="Times New Roman" w:eastAsia="宋体" w:cs="Times New Roman"/>
          <w:szCs w:val="22"/>
        </w:rPr>
        <w:t>废水产生</w:t>
      </w:r>
      <w:r>
        <w:rPr>
          <w:rFonts w:ascii="Times New Roman" w:hAnsi="Times New Roman" w:eastAsia="宋体" w:cs="Times New Roman"/>
          <w:szCs w:val="22"/>
        </w:rPr>
        <w:t>量</w:t>
      </w:r>
      <w:r>
        <w:rPr>
          <w:rFonts w:hint="eastAsia" w:ascii="Times New Roman" w:hAnsi="Times New Roman" w:eastAsia="宋体" w:cs="Times New Roman"/>
          <w:szCs w:val="22"/>
        </w:rPr>
        <w:t>在19-27吨</w:t>
      </w:r>
      <w:r>
        <w:rPr>
          <w:rFonts w:ascii="Times New Roman" w:hAnsi="Times New Roman" w:eastAsia="宋体" w:cs="Times New Roman"/>
          <w:szCs w:val="22"/>
        </w:rPr>
        <w:t>之间，</w:t>
      </w:r>
      <w:r>
        <w:rPr>
          <w:rFonts w:hint="eastAsia" w:ascii="Times New Roman" w:hAnsi="Times New Roman" w:eastAsia="宋体" w:cs="Times New Roman"/>
          <w:szCs w:val="22"/>
        </w:rPr>
        <w:t>盐水渍泡菜</w:t>
      </w:r>
      <w:r>
        <w:rPr>
          <w:rFonts w:ascii="Times New Roman" w:hAnsi="Times New Roman" w:eastAsia="宋体" w:cs="Times New Roman"/>
          <w:szCs w:val="22"/>
        </w:rPr>
        <w:t>企业吨产品废水</w:t>
      </w:r>
      <w:r>
        <w:rPr>
          <w:rFonts w:hint="eastAsia" w:ascii="Times New Roman" w:hAnsi="Times New Roman" w:eastAsia="宋体" w:cs="Times New Roman"/>
          <w:szCs w:val="22"/>
        </w:rPr>
        <w:t>产生</w:t>
      </w:r>
      <w:r>
        <w:rPr>
          <w:rFonts w:ascii="Times New Roman" w:hAnsi="Times New Roman" w:eastAsia="宋体" w:cs="Times New Roman"/>
          <w:szCs w:val="22"/>
        </w:rPr>
        <w:t>量在</w:t>
      </w:r>
      <w:r>
        <w:rPr>
          <w:rFonts w:hint="eastAsia" w:ascii="Times New Roman" w:hAnsi="Times New Roman" w:eastAsia="宋体" w:cs="Times New Roman"/>
          <w:szCs w:val="22"/>
        </w:rPr>
        <w:t>9-</w:t>
      </w:r>
      <w:r>
        <w:rPr>
          <w:rFonts w:ascii="Times New Roman" w:hAnsi="Times New Roman" w:eastAsia="宋体" w:cs="Times New Roman"/>
          <w:szCs w:val="22"/>
        </w:rPr>
        <w:t>20</w:t>
      </w:r>
      <w:r>
        <w:rPr>
          <w:rFonts w:hint="eastAsia" w:ascii="Times New Roman" w:hAnsi="Times New Roman" w:eastAsia="宋体" w:cs="Times New Roman"/>
          <w:szCs w:val="22"/>
        </w:rPr>
        <w:t>吨</w:t>
      </w:r>
      <w:r>
        <w:rPr>
          <w:rFonts w:ascii="Times New Roman" w:hAnsi="Times New Roman" w:eastAsia="宋体" w:cs="Times New Roman"/>
          <w:szCs w:val="22"/>
        </w:rPr>
        <w:t>之间</w:t>
      </w:r>
      <w:r>
        <w:rPr>
          <w:rFonts w:hint="eastAsia" w:ascii="Times New Roman" w:hAnsi="Times New Roman" w:eastAsia="宋体" w:cs="Times New Roman"/>
          <w:szCs w:val="22"/>
        </w:rPr>
        <w:t>，其他盐渍类</w:t>
      </w:r>
      <w:r>
        <w:rPr>
          <w:rFonts w:ascii="Times New Roman" w:hAnsi="Times New Roman" w:eastAsia="宋体" w:cs="Times New Roman"/>
          <w:szCs w:val="22"/>
        </w:rPr>
        <w:t>企业吨产品废水</w:t>
      </w:r>
      <w:r>
        <w:rPr>
          <w:rFonts w:hint="eastAsia" w:ascii="Times New Roman" w:hAnsi="Times New Roman" w:eastAsia="宋体" w:cs="Times New Roman"/>
          <w:szCs w:val="22"/>
        </w:rPr>
        <w:t>产生</w:t>
      </w:r>
      <w:r>
        <w:rPr>
          <w:rFonts w:ascii="Times New Roman" w:hAnsi="Times New Roman" w:eastAsia="宋体" w:cs="Times New Roman"/>
          <w:szCs w:val="22"/>
        </w:rPr>
        <w:t>量在</w:t>
      </w:r>
      <w:r>
        <w:rPr>
          <w:rFonts w:hint="eastAsia" w:ascii="Times New Roman" w:hAnsi="Times New Roman" w:eastAsia="宋体" w:cs="Times New Roman"/>
          <w:szCs w:val="22"/>
        </w:rPr>
        <w:t>3-</w:t>
      </w:r>
      <w:r>
        <w:rPr>
          <w:rFonts w:ascii="Times New Roman" w:hAnsi="Times New Roman" w:eastAsia="宋体" w:cs="Times New Roman"/>
          <w:szCs w:val="22"/>
        </w:rPr>
        <w:t>9</w:t>
      </w:r>
      <w:r>
        <w:rPr>
          <w:rFonts w:hint="eastAsia" w:ascii="Times New Roman" w:hAnsi="Times New Roman" w:eastAsia="宋体" w:cs="Times New Roman"/>
          <w:szCs w:val="22"/>
        </w:rPr>
        <w:t>吨</w:t>
      </w:r>
      <w:r>
        <w:rPr>
          <w:rFonts w:ascii="Times New Roman" w:hAnsi="Times New Roman" w:eastAsia="宋体" w:cs="Times New Roman"/>
          <w:szCs w:val="22"/>
        </w:rPr>
        <w:t>之间。</w:t>
      </w:r>
    </w:p>
    <w:p>
      <w:pPr>
        <w:jc w:val="center"/>
        <w:rPr>
          <w:rFonts w:ascii="Times New Roman" w:hAnsi="Times New Roman" w:eastAsia="宋体" w:cs="Times New Roman"/>
          <w:b/>
          <w:bCs/>
          <w:sz w:val="18"/>
          <w:szCs w:val="32"/>
        </w:rPr>
      </w:pPr>
      <w:r>
        <w:rPr>
          <w:rFonts w:hint="eastAsia" w:ascii="Times New Roman" w:hAnsi="Times New Roman" w:eastAsia="宋体" w:cs="Times New Roman"/>
          <w:b/>
          <w:bCs/>
          <w:sz w:val="18"/>
          <w:szCs w:val="32"/>
        </w:rPr>
        <w:t>表6-2 不同类别产品废水排水量</w:t>
      </w:r>
    </w:p>
    <w:tbl>
      <w:tblPr>
        <w:tblStyle w:val="63"/>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840"/>
        <w:gridCol w:w="2840"/>
        <w:gridCol w:w="284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6" w:type="pct"/>
          </w:tcPr>
          <w:p>
            <w:pPr>
              <w:jc w:val="center"/>
              <w:rPr>
                <w:rFonts w:ascii="Times New Roman" w:hAnsi="Times New Roman" w:eastAsia="宋体" w:cs="Times New Roman"/>
                <w:b/>
                <w:sz w:val="18"/>
                <w:szCs w:val="22"/>
              </w:rPr>
            </w:pPr>
            <w:r>
              <w:rPr>
                <w:rFonts w:hint="eastAsia" w:ascii="Times New Roman" w:hAnsi="Times New Roman" w:eastAsia="宋体" w:cs="Times New Roman"/>
                <w:b/>
                <w:sz w:val="18"/>
                <w:szCs w:val="22"/>
              </w:rPr>
              <w:t>泡菜类别</w:t>
            </w:r>
          </w:p>
        </w:tc>
        <w:tc>
          <w:tcPr>
            <w:tcW w:w="1666" w:type="pct"/>
          </w:tcPr>
          <w:p>
            <w:pPr>
              <w:jc w:val="center"/>
              <w:rPr>
                <w:rFonts w:ascii="Times New Roman" w:hAnsi="Times New Roman" w:eastAsia="宋体" w:cs="Times New Roman"/>
                <w:b/>
                <w:sz w:val="18"/>
                <w:szCs w:val="22"/>
              </w:rPr>
            </w:pPr>
            <w:r>
              <w:rPr>
                <w:rFonts w:hint="eastAsia" w:ascii="Times New Roman" w:hAnsi="Times New Roman" w:eastAsia="宋体" w:cs="Times New Roman"/>
                <w:b/>
                <w:sz w:val="18"/>
                <w:szCs w:val="22"/>
              </w:rPr>
              <w:t>吨产品排水量（吨）</w:t>
            </w:r>
          </w:p>
        </w:tc>
        <w:tc>
          <w:tcPr>
            <w:tcW w:w="1667" w:type="pct"/>
          </w:tcPr>
          <w:p>
            <w:pPr>
              <w:jc w:val="center"/>
              <w:rPr>
                <w:rFonts w:ascii="Times New Roman" w:hAnsi="Times New Roman" w:eastAsia="宋体" w:cs="Times New Roman"/>
                <w:b/>
                <w:sz w:val="18"/>
                <w:szCs w:val="22"/>
              </w:rPr>
            </w:pPr>
            <w:r>
              <w:rPr>
                <w:rFonts w:hint="eastAsia" w:ascii="Times New Roman" w:hAnsi="Times New Roman" w:eastAsia="宋体" w:cs="Times New Roman"/>
                <w:b/>
                <w:sz w:val="18"/>
                <w:szCs w:val="22"/>
              </w:rPr>
              <w:t>平均吨产品排水量（吨）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6" w:type="pct"/>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盐渍泡菜</w:t>
            </w:r>
          </w:p>
        </w:tc>
        <w:tc>
          <w:tcPr>
            <w:tcW w:w="1666" w:type="pct"/>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19-27</w:t>
            </w:r>
          </w:p>
        </w:tc>
        <w:tc>
          <w:tcPr>
            <w:tcW w:w="1667" w:type="pct"/>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22.8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66" w:type="pct"/>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混合型企业</w:t>
            </w:r>
          </w:p>
        </w:tc>
        <w:tc>
          <w:tcPr>
            <w:tcW w:w="1666" w:type="pct"/>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9-</w:t>
            </w:r>
            <w:r>
              <w:rPr>
                <w:rFonts w:ascii="Times New Roman" w:hAnsi="Times New Roman" w:eastAsia="宋体" w:cs="Times New Roman"/>
                <w:sz w:val="18"/>
                <w:szCs w:val="22"/>
              </w:rPr>
              <w:t>20</w:t>
            </w:r>
          </w:p>
        </w:tc>
        <w:tc>
          <w:tcPr>
            <w:tcW w:w="1667" w:type="pct"/>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1</w:t>
            </w:r>
            <w:r>
              <w:rPr>
                <w:rFonts w:ascii="Times New Roman" w:hAnsi="Times New Roman" w:eastAsia="宋体" w:cs="Times New Roman"/>
                <w:sz w:val="18"/>
                <w:szCs w:val="22"/>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1666" w:type="pct"/>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盐水渍泡菜或其他盐渍类</w:t>
            </w:r>
          </w:p>
        </w:tc>
        <w:tc>
          <w:tcPr>
            <w:tcW w:w="1666" w:type="pct"/>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3-</w:t>
            </w:r>
            <w:r>
              <w:rPr>
                <w:rFonts w:ascii="Times New Roman" w:hAnsi="Times New Roman" w:eastAsia="宋体" w:cs="Times New Roman"/>
                <w:sz w:val="18"/>
                <w:szCs w:val="22"/>
              </w:rPr>
              <w:t>9</w:t>
            </w:r>
          </w:p>
        </w:tc>
        <w:tc>
          <w:tcPr>
            <w:tcW w:w="1667" w:type="pct"/>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4.5</w:t>
            </w:r>
          </w:p>
        </w:tc>
      </w:tr>
    </w:tbl>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标准结合企业咨询调研、相关清洁生产标准规定和第二次全国污染源普查相关数据得出，按执行时间要求，现有盐渍泡菜、混合型、盐水渍泡菜和其他盐渍类泡菜企业单位产品基准排水量分别</w:t>
      </w:r>
      <w:r>
        <w:rPr>
          <w:rFonts w:ascii="Times New Roman" w:hAnsi="Times New Roman" w:eastAsia="宋体" w:cs="Times New Roman"/>
          <w:szCs w:val="22"/>
        </w:rPr>
        <w:t>为</w:t>
      </w:r>
      <w:r>
        <w:rPr>
          <w:rFonts w:hint="eastAsia" w:ascii="Times New Roman" w:hAnsi="Times New Roman" w:eastAsia="宋体" w:cs="Times New Roman"/>
          <w:szCs w:val="22"/>
        </w:rPr>
        <w:t xml:space="preserve">20、18和8 </w:t>
      </w:r>
      <w:r>
        <w:rPr>
          <w:rFonts w:ascii="Times New Roman" w:hAnsi="Times New Roman" w:eastAsia="宋体" w:cs="Times New Roman"/>
          <w:szCs w:val="22"/>
        </w:rPr>
        <w:t>m3/</w:t>
      </w:r>
      <w:r>
        <w:rPr>
          <w:rFonts w:hint="eastAsia" w:ascii="Times New Roman" w:hAnsi="Times New Roman" w:eastAsia="宋体" w:cs="Times New Roman"/>
          <w:szCs w:val="22"/>
        </w:rPr>
        <w:t>t产品。为</w:t>
      </w:r>
      <w:r>
        <w:rPr>
          <w:rFonts w:ascii="Times New Roman" w:hAnsi="Times New Roman" w:eastAsia="宋体" w:cs="Times New Roman"/>
          <w:szCs w:val="22"/>
        </w:rPr>
        <w:t>鼓励企业加强节水，</w:t>
      </w:r>
      <w:r>
        <w:rPr>
          <w:rFonts w:hint="eastAsia" w:ascii="Times New Roman" w:hAnsi="Times New Roman" w:eastAsia="宋体" w:cs="Times New Roman"/>
          <w:szCs w:val="22"/>
        </w:rPr>
        <w:t>促进蒸煮</w:t>
      </w:r>
      <w:r>
        <w:rPr>
          <w:rFonts w:ascii="Times New Roman" w:hAnsi="Times New Roman" w:eastAsia="宋体" w:cs="Times New Roman"/>
          <w:szCs w:val="22"/>
        </w:rPr>
        <w:t>杀菌工段废水循环利用</w:t>
      </w:r>
      <w:r>
        <w:rPr>
          <w:rFonts w:hint="eastAsia" w:ascii="Times New Roman" w:hAnsi="Times New Roman" w:eastAsia="宋体" w:cs="Times New Roman"/>
          <w:szCs w:val="22"/>
        </w:rPr>
        <w:t>，</w:t>
      </w:r>
      <w:r>
        <w:rPr>
          <w:rFonts w:ascii="Times New Roman" w:hAnsi="Times New Roman" w:eastAsia="宋体" w:cs="Times New Roman"/>
          <w:szCs w:val="22"/>
        </w:rPr>
        <w:t>新建企业及</w:t>
      </w:r>
      <w:r>
        <w:rPr>
          <w:rFonts w:hint="eastAsia" w:ascii="Times New Roman" w:hAnsi="Times New Roman" w:eastAsia="宋体" w:cs="Times New Roman"/>
          <w:szCs w:val="22"/>
          <w:lang w:eastAsia="zh-CN"/>
        </w:rPr>
        <w:t>标准实施</w:t>
      </w:r>
      <w:r>
        <w:rPr>
          <w:rFonts w:hint="eastAsia" w:ascii="Times New Roman" w:hAnsi="Times New Roman" w:eastAsia="宋体" w:cs="Times New Roman"/>
          <w:szCs w:val="22"/>
          <w:lang w:val="en-US" w:eastAsia="zh-CN"/>
        </w:rPr>
        <w:t>18个月</w:t>
      </w:r>
      <w:r>
        <w:rPr>
          <w:rFonts w:hint="eastAsia" w:ascii="Times New Roman" w:hAnsi="Times New Roman" w:eastAsia="宋体" w:cs="Times New Roman"/>
          <w:szCs w:val="22"/>
        </w:rPr>
        <w:t>后</w:t>
      </w:r>
      <w:r>
        <w:rPr>
          <w:rFonts w:ascii="Times New Roman" w:hAnsi="Times New Roman" w:eastAsia="宋体" w:cs="Times New Roman"/>
          <w:szCs w:val="22"/>
        </w:rPr>
        <w:t>现有企业</w:t>
      </w:r>
      <w:r>
        <w:rPr>
          <w:rFonts w:hint="eastAsia" w:ascii="Times New Roman" w:hAnsi="Times New Roman" w:eastAsia="宋体" w:cs="Times New Roman"/>
          <w:szCs w:val="22"/>
        </w:rPr>
        <w:t>盐渍泡菜、混合型、盐水渍泡菜和其他盐渍类泡菜企业单位产品基准排水量分别为</w:t>
      </w:r>
      <w:r>
        <w:rPr>
          <w:rFonts w:ascii="Times New Roman" w:hAnsi="Times New Roman" w:eastAsia="宋体" w:cs="Times New Roman"/>
          <w:szCs w:val="22"/>
        </w:rPr>
        <w:t>18</w:t>
      </w:r>
      <w:r>
        <w:rPr>
          <w:rFonts w:hint="eastAsia" w:ascii="Times New Roman" w:hAnsi="Times New Roman" w:eastAsia="宋体" w:cs="Times New Roman"/>
          <w:szCs w:val="22"/>
        </w:rPr>
        <w:t>、15和5 m3/t产品。</w:t>
      </w:r>
    </w:p>
    <w:p>
      <w:pPr>
        <w:keepNext/>
        <w:keepLines/>
        <w:spacing w:before="120" w:after="120" w:line="415" w:lineRule="auto"/>
        <w:jc w:val="left"/>
        <w:outlineLvl w:val="1"/>
        <w:rPr>
          <w:rFonts w:ascii="Times New Roman" w:hAnsi="Times New Roman" w:eastAsia="宋体" w:cs="Times New Roman"/>
          <w:b/>
          <w:bCs/>
          <w:sz w:val="30"/>
          <w:szCs w:val="32"/>
        </w:rPr>
      </w:pPr>
      <w:bookmarkStart w:id="55" w:name="_Toc76386134"/>
      <w:r>
        <w:rPr>
          <w:rFonts w:hint="eastAsia" w:ascii="Times New Roman" w:hAnsi="Times New Roman" w:eastAsia="宋体" w:cs="Times New Roman"/>
          <w:b/>
          <w:bCs/>
          <w:sz w:val="30"/>
          <w:szCs w:val="32"/>
        </w:rPr>
        <w:t>6.6监测要求</w:t>
      </w:r>
      <w:bookmarkEnd w:id="55"/>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主要根据各监测方法标准的适用范围、检测限等确定以下方法标准适用于本标准。</w:t>
      </w:r>
    </w:p>
    <w:p>
      <w:pPr>
        <w:jc w:val="center"/>
        <w:rPr>
          <w:rFonts w:ascii="Times New Roman" w:hAnsi="Times New Roman" w:eastAsia="宋体" w:cs="Times New Roman"/>
          <w:b/>
          <w:bCs/>
          <w:sz w:val="18"/>
          <w:szCs w:val="32"/>
        </w:rPr>
      </w:pPr>
      <w:r>
        <w:rPr>
          <w:rFonts w:hint="eastAsia" w:ascii="Times New Roman" w:hAnsi="Times New Roman" w:eastAsia="宋体" w:cs="Times New Roman"/>
          <w:b/>
          <w:bCs/>
          <w:sz w:val="18"/>
          <w:szCs w:val="32"/>
        </w:rPr>
        <w:t>表6-3污染物监测采用的监测方法标准</w:t>
      </w:r>
    </w:p>
    <w:tbl>
      <w:tblPr>
        <w:tblStyle w:val="25"/>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97"/>
        <w:gridCol w:w="2120"/>
        <w:gridCol w:w="4675"/>
        <w:gridCol w:w="133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3" w:hRule="atLeast"/>
          <w:jc w:val="center"/>
        </w:trPr>
        <w:tc>
          <w:tcPr>
            <w:tcW w:w="233" w:type="pct"/>
            <w:tcBorders>
              <w:top w:val="single" w:color="auto" w:sz="4" w:space="0"/>
              <w:left w:val="single" w:color="auto" w:sz="4" w:space="0"/>
              <w:bottom w:val="single" w:color="auto" w:sz="4" w:space="0"/>
              <w:right w:val="single" w:color="auto" w:sz="4" w:space="0"/>
            </w:tcBorders>
            <w:shd w:val="clear" w:color="auto" w:fill="auto"/>
            <w:vAlign w:val="center"/>
          </w:tcPr>
          <w:p>
            <w:pPr>
              <w:jc w:val="center"/>
              <w:rPr>
                <w:rFonts w:ascii="Times New Roman" w:hAnsi="Times New Roman" w:eastAsia="宋体" w:cs="Times New Roman"/>
                <w:b/>
                <w:sz w:val="18"/>
              </w:rPr>
            </w:pPr>
            <w:r>
              <w:rPr>
                <w:rFonts w:hint="eastAsia" w:ascii="Times New Roman" w:hAnsi="宋体" w:eastAsia="宋体" w:cs="Times New Roman"/>
                <w:b/>
                <w:sz w:val="18"/>
              </w:rPr>
              <w:t>序号</w:t>
            </w:r>
          </w:p>
        </w:tc>
        <w:tc>
          <w:tcPr>
            <w:tcW w:w="1244" w:type="pct"/>
            <w:tcBorders>
              <w:top w:val="single" w:color="auto" w:sz="4" w:space="0"/>
              <w:left w:val="single" w:color="auto" w:sz="4" w:space="0"/>
              <w:bottom w:val="single" w:color="auto" w:sz="4" w:space="0"/>
              <w:right w:val="single" w:color="auto" w:sz="4" w:space="0"/>
            </w:tcBorders>
            <w:shd w:val="clear" w:color="auto" w:fill="auto"/>
            <w:vAlign w:val="center"/>
          </w:tcPr>
          <w:p>
            <w:pPr>
              <w:jc w:val="center"/>
              <w:rPr>
                <w:rFonts w:ascii="Times New Roman" w:hAnsi="Times New Roman" w:eastAsia="宋体" w:cs="Times New Roman"/>
                <w:b/>
                <w:sz w:val="18"/>
              </w:rPr>
            </w:pPr>
            <w:r>
              <w:rPr>
                <w:rFonts w:hint="eastAsia" w:ascii="Times New Roman" w:hAnsi="宋体" w:eastAsia="宋体" w:cs="Times New Roman"/>
                <w:b/>
                <w:sz w:val="18"/>
              </w:rPr>
              <w:t>污染物项目</w:t>
            </w:r>
          </w:p>
        </w:tc>
        <w:tc>
          <w:tcPr>
            <w:tcW w:w="2743" w:type="pct"/>
            <w:tcBorders>
              <w:top w:val="single" w:color="auto" w:sz="4" w:space="0"/>
              <w:left w:val="single" w:color="auto" w:sz="4" w:space="0"/>
              <w:bottom w:val="single" w:color="auto" w:sz="4" w:space="0"/>
              <w:right w:val="single" w:color="auto" w:sz="4" w:space="0"/>
            </w:tcBorders>
            <w:shd w:val="clear" w:color="auto" w:fill="auto"/>
            <w:vAlign w:val="center"/>
          </w:tcPr>
          <w:p>
            <w:pPr>
              <w:jc w:val="center"/>
              <w:rPr>
                <w:rFonts w:ascii="Times New Roman" w:hAnsi="Times New Roman" w:eastAsia="宋体" w:cs="Times New Roman"/>
                <w:b/>
                <w:sz w:val="18"/>
              </w:rPr>
            </w:pPr>
            <w:r>
              <w:rPr>
                <w:rFonts w:hint="eastAsia" w:ascii="Times New Roman" w:hAnsi="宋体" w:eastAsia="宋体" w:cs="Times New Roman"/>
                <w:b/>
                <w:sz w:val="18"/>
              </w:rPr>
              <w:t>监测方法标准名称</w:t>
            </w:r>
          </w:p>
        </w:tc>
        <w:tc>
          <w:tcPr>
            <w:tcW w:w="780" w:type="pct"/>
            <w:tcBorders>
              <w:top w:val="single" w:color="auto" w:sz="4" w:space="0"/>
              <w:left w:val="single" w:color="auto" w:sz="4" w:space="0"/>
              <w:bottom w:val="single" w:color="auto" w:sz="4" w:space="0"/>
              <w:right w:val="single" w:color="auto" w:sz="4" w:space="0"/>
            </w:tcBorders>
            <w:shd w:val="clear" w:color="auto" w:fill="auto"/>
            <w:vAlign w:val="center"/>
          </w:tcPr>
          <w:p>
            <w:pPr>
              <w:jc w:val="center"/>
              <w:rPr>
                <w:rFonts w:ascii="Times New Roman" w:hAnsi="Times New Roman" w:eastAsia="宋体" w:cs="Times New Roman"/>
                <w:b/>
                <w:sz w:val="18"/>
              </w:rPr>
            </w:pPr>
            <w:r>
              <w:rPr>
                <w:rFonts w:hint="eastAsia" w:ascii="Times New Roman" w:hAnsi="宋体" w:eastAsia="宋体" w:cs="Times New Roman"/>
                <w:b/>
                <w:sz w:val="18"/>
              </w:rPr>
              <w:t>标准编号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2" w:hRule="atLeast"/>
          <w:jc w:val="center"/>
        </w:trPr>
        <w:tc>
          <w:tcPr>
            <w:tcW w:w="233" w:type="pct"/>
            <w:tcBorders>
              <w:top w:val="single" w:color="auto" w:sz="4" w:space="0"/>
              <w:left w:val="single" w:color="auto" w:sz="4" w:space="0"/>
              <w:bottom w:val="single" w:color="auto" w:sz="4" w:space="0"/>
              <w:right w:val="single" w:color="auto" w:sz="4" w:space="0"/>
            </w:tcBorders>
            <w:shd w:val="clear" w:color="auto" w:fill="auto"/>
            <w:vAlign w:val="center"/>
          </w:tcPr>
          <w:p>
            <w:pPr>
              <w:jc w:val="center"/>
              <w:rPr>
                <w:rFonts w:ascii="Times New Roman" w:hAnsi="Times New Roman" w:eastAsia="宋体" w:cs="Times New Roman"/>
                <w:sz w:val="18"/>
              </w:rPr>
            </w:pPr>
            <w:r>
              <w:rPr>
                <w:rFonts w:ascii="Times New Roman" w:hAnsi="Times New Roman" w:eastAsia="宋体" w:cs="Times New Roman"/>
                <w:sz w:val="18"/>
              </w:rPr>
              <w:t>1</w:t>
            </w:r>
          </w:p>
        </w:tc>
        <w:tc>
          <w:tcPr>
            <w:tcW w:w="1244" w:type="pct"/>
            <w:tcBorders>
              <w:top w:val="single" w:color="auto" w:sz="4" w:space="0"/>
              <w:left w:val="single" w:color="auto" w:sz="4" w:space="0"/>
              <w:bottom w:val="single" w:color="auto" w:sz="4" w:space="0"/>
              <w:right w:val="single" w:color="auto" w:sz="4" w:space="0"/>
            </w:tcBorders>
            <w:shd w:val="clear" w:color="auto" w:fill="auto"/>
            <w:vAlign w:val="center"/>
          </w:tcPr>
          <w:p>
            <w:pPr>
              <w:jc w:val="center"/>
              <w:rPr>
                <w:rFonts w:ascii="Times New Roman" w:hAnsi="Times New Roman" w:eastAsia="宋体" w:cs="Times New Roman"/>
                <w:sz w:val="18"/>
              </w:rPr>
            </w:pPr>
            <w:r>
              <w:rPr>
                <w:rFonts w:ascii="Times New Roman" w:hAnsi="Times New Roman" w:eastAsia="宋体" w:cs="Times New Roman"/>
                <w:sz w:val="18"/>
              </w:rPr>
              <w:t>pH</w:t>
            </w:r>
            <w:r>
              <w:rPr>
                <w:rFonts w:hint="eastAsia" w:ascii="Times New Roman" w:hAnsi="宋体" w:eastAsia="宋体" w:cs="Times New Roman"/>
                <w:sz w:val="18"/>
              </w:rPr>
              <w:t>值</w:t>
            </w:r>
          </w:p>
        </w:tc>
        <w:tc>
          <w:tcPr>
            <w:tcW w:w="2743" w:type="pct"/>
            <w:tcBorders>
              <w:top w:val="single" w:color="auto" w:sz="4" w:space="0"/>
              <w:left w:val="single" w:color="auto" w:sz="4" w:space="0"/>
              <w:bottom w:val="single" w:color="auto" w:sz="4" w:space="0"/>
              <w:right w:val="single" w:color="auto" w:sz="4" w:space="0"/>
            </w:tcBorders>
            <w:shd w:val="clear" w:color="auto" w:fill="auto"/>
            <w:vAlign w:val="center"/>
          </w:tcPr>
          <w:p>
            <w:pPr>
              <w:jc w:val="left"/>
              <w:rPr>
                <w:rFonts w:ascii="Times New Roman" w:hAnsi="Times New Roman" w:eastAsia="宋体" w:cs="Times New Roman"/>
                <w:sz w:val="18"/>
              </w:rPr>
            </w:pPr>
            <w:r>
              <w:rPr>
                <w:rFonts w:hint="eastAsia" w:ascii="Times New Roman" w:hAnsi="宋体" w:eastAsia="宋体" w:cs="Times New Roman"/>
                <w:sz w:val="18"/>
              </w:rPr>
              <w:t>水质</w:t>
            </w:r>
            <w:r>
              <w:rPr>
                <w:rFonts w:ascii="Times New Roman" w:hAnsi="Times New Roman" w:eastAsia="宋体" w:cs="Times New Roman"/>
                <w:sz w:val="18"/>
              </w:rPr>
              <w:t xml:space="preserve"> pH</w:t>
            </w:r>
            <w:r>
              <w:rPr>
                <w:rFonts w:hint="eastAsia" w:ascii="Times New Roman" w:hAnsi="宋体" w:eastAsia="宋体" w:cs="Times New Roman"/>
                <w:sz w:val="18"/>
              </w:rPr>
              <w:t>值的测定 电极法</w:t>
            </w:r>
          </w:p>
        </w:tc>
        <w:tc>
          <w:tcPr>
            <w:tcW w:w="780" w:type="pct"/>
            <w:tcBorders>
              <w:top w:val="single" w:color="auto" w:sz="4" w:space="0"/>
              <w:left w:val="single" w:color="auto" w:sz="4" w:space="0"/>
              <w:bottom w:val="single" w:color="auto" w:sz="4" w:space="0"/>
              <w:right w:val="single" w:color="auto" w:sz="4" w:space="0"/>
            </w:tcBorders>
            <w:shd w:val="clear" w:color="auto" w:fill="auto"/>
            <w:vAlign w:val="center"/>
          </w:tcPr>
          <w:p>
            <w:pPr>
              <w:jc w:val="center"/>
              <w:rPr>
                <w:rFonts w:ascii="Times New Roman" w:hAnsi="Times New Roman" w:eastAsia="宋体" w:cs="Times New Roman"/>
                <w:sz w:val="18"/>
              </w:rPr>
            </w:pPr>
            <w:r>
              <w:rPr>
                <w:rFonts w:ascii="Times New Roman" w:hAnsi="Times New Roman" w:eastAsia="宋体" w:cs="Times New Roman"/>
                <w:sz w:val="18"/>
              </w:rPr>
              <w:t>HJ 1147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7" w:hRule="atLeast"/>
          <w:jc w:val="center"/>
        </w:trPr>
        <w:tc>
          <w:tcPr>
            <w:tcW w:w="233" w:type="pct"/>
            <w:tcBorders>
              <w:top w:val="single" w:color="auto" w:sz="4" w:space="0"/>
              <w:left w:val="single" w:color="auto" w:sz="4" w:space="0"/>
              <w:bottom w:val="single" w:color="auto" w:sz="4" w:space="0"/>
              <w:right w:val="single" w:color="auto" w:sz="4" w:space="0"/>
            </w:tcBorders>
            <w:shd w:val="clear" w:color="auto" w:fill="auto"/>
            <w:vAlign w:val="center"/>
          </w:tcPr>
          <w:p>
            <w:pPr>
              <w:jc w:val="center"/>
              <w:rPr>
                <w:rFonts w:ascii="Times New Roman" w:hAnsi="Times New Roman" w:eastAsia="宋体" w:cs="Times New Roman"/>
                <w:sz w:val="18"/>
              </w:rPr>
            </w:pPr>
            <w:r>
              <w:rPr>
                <w:rFonts w:ascii="Times New Roman" w:hAnsi="Times New Roman" w:eastAsia="宋体" w:cs="Times New Roman"/>
                <w:sz w:val="18"/>
              </w:rPr>
              <w:t>2</w:t>
            </w:r>
          </w:p>
        </w:tc>
        <w:tc>
          <w:tcPr>
            <w:tcW w:w="1244" w:type="pct"/>
            <w:tcBorders>
              <w:top w:val="single" w:color="auto" w:sz="4" w:space="0"/>
              <w:left w:val="single" w:color="auto" w:sz="4" w:space="0"/>
              <w:bottom w:val="single" w:color="auto" w:sz="4" w:space="0"/>
              <w:right w:val="single" w:color="auto" w:sz="4" w:space="0"/>
            </w:tcBorders>
            <w:shd w:val="clear" w:color="auto" w:fill="auto"/>
            <w:vAlign w:val="center"/>
          </w:tcPr>
          <w:p>
            <w:pPr>
              <w:jc w:val="center"/>
              <w:rPr>
                <w:rFonts w:ascii="Times New Roman" w:hAnsi="Times New Roman" w:eastAsia="宋体" w:cs="Times New Roman"/>
                <w:sz w:val="18"/>
              </w:rPr>
            </w:pPr>
            <w:r>
              <w:rPr>
                <w:rFonts w:hint="eastAsia" w:ascii="Times New Roman" w:hAnsi="宋体" w:eastAsia="宋体" w:cs="Times New Roman"/>
                <w:sz w:val="18"/>
              </w:rPr>
              <w:t>色度</w:t>
            </w:r>
          </w:p>
        </w:tc>
        <w:tc>
          <w:tcPr>
            <w:tcW w:w="2743" w:type="pct"/>
            <w:tcBorders>
              <w:top w:val="single" w:color="auto" w:sz="4" w:space="0"/>
              <w:left w:val="single" w:color="auto" w:sz="4" w:space="0"/>
              <w:bottom w:val="single" w:color="auto" w:sz="4" w:space="0"/>
              <w:right w:val="single" w:color="auto" w:sz="4" w:space="0"/>
            </w:tcBorders>
            <w:shd w:val="clear" w:color="auto" w:fill="auto"/>
            <w:vAlign w:val="center"/>
          </w:tcPr>
          <w:p>
            <w:pPr>
              <w:jc w:val="left"/>
              <w:rPr>
                <w:rFonts w:ascii="Times New Roman" w:hAnsi="Times New Roman" w:eastAsia="宋体" w:cs="Times New Roman"/>
                <w:sz w:val="18"/>
              </w:rPr>
            </w:pPr>
            <w:r>
              <w:rPr>
                <w:rFonts w:hint="eastAsia" w:ascii="Times New Roman" w:hAnsi="宋体" w:eastAsia="宋体" w:cs="Times New Roman"/>
                <w:sz w:val="18"/>
              </w:rPr>
              <w:t xml:space="preserve">水质 色度的测定 </w:t>
            </w:r>
          </w:p>
        </w:tc>
        <w:tc>
          <w:tcPr>
            <w:tcW w:w="780" w:type="pct"/>
            <w:tcBorders>
              <w:top w:val="single" w:color="auto" w:sz="4" w:space="0"/>
              <w:left w:val="single" w:color="auto" w:sz="4" w:space="0"/>
              <w:bottom w:val="single" w:color="auto" w:sz="4" w:space="0"/>
              <w:right w:val="single" w:color="auto" w:sz="4" w:space="0"/>
            </w:tcBorders>
            <w:shd w:val="clear" w:color="auto" w:fill="auto"/>
            <w:vAlign w:val="center"/>
          </w:tcPr>
          <w:p>
            <w:pPr>
              <w:jc w:val="center"/>
              <w:rPr>
                <w:rFonts w:ascii="Times New Roman" w:hAnsi="Times New Roman" w:eastAsia="宋体" w:cs="Times New Roman"/>
                <w:sz w:val="18"/>
              </w:rPr>
            </w:pPr>
            <w:r>
              <w:rPr>
                <w:rFonts w:ascii="Times New Roman" w:hAnsi="Times New Roman" w:eastAsia="宋体" w:cs="Times New Roman"/>
                <w:sz w:val="18"/>
              </w:rPr>
              <w:t>GB/T 11903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9" w:hRule="atLeast"/>
          <w:jc w:val="center"/>
        </w:trPr>
        <w:tc>
          <w:tcPr>
            <w:tcW w:w="233" w:type="pct"/>
            <w:tcBorders>
              <w:top w:val="single" w:color="auto" w:sz="4" w:space="0"/>
              <w:left w:val="single" w:color="auto" w:sz="4" w:space="0"/>
              <w:bottom w:val="single" w:color="auto" w:sz="4" w:space="0"/>
              <w:right w:val="single" w:color="auto" w:sz="4" w:space="0"/>
            </w:tcBorders>
            <w:shd w:val="clear" w:color="auto" w:fill="auto"/>
            <w:vAlign w:val="center"/>
          </w:tcPr>
          <w:p>
            <w:pPr>
              <w:jc w:val="center"/>
              <w:rPr>
                <w:rFonts w:ascii="Times New Roman" w:hAnsi="Times New Roman" w:eastAsia="宋体" w:cs="Times New Roman"/>
                <w:sz w:val="18"/>
              </w:rPr>
            </w:pPr>
            <w:r>
              <w:rPr>
                <w:rFonts w:ascii="Times New Roman" w:hAnsi="Times New Roman" w:eastAsia="宋体" w:cs="Times New Roman"/>
                <w:sz w:val="18"/>
              </w:rPr>
              <w:t>3</w:t>
            </w:r>
          </w:p>
        </w:tc>
        <w:tc>
          <w:tcPr>
            <w:tcW w:w="1244" w:type="pct"/>
            <w:tcBorders>
              <w:top w:val="single" w:color="auto" w:sz="4" w:space="0"/>
              <w:left w:val="single" w:color="auto" w:sz="4" w:space="0"/>
              <w:bottom w:val="single" w:color="auto" w:sz="4" w:space="0"/>
              <w:right w:val="single" w:color="auto" w:sz="4" w:space="0"/>
            </w:tcBorders>
            <w:shd w:val="clear" w:color="auto" w:fill="auto"/>
            <w:vAlign w:val="center"/>
          </w:tcPr>
          <w:p>
            <w:pPr>
              <w:jc w:val="center"/>
              <w:rPr>
                <w:rFonts w:ascii="Times New Roman" w:hAnsi="Times New Roman" w:eastAsia="宋体" w:cs="Times New Roman"/>
                <w:sz w:val="18"/>
              </w:rPr>
            </w:pPr>
            <w:r>
              <w:rPr>
                <w:rFonts w:hint="eastAsia" w:ascii="Times New Roman" w:hAnsi="宋体" w:eastAsia="宋体" w:cs="Times New Roman"/>
                <w:sz w:val="18"/>
              </w:rPr>
              <w:t>悬浮物</w:t>
            </w:r>
            <w:r>
              <w:rPr>
                <w:rFonts w:hint="eastAsia" w:ascii="Times New Roman" w:hAnsi="Times New Roman" w:eastAsia="宋体" w:cs="Times New Roman"/>
                <w:sz w:val="18"/>
              </w:rPr>
              <w:t>（SS）</w:t>
            </w:r>
          </w:p>
        </w:tc>
        <w:tc>
          <w:tcPr>
            <w:tcW w:w="2743" w:type="pct"/>
            <w:tcBorders>
              <w:top w:val="single" w:color="auto" w:sz="4" w:space="0"/>
              <w:left w:val="single" w:color="auto" w:sz="4" w:space="0"/>
              <w:bottom w:val="single" w:color="auto" w:sz="4" w:space="0"/>
              <w:right w:val="single" w:color="auto" w:sz="4" w:space="0"/>
            </w:tcBorders>
            <w:shd w:val="clear" w:color="auto" w:fill="auto"/>
            <w:vAlign w:val="center"/>
          </w:tcPr>
          <w:p>
            <w:pPr>
              <w:jc w:val="left"/>
              <w:rPr>
                <w:rFonts w:ascii="Times New Roman" w:hAnsi="Times New Roman" w:eastAsia="宋体" w:cs="Times New Roman"/>
                <w:sz w:val="18"/>
              </w:rPr>
            </w:pPr>
            <w:r>
              <w:rPr>
                <w:rFonts w:hint="eastAsia" w:ascii="Times New Roman" w:hAnsi="宋体" w:eastAsia="宋体" w:cs="Times New Roman"/>
                <w:sz w:val="18"/>
              </w:rPr>
              <w:t>水质 悬浮物的测定 重量法</w:t>
            </w:r>
          </w:p>
        </w:tc>
        <w:tc>
          <w:tcPr>
            <w:tcW w:w="780" w:type="pct"/>
            <w:tcBorders>
              <w:top w:val="single" w:color="auto" w:sz="4" w:space="0"/>
              <w:left w:val="single" w:color="auto" w:sz="4" w:space="0"/>
              <w:bottom w:val="single" w:color="auto" w:sz="4" w:space="0"/>
              <w:right w:val="single" w:color="auto" w:sz="4" w:space="0"/>
            </w:tcBorders>
            <w:shd w:val="clear" w:color="auto" w:fill="auto"/>
            <w:vAlign w:val="center"/>
          </w:tcPr>
          <w:p>
            <w:pPr>
              <w:jc w:val="center"/>
              <w:rPr>
                <w:rFonts w:ascii="Times New Roman" w:hAnsi="Times New Roman" w:eastAsia="宋体" w:cs="Times New Roman"/>
                <w:sz w:val="18"/>
              </w:rPr>
            </w:pPr>
            <w:r>
              <w:rPr>
                <w:rFonts w:ascii="Times New Roman" w:hAnsi="Times New Roman" w:eastAsia="宋体" w:cs="Times New Roman"/>
                <w:sz w:val="18"/>
              </w:rPr>
              <w:t>GB/T 11901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1" w:hRule="atLeast"/>
          <w:jc w:val="center"/>
        </w:trPr>
        <w:tc>
          <w:tcPr>
            <w:tcW w:w="233" w:type="pct"/>
            <w:tcBorders>
              <w:top w:val="single" w:color="auto" w:sz="4" w:space="0"/>
              <w:left w:val="single" w:color="auto" w:sz="4" w:space="0"/>
              <w:bottom w:val="single" w:color="auto" w:sz="4" w:space="0"/>
              <w:right w:val="single" w:color="auto" w:sz="4" w:space="0"/>
            </w:tcBorders>
            <w:shd w:val="clear" w:color="auto" w:fill="auto"/>
            <w:vAlign w:val="center"/>
          </w:tcPr>
          <w:p>
            <w:pPr>
              <w:jc w:val="center"/>
              <w:rPr>
                <w:rFonts w:ascii="Times New Roman" w:hAnsi="Times New Roman" w:eastAsia="宋体" w:cs="Times New Roman"/>
                <w:sz w:val="18"/>
              </w:rPr>
            </w:pPr>
            <w:r>
              <w:rPr>
                <w:rFonts w:ascii="Times New Roman" w:hAnsi="Times New Roman" w:eastAsia="宋体" w:cs="Times New Roman"/>
                <w:sz w:val="18"/>
              </w:rPr>
              <w:t>4</w:t>
            </w:r>
          </w:p>
        </w:tc>
        <w:tc>
          <w:tcPr>
            <w:tcW w:w="1244" w:type="pct"/>
            <w:tcBorders>
              <w:top w:val="single" w:color="auto" w:sz="4" w:space="0"/>
              <w:left w:val="single" w:color="auto" w:sz="4" w:space="0"/>
              <w:bottom w:val="single" w:color="auto" w:sz="4" w:space="0"/>
              <w:right w:val="single" w:color="auto" w:sz="4" w:space="0"/>
            </w:tcBorders>
            <w:shd w:val="clear" w:color="auto" w:fill="auto"/>
            <w:vAlign w:val="center"/>
          </w:tcPr>
          <w:p>
            <w:pPr>
              <w:jc w:val="center"/>
              <w:rPr>
                <w:rFonts w:ascii="Times New Roman" w:hAnsi="Times New Roman" w:eastAsia="宋体" w:cs="Times New Roman"/>
                <w:sz w:val="18"/>
              </w:rPr>
            </w:pPr>
            <w:r>
              <w:rPr>
                <w:rFonts w:hint="eastAsia" w:ascii="Times New Roman" w:hAnsi="宋体" w:eastAsia="宋体" w:cs="Times New Roman"/>
                <w:sz w:val="18"/>
              </w:rPr>
              <w:t>五日生化需氧量（</w:t>
            </w:r>
            <w:r>
              <w:rPr>
                <w:rFonts w:ascii="Times New Roman" w:hAnsi="Times New Roman" w:eastAsia="宋体" w:cs="Times New Roman"/>
                <w:sz w:val="18"/>
              </w:rPr>
              <w:t>BOD</w:t>
            </w:r>
            <w:r>
              <w:rPr>
                <w:rFonts w:ascii="Times New Roman" w:hAnsi="Times New Roman" w:eastAsia="宋体" w:cs="Times New Roman"/>
                <w:sz w:val="18"/>
                <w:vertAlign w:val="subscript"/>
              </w:rPr>
              <w:t>5</w:t>
            </w:r>
            <w:r>
              <w:rPr>
                <w:rFonts w:hint="eastAsia" w:ascii="Times New Roman" w:hAnsi="宋体" w:eastAsia="宋体" w:cs="Times New Roman"/>
                <w:sz w:val="18"/>
              </w:rPr>
              <w:t>）</w:t>
            </w:r>
          </w:p>
        </w:tc>
        <w:tc>
          <w:tcPr>
            <w:tcW w:w="2743" w:type="pct"/>
            <w:tcBorders>
              <w:top w:val="single" w:color="auto" w:sz="4" w:space="0"/>
              <w:left w:val="single" w:color="auto" w:sz="4" w:space="0"/>
              <w:bottom w:val="single" w:color="auto" w:sz="4" w:space="0"/>
              <w:right w:val="single" w:color="auto" w:sz="4" w:space="0"/>
            </w:tcBorders>
            <w:shd w:val="clear" w:color="auto" w:fill="auto"/>
            <w:vAlign w:val="center"/>
          </w:tcPr>
          <w:p>
            <w:pPr>
              <w:jc w:val="left"/>
              <w:rPr>
                <w:rFonts w:ascii="Times New Roman" w:hAnsi="Times New Roman" w:eastAsia="宋体" w:cs="Times New Roman"/>
                <w:sz w:val="18"/>
              </w:rPr>
            </w:pPr>
            <w:r>
              <w:rPr>
                <w:rFonts w:hint="eastAsia" w:ascii="Times New Roman" w:hAnsi="宋体" w:eastAsia="宋体" w:cs="Times New Roman"/>
                <w:sz w:val="18"/>
              </w:rPr>
              <w:t>水质 五日生化需氧量（</w:t>
            </w:r>
            <w:r>
              <w:rPr>
                <w:rFonts w:ascii="Times New Roman" w:hAnsi="Times New Roman" w:eastAsia="宋体" w:cs="Times New Roman"/>
                <w:sz w:val="18"/>
              </w:rPr>
              <w:t>BOD</w:t>
            </w:r>
            <w:r>
              <w:rPr>
                <w:rFonts w:ascii="Times New Roman" w:hAnsi="Times New Roman" w:eastAsia="宋体" w:cs="Times New Roman"/>
                <w:sz w:val="18"/>
                <w:vertAlign w:val="subscript"/>
              </w:rPr>
              <w:t>5</w:t>
            </w:r>
            <w:r>
              <w:rPr>
                <w:rFonts w:hint="eastAsia" w:ascii="Times New Roman" w:hAnsi="宋体" w:eastAsia="宋体" w:cs="Times New Roman"/>
                <w:sz w:val="18"/>
              </w:rPr>
              <w:t>）的测定 稀释与接种法</w:t>
            </w:r>
          </w:p>
        </w:tc>
        <w:tc>
          <w:tcPr>
            <w:tcW w:w="780" w:type="pct"/>
            <w:tcBorders>
              <w:top w:val="single" w:color="auto" w:sz="4" w:space="0"/>
              <w:left w:val="single" w:color="auto" w:sz="4" w:space="0"/>
              <w:bottom w:val="single" w:color="auto" w:sz="4" w:space="0"/>
              <w:right w:val="single" w:color="auto" w:sz="4" w:space="0"/>
            </w:tcBorders>
            <w:shd w:val="clear" w:color="auto" w:fill="auto"/>
            <w:vAlign w:val="center"/>
          </w:tcPr>
          <w:p>
            <w:pPr>
              <w:jc w:val="center"/>
              <w:rPr>
                <w:rFonts w:ascii="Times New Roman" w:hAnsi="Times New Roman" w:eastAsia="宋体" w:cs="Times New Roman"/>
                <w:sz w:val="18"/>
              </w:rPr>
            </w:pPr>
            <w:r>
              <w:rPr>
                <w:rFonts w:ascii="Times New Roman" w:hAnsi="Times New Roman" w:eastAsia="宋体" w:cs="Times New Roman"/>
                <w:sz w:val="18"/>
              </w:rPr>
              <w:t>HJ 505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5" w:hRule="atLeast"/>
          <w:jc w:val="center"/>
        </w:trPr>
        <w:tc>
          <w:tcPr>
            <w:tcW w:w="233" w:type="pct"/>
            <w:vMerge w:val="restart"/>
            <w:tcBorders>
              <w:top w:val="single" w:color="auto" w:sz="4" w:space="0"/>
              <w:left w:val="single" w:color="auto" w:sz="4" w:space="0"/>
              <w:right w:val="single" w:color="auto" w:sz="4" w:space="0"/>
            </w:tcBorders>
            <w:shd w:val="clear" w:color="auto" w:fill="auto"/>
            <w:vAlign w:val="center"/>
          </w:tcPr>
          <w:p>
            <w:pPr>
              <w:jc w:val="center"/>
              <w:rPr>
                <w:rFonts w:ascii="Times New Roman" w:hAnsi="Times New Roman" w:eastAsia="宋体" w:cs="Times New Roman"/>
                <w:sz w:val="18"/>
              </w:rPr>
            </w:pPr>
            <w:r>
              <w:rPr>
                <w:rFonts w:ascii="Times New Roman" w:hAnsi="Times New Roman" w:eastAsia="宋体" w:cs="Times New Roman"/>
                <w:sz w:val="18"/>
              </w:rPr>
              <w:t>5</w:t>
            </w:r>
          </w:p>
        </w:tc>
        <w:tc>
          <w:tcPr>
            <w:tcW w:w="1244" w:type="pct"/>
            <w:vMerge w:val="restart"/>
            <w:tcBorders>
              <w:top w:val="single" w:color="auto" w:sz="4" w:space="0"/>
              <w:left w:val="single" w:color="auto" w:sz="4" w:space="0"/>
              <w:right w:val="single" w:color="auto" w:sz="4" w:space="0"/>
            </w:tcBorders>
            <w:shd w:val="clear" w:color="auto" w:fill="auto"/>
            <w:vAlign w:val="center"/>
          </w:tcPr>
          <w:p>
            <w:pPr>
              <w:jc w:val="center"/>
              <w:rPr>
                <w:rFonts w:ascii="Times New Roman" w:hAnsi="Times New Roman" w:eastAsia="宋体" w:cs="Times New Roman"/>
                <w:sz w:val="18"/>
              </w:rPr>
            </w:pPr>
            <w:r>
              <w:rPr>
                <w:rFonts w:hint="eastAsia" w:ascii="Times New Roman" w:hAnsi="宋体" w:eastAsia="宋体" w:cs="Times New Roman"/>
                <w:sz w:val="18"/>
              </w:rPr>
              <w:t>化学需氧量（</w:t>
            </w:r>
            <w:r>
              <w:rPr>
                <w:rFonts w:ascii="Times New Roman" w:hAnsi="Times New Roman" w:eastAsia="宋体" w:cs="Times New Roman"/>
                <w:sz w:val="18"/>
              </w:rPr>
              <w:t>COD</w:t>
            </w:r>
            <w:r>
              <w:rPr>
                <w:rFonts w:ascii="Times New Roman" w:hAnsi="Times New Roman" w:eastAsia="宋体" w:cs="Times New Roman"/>
                <w:sz w:val="18"/>
                <w:vertAlign w:val="subscript"/>
              </w:rPr>
              <w:t>Cr</w:t>
            </w:r>
            <w:r>
              <w:rPr>
                <w:rFonts w:hint="eastAsia" w:ascii="Times New Roman" w:hAnsi="宋体" w:eastAsia="宋体" w:cs="Times New Roman"/>
                <w:sz w:val="18"/>
              </w:rPr>
              <w:t>）</w:t>
            </w:r>
          </w:p>
        </w:tc>
        <w:tc>
          <w:tcPr>
            <w:tcW w:w="2743" w:type="pct"/>
            <w:tcBorders>
              <w:top w:val="single" w:color="auto" w:sz="4" w:space="0"/>
              <w:left w:val="single" w:color="auto" w:sz="4" w:space="0"/>
              <w:bottom w:val="single" w:color="auto" w:sz="4" w:space="0"/>
              <w:right w:val="single" w:color="auto" w:sz="4" w:space="0"/>
            </w:tcBorders>
            <w:shd w:val="clear" w:color="auto" w:fill="auto"/>
            <w:vAlign w:val="center"/>
          </w:tcPr>
          <w:p>
            <w:pPr>
              <w:jc w:val="left"/>
              <w:rPr>
                <w:rFonts w:ascii="Times New Roman" w:hAnsi="Times New Roman" w:eastAsia="宋体" w:cs="Times New Roman"/>
                <w:sz w:val="18"/>
              </w:rPr>
            </w:pPr>
            <w:r>
              <w:rPr>
                <w:rFonts w:hint="eastAsia" w:ascii="Times New Roman" w:hAnsi="宋体" w:eastAsia="宋体" w:cs="Times New Roman"/>
                <w:sz w:val="18"/>
              </w:rPr>
              <w:t>水质 化学需氧量的测定 重铬酸盐法</w:t>
            </w:r>
          </w:p>
        </w:tc>
        <w:tc>
          <w:tcPr>
            <w:tcW w:w="780" w:type="pct"/>
            <w:tcBorders>
              <w:top w:val="single" w:color="auto" w:sz="4" w:space="0"/>
              <w:left w:val="single" w:color="auto" w:sz="4" w:space="0"/>
              <w:bottom w:val="single" w:color="auto" w:sz="4" w:space="0"/>
              <w:right w:val="single" w:color="auto" w:sz="4" w:space="0"/>
            </w:tcBorders>
            <w:shd w:val="clear" w:color="auto" w:fill="auto"/>
            <w:vAlign w:val="center"/>
          </w:tcPr>
          <w:p>
            <w:pPr>
              <w:jc w:val="center"/>
              <w:rPr>
                <w:rFonts w:ascii="Times New Roman" w:hAnsi="Times New Roman" w:eastAsia="宋体" w:cs="Times New Roman"/>
                <w:sz w:val="18"/>
              </w:rPr>
            </w:pPr>
            <w:r>
              <w:rPr>
                <w:rFonts w:ascii="Times New Roman" w:hAnsi="Times New Roman" w:eastAsia="宋体" w:cs="Times New Roman"/>
                <w:sz w:val="18"/>
              </w:rPr>
              <w:t>HJ 828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2" w:hRule="atLeast"/>
          <w:jc w:val="center"/>
        </w:trPr>
        <w:tc>
          <w:tcPr>
            <w:tcW w:w="233" w:type="pct"/>
            <w:vMerge w:val="continue"/>
            <w:tcBorders>
              <w:left w:val="single" w:color="auto" w:sz="4" w:space="0"/>
              <w:right w:val="single" w:color="auto" w:sz="4" w:space="0"/>
            </w:tcBorders>
            <w:shd w:val="clear" w:color="auto" w:fill="auto"/>
            <w:vAlign w:val="center"/>
          </w:tcPr>
          <w:p>
            <w:pPr>
              <w:jc w:val="center"/>
              <w:rPr>
                <w:rFonts w:ascii="Times New Roman" w:hAnsi="Times New Roman" w:eastAsia="宋体" w:cs="Times New Roman"/>
                <w:sz w:val="18"/>
              </w:rPr>
            </w:pPr>
          </w:p>
        </w:tc>
        <w:tc>
          <w:tcPr>
            <w:tcW w:w="1244" w:type="pct"/>
            <w:vMerge w:val="continue"/>
            <w:tcBorders>
              <w:left w:val="single" w:color="auto" w:sz="4" w:space="0"/>
              <w:right w:val="single" w:color="auto" w:sz="4" w:space="0"/>
            </w:tcBorders>
            <w:shd w:val="clear" w:color="auto" w:fill="auto"/>
            <w:vAlign w:val="center"/>
          </w:tcPr>
          <w:p>
            <w:pPr>
              <w:jc w:val="center"/>
              <w:rPr>
                <w:rFonts w:ascii="Times New Roman" w:hAnsi="Times New Roman" w:eastAsia="宋体" w:cs="Times New Roman"/>
                <w:sz w:val="18"/>
              </w:rPr>
            </w:pPr>
          </w:p>
        </w:tc>
        <w:tc>
          <w:tcPr>
            <w:tcW w:w="2743" w:type="pct"/>
            <w:tcBorders>
              <w:top w:val="single" w:color="auto" w:sz="4" w:space="0"/>
              <w:left w:val="single" w:color="auto" w:sz="4" w:space="0"/>
              <w:bottom w:val="single" w:color="auto" w:sz="4" w:space="0"/>
              <w:right w:val="single" w:color="auto" w:sz="4" w:space="0"/>
            </w:tcBorders>
            <w:shd w:val="clear" w:color="auto" w:fill="auto"/>
            <w:vAlign w:val="center"/>
          </w:tcPr>
          <w:p>
            <w:pPr>
              <w:jc w:val="left"/>
              <w:rPr>
                <w:rFonts w:ascii="Times New Roman" w:hAnsi="Times New Roman" w:eastAsia="宋体" w:cs="Times New Roman"/>
                <w:sz w:val="18"/>
              </w:rPr>
            </w:pPr>
            <w:r>
              <w:rPr>
                <w:rFonts w:hint="eastAsia" w:ascii="Times New Roman" w:hAnsi="宋体" w:eastAsia="宋体" w:cs="Times New Roman"/>
                <w:sz w:val="18"/>
              </w:rPr>
              <w:t>高氯废水化学需氧量的测定 氯气校正法</w:t>
            </w:r>
          </w:p>
        </w:tc>
        <w:tc>
          <w:tcPr>
            <w:tcW w:w="780" w:type="pct"/>
            <w:tcBorders>
              <w:top w:val="single" w:color="auto" w:sz="4" w:space="0"/>
              <w:left w:val="single" w:color="auto" w:sz="4" w:space="0"/>
              <w:bottom w:val="single" w:color="auto" w:sz="4" w:space="0"/>
              <w:right w:val="single" w:color="auto" w:sz="4" w:space="0"/>
            </w:tcBorders>
            <w:shd w:val="clear" w:color="auto" w:fill="auto"/>
            <w:vAlign w:val="center"/>
          </w:tcPr>
          <w:p>
            <w:pPr>
              <w:jc w:val="center"/>
              <w:rPr>
                <w:rFonts w:ascii="Times New Roman" w:hAnsi="Times New Roman" w:eastAsia="宋体" w:cs="Times New Roman"/>
                <w:sz w:val="18"/>
              </w:rPr>
            </w:pPr>
            <w:r>
              <w:rPr>
                <w:rFonts w:ascii="Times New Roman" w:hAnsi="Times New Roman" w:eastAsia="宋体" w:cs="Times New Roman"/>
                <w:sz w:val="18"/>
              </w:rPr>
              <w:t>HJ/T 70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1" w:hRule="atLeast"/>
          <w:jc w:val="center"/>
        </w:trPr>
        <w:tc>
          <w:tcPr>
            <w:tcW w:w="233" w:type="pct"/>
            <w:vMerge w:val="restart"/>
            <w:tcBorders>
              <w:left w:val="single" w:color="auto" w:sz="4" w:space="0"/>
              <w:right w:val="single" w:color="auto" w:sz="4" w:space="0"/>
            </w:tcBorders>
            <w:shd w:val="clear" w:color="auto" w:fill="auto"/>
            <w:vAlign w:val="center"/>
          </w:tcPr>
          <w:p>
            <w:pPr>
              <w:jc w:val="center"/>
              <w:rPr>
                <w:rFonts w:ascii="Times New Roman" w:hAnsi="Times New Roman" w:eastAsia="宋体" w:cs="Times New Roman"/>
                <w:sz w:val="18"/>
              </w:rPr>
            </w:pPr>
            <w:r>
              <w:rPr>
                <w:rFonts w:ascii="Times New Roman" w:hAnsi="Times New Roman" w:eastAsia="宋体" w:cs="Times New Roman"/>
                <w:sz w:val="18"/>
              </w:rPr>
              <w:t>6</w:t>
            </w:r>
          </w:p>
        </w:tc>
        <w:tc>
          <w:tcPr>
            <w:tcW w:w="1244" w:type="pct"/>
            <w:vMerge w:val="restart"/>
            <w:tcBorders>
              <w:left w:val="single" w:color="auto" w:sz="4" w:space="0"/>
              <w:right w:val="single" w:color="auto" w:sz="4" w:space="0"/>
            </w:tcBorders>
            <w:shd w:val="clear" w:color="auto" w:fill="auto"/>
            <w:vAlign w:val="center"/>
          </w:tcPr>
          <w:p>
            <w:pPr>
              <w:jc w:val="center"/>
              <w:rPr>
                <w:rFonts w:ascii="Times New Roman" w:hAnsi="Times New Roman" w:eastAsia="宋体" w:cs="Times New Roman"/>
                <w:sz w:val="18"/>
              </w:rPr>
            </w:pPr>
            <w:r>
              <w:rPr>
                <w:rFonts w:hint="eastAsia" w:ascii="Times New Roman" w:hAnsi="宋体" w:eastAsia="宋体" w:cs="Times New Roman"/>
                <w:sz w:val="18"/>
              </w:rPr>
              <w:t>氨氮</w:t>
            </w:r>
          </w:p>
        </w:tc>
        <w:tc>
          <w:tcPr>
            <w:tcW w:w="2743" w:type="pct"/>
            <w:tcBorders>
              <w:top w:val="single" w:color="auto" w:sz="4" w:space="0"/>
              <w:left w:val="single" w:color="auto" w:sz="4" w:space="0"/>
              <w:bottom w:val="single" w:color="auto" w:sz="4" w:space="0"/>
              <w:right w:val="single" w:color="auto" w:sz="4" w:space="0"/>
            </w:tcBorders>
            <w:shd w:val="clear" w:color="auto" w:fill="auto"/>
            <w:vAlign w:val="center"/>
          </w:tcPr>
          <w:p>
            <w:pPr>
              <w:jc w:val="left"/>
              <w:rPr>
                <w:rFonts w:ascii="Times New Roman" w:hAnsi="Times New Roman" w:eastAsia="宋体" w:cs="Times New Roman"/>
                <w:sz w:val="18"/>
              </w:rPr>
            </w:pPr>
            <w:r>
              <w:rPr>
                <w:rFonts w:hint="eastAsia" w:ascii="Times New Roman" w:hAnsi="宋体" w:eastAsia="宋体" w:cs="Times New Roman"/>
                <w:sz w:val="18"/>
              </w:rPr>
              <w:t>水质 氨氮的测定 纳氏试剂分光光度法</w:t>
            </w:r>
          </w:p>
        </w:tc>
        <w:tc>
          <w:tcPr>
            <w:tcW w:w="780" w:type="pct"/>
            <w:tcBorders>
              <w:top w:val="single" w:color="auto" w:sz="4" w:space="0"/>
              <w:left w:val="single" w:color="auto" w:sz="4" w:space="0"/>
              <w:bottom w:val="single" w:color="auto" w:sz="4" w:space="0"/>
              <w:right w:val="single" w:color="auto" w:sz="4" w:space="0"/>
            </w:tcBorders>
            <w:shd w:val="clear" w:color="auto" w:fill="auto"/>
            <w:vAlign w:val="center"/>
          </w:tcPr>
          <w:p>
            <w:pPr>
              <w:jc w:val="center"/>
              <w:rPr>
                <w:rFonts w:ascii="Times New Roman" w:hAnsi="Times New Roman" w:eastAsia="宋体" w:cs="Times New Roman"/>
                <w:sz w:val="18"/>
              </w:rPr>
            </w:pPr>
            <w:r>
              <w:rPr>
                <w:rFonts w:ascii="Times New Roman" w:hAnsi="Times New Roman" w:eastAsia="宋体" w:cs="Times New Roman"/>
                <w:sz w:val="18"/>
              </w:rPr>
              <w:t>HJ 535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1" w:hRule="atLeast"/>
          <w:jc w:val="center"/>
        </w:trPr>
        <w:tc>
          <w:tcPr>
            <w:tcW w:w="233" w:type="pct"/>
            <w:vMerge w:val="continue"/>
            <w:tcBorders>
              <w:left w:val="single" w:color="auto" w:sz="4" w:space="0"/>
              <w:bottom w:val="single" w:color="auto" w:sz="4" w:space="0"/>
              <w:right w:val="single" w:color="auto" w:sz="4" w:space="0"/>
            </w:tcBorders>
            <w:shd w:val="clear" w:color="auto" w:fill="auto"/>
            <w:vAlign w:val="center"/>
          </w:tcPr>
          <w:p>
            <w:pPr>
              <w:jc w:val="center"/>
              <w:rPr>
                <w:rFonts w:ascii="Times New Roman" w:hAnsi="Times New Roman" w:eastAsia="宋体" w:cs="Times New Roman"/>
                <w:sz w:val="18"/>
              </w:rPr>
            </w:pPr>
          </w:p>
        </w:tc>
        <w:tc>
          <w:tcPr>
            <w:tcW w:w="1244" w:type="pct"/>
            <w:vMerge w:val="continue"/>
            <w:tcBorders>
              <w:left w:val="single" w:color="auto" w:sz="4" w:space="0"/>
              <w:bottom w:val="single" w:color="auto" w:sz="4" w:space="0"/>
              <w:right w:val="single" w:color="auto" w:sz="4" w:space="0"/>
            </w:tcBorders>
            <w:shd w:val="clear" w:color="auto" w:fill="auto"/>
            <w:vAlign w:val="center"/>
          </w:tcPr>
          <w:p>
            <w:pPr>
              <w:jc w:val="center"/>
              <w:rPr>
                <w:rFonts w:ascii="Times New Roman" w:hAnsi="Times New Roman" w:eastAsia="宋体" w:cs="Times New Roman"/>
                <w:sz w:val="18"/>
              </w:rPr>
            </w:pPr>
          </w:p>
        </w:tc>
        <w:tc>
          <w:tcPr>
            <w:tcW w:w="2743" w:type="pct"/>
            <w:tcBorders>
              <w:top w:val="single" w:color="auto" w:sz="4" w:space="0"/>
              <w:left w:val="single" w:color="auto" w:sz="4" w:space="0"/>
              <w:bottom w:val="single" w:color="auto" w:sz="4" w:space="0"/>
              <w:right w:val="single" w:color="auto" w:sz="4" w:space="0"/>
            </w:tcBorders>
            <w:shd w:val="clear" w:color="auto" w:fill="auto"/>
            <w:vAlign w:val="center"/>
          </w:tcPr>
          <w:p>
            <w:pPr>
              <w:jc w:val="left"/>
              <w:rPr>
                <w:rFonts w:ascii="Times New Roman" w:hAnsi="Times New Roman" w:eastAsia="宋体" w:cs="Times New Roman"/>
                <w:sz w:val="18"/>
              </w:rPr>
            </w:pPr>
            <w:r>
              <w:rPr>
                <w:rFonts w:hint="eastAsia" w:ascii="Times New Roman" w:hAnsi="宋体" w:eastAsia="宋体" w:cs="Times New Roman"/>
                <w:sz w:val="18"/>
              </w:rPr>
              <w:t>水质 氨氮的测定 蒸馏</w:t>
            </w:r>
            <w:r>
              <w:rPr>
                <w:rFonts w:ascii="Times New Roman" w:hAnsi="Times New Roman" w:eastAsia="宋体" w:cs="Times New Roman"/>
                <w:sz w:val="18"/>
              </w:rPr>
              <w:t>-</w:t>
            </w:r>
            <w:r>
              <w:rPr>
                <w:rFonts w:hint="eastAsia" w:ascii="Times New Roman" w:hAnsi="宋体" w:eastAsia="宋体" w:cs="Times New Roman"/>
                <w:sz w:val="18"/>
              </w:rPr>
              <w:t>中和滴定法</w:t>
            </w:r>
          </w:p>
        </w:tc>
        <w:tc>
          <w:tcPr>
            <w:tcW w:w="780" w:type="pct"/>
            <w:tcBorders>
              <w:top w:val="single" w:color="auto" w:sz="4" w:space="0"/>
              <w:left w:val="single" w:color="auto" w:sz="4" w:space="0"/>
              <w:bottom w:val="single" w:color="auto" w:sz="4" w:space="0"/>
              <w:right w:val="single" w:color="auto" w:sz="4" w:space="0"/>
            </w:tcBorders>
            <w:shd w:val="clear" w:color="auto" w:fill="auto"/>
            <w:vAlign w:val="center"/>
          </w:tcPr>
          <w:p>
            <w:pPr>
              <w:jc w:val="center"/>
              <w:rPr>
                <w:rFonts w:ascii="Times New Roman" w:hAnsi="Times New Roman" w:eastAsia="宋体" w:cs="Times New Roman"/>
                <w:sz w:val="18"/>
              </w:rPr>
            </w:pPr>
            <w:r>
              <w:rPr>
                <w:rFonts w:ascii="Times New Roman" w:hAnsi="Times New Roman" w:eastAsia="宋体" w:cs="Times New Roman"/>
                <w:sz w:val="18"/>
              </w:rPr>
              <w:t>HJ 537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1" w:hRule="atLeast"/>
          <w:jc w:val="center"/>
        </w:trPr>
        <w:tc>
          <w:tcPr>
            <w:tcW w:w="233" w:type="pct"/>
            <w:tcBorders>
              <w:top w:val="single" w:color="auto" w:sz="4" w:space="0"/>
              <w:left w:val="single" w:color="auto" w:sz="4" w:space="0"/>
              <w:bottom w:val="single" w:color="auto" w:sz="4" w:space="0"/>
              <w:right w:val="single" w:color="auto" w:sz="4" w:space="0"/>
            </w:tcBorders>
            <w:shd w:val="clear" w:color="auto" w:fill="auto"/>
            <w:vAlign w:val="center"/>
          </w:tcPr>
          <w:p>
            <w:pPr>
              <w:jc w:val="center"/>
              <w:rPr>
                <w:rFonts w:ascii="Times New Roman" w:hAnsi="Times New Roman" w:eastAsia="宋体" w:cs="Times New Roman"/>
                <w:sz w:val="18"/>
              </w:rPr>
            </w:pPr>
            <w:r>
              <w:rPr>
                <w:rFonts w:ascii="Times New Roman" w:hAnsi="Times New Roman" w:eastAsia="宋体" w:cs="Times New Roman"/>
                <w:sz w:val="18"/>
              </w:rPr>
              <w:t>7</w:t>
            </w:r>
          </w:p>
        </w:tc>
        <w:tc>
          <w:tcPr>
            <w:tcW w:w="1244" w:type="pct"/>
            <w:tcBorders>
              <w:top w:val="single" w:color="auto" w:sz="4" w:space="0"/>
              <w:left w:val="single" w:color="auto" w:sz="4" w:space="0"/>
              <w:bottom w:val="single" w:color="auto" w:sz="4" w:space="0"/>
              <w:right w:val="single" w:color="auto" w:sz="4" w:space="0"/>
            </w:tcBorders>
            <w:shd w:val="clear" w:color="auto" w:fill="auto"/>
            <w:vAlign w:val="center"/>
          </w:tcPr>
          <w:p>
            <w:pPr>
              <w:jc w:val="center"/>
              <w:rPr>
                <w:rFonts w:ascii="Times New Roman" w:hAnsi="Times New Roman" w:eastAsia="宋体" w:cs="Times New Roman"/>
                <w:sz w:val="18"/>
              </w:rPr>
            </w:pPr>
            <w:r>
              <w:rPr>
                <w:rFonts w:hint="eastAsia" w:ascii="Times New Roman" w:hAnsi="宋体" w:eastAsia="宋体" w:cs="Times New Roman"/>
                <w:sz w:val="18"/>
              </w:rPr>
              <w:t>总氮</w:t>
            </w:r>
          </w:p>
        </w:tc>
        <w:tc>
          <w:tcPr>
            <w:tcW w:w="2743" w:type="pct"/>
            <w:tcBorders>
              <w:top w:val="single" w:color="auto" w:sz="4" w:space="0"/>
              <w:left w:val="single" w:color="auto" w:sz="4" w:space="0"/>
              <w:bottom w:val="single" w:color="auto" w:sz="4" w:space="0"/>
              <w:right w:val="single" w:color="auto" w:sz="4" w:space="0"/>
            </w:tcBorders>
            <w:shd w:val="clear" w:color="auto" w:fill="auto"/>
            <w:vAlign w:val="center"/>
          </w:tcPr>
          <w:p>
            <w:pPr>
              <w:jc w:val="left"/>
              <w:rPr>
                <w:rFonts w:ascii="Times New Roman" w:hAnsi="Times New Roman" w:eastAsia="宋体" w:cs="Times New Roman"/>
                <w:sz w:val="18"/>
              </w:rPr>
            </w:pPr>
            <w:r>
              <w:rPr>
                <w:rFonts w:hint="eastAsia" w:ascii="Times New Roman" w:hAnsi="宋体" w:eastAsia="宋体" w:cs="Times New Roman"/>
                <w:sz w:val="18"/>
              </w:rPr>
              <w:t>水质 总氮的测定 碱性过硫酸钾消解紫外分光光度法</w:t>
            </w:r>
          </w:p>
        </w:tc>
        <w:tc>
          <w:tcPr>
            <w:tcW w:w="780" w:type="pct"/>
            <w:tcBorders>
              <w:top w:val="single" w:color="auto" w:sz="4" w:space="0"/>
              <w:left w:val="single" w:color="auto" w:sz="4" w:space="0"/>
              <w:bottom w:val="single" w:color="auto" w:sz="4" w:space="0"/>
              <w:right w:val="single" w:color="auto" w:sz="4" w:space="0"/>
            </w:tcBorders>
            <w:shd w:val="clear" w:color="auto" w:fill="auto"/>
            <w:vAlign w:val="center"/>
          </w:tcPr>
          <w:p>
            <w:pPr>
              <w:jc w:val="center"/>
              <w:rPr>
                <w:rFonts w:ascii="Times New Roman" w:hAnsi="Times New Roman" w:eastAsia="宋体" w:cs="Times New Roman"/>
                <w:sz w:val="18"/>
              </w:rPr>
            </w:pPr>
            <w:r>
              <w:rPr>
                <w:rFonts w:ascii="Times New Roman" w:hAnsi="Times New Roman" w:eastAsia="宋体" w:cs="Times New Roman"/>
                <w:sz w:val="18"/>
              </w:rPr>
              <w:t>HJ 636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9" w:hRule="atLeast"/>
          <w:jc w:val="center"/>
        </w:trPr>
        <w:tc>
          <w:tcPr>
            <w:tcW w:w="233" w:type="pct"/>
            <w:tcBorders>
              <w:top w:val="single" w:color="auto" w:sz="4" w:space="0"/>
              <w:left w:val="single" w:color="auto" w:sz="4" w:space="0"/>
              <w:bottom w:val="single" w:color="auto" w:sz="4" w:space="0"/>
              <w:right w:val="single" w:color="auto" w:sz="4" w:space="0"/>
            </w:tcBorders>
            <w:shd w:val="clear" w:color="auto" w:fill="auto"/>
            <w:vAlign w:val="center"/>
          </w:tcPr>
          <w:p>
            <w:pPr>
              <w:jc w:val="center"/>
              <w:rPr>
                <w:rFonts w:ascii="Times New Roman" w:hAnsi="Times New Roman" w:eastAsia="宋体" w:cs="Times New Roman"/>
                <w:sz w:val="18"/>
              </w:rPr>
            </w:pPr>
            <w:r>
              <w:rPr>
                <w:rFonts w:ascii="Times New Roman" w:hAnsi="Times New Roman" w:eastAsia="宋体" w:cs="Times New Roman"/>
                <w:sz w:val="18"/>
              </w:rPr>
              <w:t>8</w:t>
            </w:r>
          </w:p>
        </w:tc>
        <w:tc>
          <w:tcPr>
            <w:tcW w:w="1244" w:type="pct"/>
            <w:tcBorders>
              <w:top w:val="single" w:color="auto" w:sz="4" w:space="0"/>
              <w:left w:val="single" w:color="auto" w:sz="4" w:space="0"/>
              <w:bottom w:val="single" w:color="auto" w:sz="4" w:space="0"/>
              <w:right w:val="single" w:color="auto" w:sz="4" w:space="0"/>
            </w:tcBorders>
            <w:shd w:val="clear" w:color="auto" w:fill="auto"/>
            <w:vAlign w:val="center"/>
          </w:tcPr>
          <w:p>
            <w:pPr>
              <w:jc w:val="center"/>
              <w:rPr>
                <w:rFonts w:ascii="Times New Roman" w:hAnsi="Times New Roman" w:eastAsia="宋体" w:cs="Times New Roman"/>
                <w:sz w:val="18"/>
              </w:rPr>
            </w:pPr>
            <w:r>
              <w:rPr>
                <w:rFonts w:hint="eastAsia" w:ascii="Times New Roman" w:hAnsi="宋体" w:eastAsia="宋体" w:cs="Times New Roman"/>
                <w:sz w:val="18"/>
              </w:rPr>
              <w:t>总磷</w:t>
            </w:r>
          </w:p>
        </w:tc>
        <w:tc>
          <w:tcPr>
            <w:tcW w:w="2743" w:type="pct"/>
            <w:tcBorders>
              <w:top w:val="single" w:color="auto" w:sz="4" w:space="0"/>
              <w:left w:val="single" w:color="auto" w:sz="4" w:space="0"/>
              <w:bottom w:val="single" w:color="auto" w:sz="4" w:space="0"/>
              <w:right w:val="single" w:color="auto" w:sz="4" w:space="0"/>
            </w:tcBorders>
            <w:shd w:val="clear" w:color="auto" w:fill="auto"/>
            <w:vAlign w:val="center"/>
          </w:tcPr>
          <w:p>
            <w:pPr>
              <w:jc w:val="left"/>
              <w:rPr>
                <w:rFonts w:ascii="Times New Roman" w:hAnsi="Times New Roman" w:eastAsia="宋体" w:cs="Times New Roman"/>
                <w:sz w:val="18"/>
              </w:rPr>
            </w:pPr>
            <w:r>
              <w:rPr>
                <w:rFonts w:hint="eastAsia" w:ascii="Times New Roman" w:hAnsi="宋体" w:eastAsia="宋体" w:cs="Times New Roman"/>
                <w:sz w:val="18"/>
              </w:rPr>
              <w:t>水质 总磷的测定 钼酸铵分光光度法</w:t>
            </w:r>
          </w:p>
        </w:tc>
        <w:tc>
          <w:tcPr>
            <w:tcW w:w="780" w:type="pct"/>
            <w:tcBorders>
              <w:top w:val="single" w:color="auto" w:sz="4" w:space="0"/>
              <w:left w:val="single" w:color="auto" w:sz="4" w:space="0"/>
              <w:bottom w:val="single" w:color="auto" w:sz="4" w:space="0"/>
              <w:right w:val="single" w:color="auto" w:sz="4" w:space="0"/>
            </w:tcBorders>
            <w:shd w:val="clear" w:color="auto" w:fill="auto"/>
            <w:vAlign w:val="center"/>
          </w:tcPr>
          <w:p>
            <w:pPr>
              <w:jc w:val="center"/>
              <w:rPr>
                <w:rFonts w:ascii="Times New Roman" w:hAnsi="Times New Roman" w:eastAsia="宋体" w:cs="Times New Roman"/>
                <w:sz w:val="18"/>
              </w:rPr>
            </w:pPr>
            <w:r>
              <w:rPr>
                <w:rFonts w:ascii="Times New Roman" w:hAnsi="Times New Roman" w:eastAsia="宋体" w:cs="Times New Roman"/>
                <w:sz w:val="18"/>
              </w:rPr>
              <w:t>GB/T 11893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1" w:hRule="atLeast"/>
          <w:jc w:val="center"/>
        </w:trPr>
        <w:tc>
          <w:tcPr>
            <w:tcW w:w="233" w:type="pct"/>
            <w:vMerge w:val="restart"/>
            <w:tcBorders>
              <w:top w:val="single" w:color="auto" w:sz="4" w:space="0"/>
              <w:left w:val="single" w:color="auto" w:sz="4" w:space="0"/>
              <w:right w:val="single" w:color="auto" w:sz="4" w:space="0"/>
            </w:tcBorders>
            <w:shd w:val="clear" w:color="auto" w:fill="auto"/>
            <w:vAlign w:val="center"/>
          </w:tcPr>
          <w:p>
            <w:pPr>
              <w:jc w:val="center"/>
              <w:rPr>
                <w:rFonts w:ascii="Times New Roman" w:hAnsi="Times New Roman" w:eastAsia="宋体" w:cs="Times New Roman"/>
                <w:sz w:val="18"/>
              </w:rPr>
            </w:pPr>
            <w:r>
              <w:rPr>
                <w:rFonts w:ascii="Times New Roman" w:hAnsi="Times New Roman" w:eastAsia="宋体" w:cs="Times New Roman"/>
                <w:sz w:val="18"/>
              </w:rPr>
              <w:t>9</w:t>
            </w:r>
          </w:p>
        </w:tc>
        <w:tc>
          <w:tcPr>
            <w:tcW w:w="1244" w:type="pct"/>
            <w:vMerge w:val="restart"/>
            <w:tcBorders>
              <w:top w:val="single" w:color="auto" w:sz="4" w:space="0"/>
              <w:left w:val="single" w:color="auto" w:sz="4" w:space="0"/>
              <w:right w:val="single" w:color="auto" w:sz="4" w:space="0"/>
            </w:tcBorders>
            <w:shd w:val="clear" w:color="auto" w:fill="auto"/>
            <w:vAlign w:val="center"/>
          </w:tcPr>
          <w:p>
            <w:pPr>
              <w:jc w:val="center"/>
              <w:rPr>
                <w:rFonts w:ascii="Times New Roman" w:hAnsi="Times New Roman" w:eastAsia="宋体" w:cs="Times New Roman"/>
                <w:sz w:val="18"/>
              </w:rPr>
            </w:pPr>
            <w:r>
              <w:rPr>
                <w:rFonts w:hint="eastAsia" w:ascii="Times New Roman" w:hAnsi="宋体" w:eastAsia="宋体" w:cs="Times New Roman"/>
                <w:sz w:val="18"/>
              </w:rPr>
              <w:t>氯化物</w:t>
            </w:r>
          </w:p>
        </w:tc>
        <w:tc>
          <w:tcPr>
            <w:tcW w:w="2743" w:type="pct"/>
            <w:tcBorders>
              <w:top w:val="single" w:color="auto" w:sz="4" w:space="0"/>
              <w:left w:val="single" w:color="auto" w:sz="4" w:space="0"/>
              <w:bottom w:val="single" w:color="auto" w:sz="4" w:space="0"/>
              <w:right w:val="single" w:color="auto" w:sz="4" w:space="0"/>
            </w:tcBorders>
            <w:shd w:val="clear" w:color="auto" w:fill="auto"/>
            <w:vAlign w:val="center"/>
          </w:tcPr>
          <w:p>
            <w:pPr>
              <w:jc w:val="left"/>
              <w:rPr>
                <w:rFonts w:ascii="Times New Roman" w:hAnsi="Times New Roman" w:eastAsia="宋体" w:cs="Times New Roman"/>
                <w:sz w:val="18"/>
              </w:rPr>
            </w:pPr>
            <w:r>
              <w:rPr>
                <w:rFonts w:hint="eastAsia" w:ascii="Times New Roman" w:hAnsi="宋体" w:eastAsia="宋体" w:cs="Times New Roman"/>
                <w:sz w:val="18"/>
              </w:rPr>
              <w:t>水质 氯化物的测定 硝酸银滴定法</w:t>
            </w:r>
          </w:p>
        </w:tc>
        <w:tc>
          <w:tcPr>
            <w:tcW w:w="780" w:type="pct"/>
            <w:tcBorders>
              <w:top w:val="single" w:color="auto" w:sz="4" w:space="0"/>
              <w:left w:val="single" w:color="auto" w:sz="4" w:space="0"/>
              <w:bottom w:val="single" w:color="auto" w:sz="4" w:space="0"/>
              <w:right w:val="single" w:color="auto" w:sz="4" w:space="0"/>
            </w:tcBorders>
            <w:shd w:val="clear" w:color="auto" w:fill="auto"/>
            <w:vAlign w:val="center"/>
          </w:tcPr>
          <w:p>
            <w:pPr>
              <w:jc w:val="center"/>
              <w:rPr>
                <w:rFonts w:ascii="Times New Roman" w:hAnsi="Times New Roman" w:eastAsia="宋体" w:cs="Times New Roman"/>
                <w:sz w:val="18"/>
              </w:rPr>
            </w:pPr>
            <w:r>
              <w:rPr>
                <w:rFonts w:ascii="Times New Roman" w:hAnsi="Times New Roman" w:eastAsia="宋体" w:cs="Times New Roman"/>
                <w:sz w:val="18"/>
              </w:rPr>
              <w:t>GB 11896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9" w:hRule="atLeast"/>
          <w:jc w:val="center"/>
        </w:trPr>
        <w:tc>
          <w:tcPr>
            <w:tcW w:w="233" w:type="pct"/>
            <w:vMerge w:val="continue"/>
            <w:tcBorders>
              <w:left w:val="single" w:color="auto" w:sz="4" w:space="0"/>
              <w:bottom w:val="single" w:color="auto" w:sz="4" w:space="0"/>
              <w:right w:val="single" w:color="auto" w:sz="4" w:space="0"/>
            </w:tcBorders>
            <w:shd w:val="clear" w:color="auto" w:fill="auto"/>
            <w:vAlign w:val="center"/>
          </w:tcPr>
          <w:p>
            <w:pPr>
              <w:jc w:val="center"/>
              <w:rPr>
                <w:rFonts w:ascii="Times New Roman" w:hAnsi="Times New Roman" w:eastAsia="宋体" w:cs="Times New Roman"/>
                <w:sz w:val="18"/>
              </w:rPr>
            </w:pPr>
          </w:p>
        </w:tc>
        <w:tc>
          <w:tcPr>
            <w:tcW w:w="1244" w:type="pct"/>
            <w:vMerge w:val="continue"/>
            <w:tcBorders>
              <w:left w:val="single" w:color="auto" w:sz="4" w:space="0"/>
              <w:bottom w:val="single" w:color="auto" w:sz="4" w:space="0"/>
              <w:right w:val="single" w:color="auto" w:sz="4" w:space="0"/>
            </w:tcBorders>
            <w:shd w:val="clear" w:color="auto" w:fill="auto"/>
            <w:vAlign w:val="center"/>
          </w:tcPr>
          <w:p>
            <w:pPr>
              <w:jc w:val="center"/>
              <w:rPr>
                <w:rFonts w:ascii="Times New Roman" w:hAnsi="Times New Roman" w:eastAsia="宋体" w:cs="Times New Roman"/>
                <w:sz w:val="18"/>
              </w:rPr>
            </w:pPr>
          </w:p>
        </w:tc>
        <w:tc>
          <w:tcPr>
            <w:tcW w:w="2743" w:type="pct"/>
            <w:tcBorders>
              <w:top w:val="single" w:color="auto" w:sz="4" w:space="0"/>
              <w:left w:val="single" w:color="auto" w:sz="4" w:space="0"/>
              <w:bottom w:val="single" w:color="auto" w:sz="4" w:space="0"/>
              <w:right w:val="single" w:color="auto" w:sz="4" w:space="0"/>
            </w:tcBorders>
            <w:shd w:val="clear" w:color="auto" w:fill="auto"/>
            <w:vAlign w:val="center"/>
          </w:tcPr>
          <w:p>
            <w:pPr>
              <w:jc w:val="left"/>
              <w:rPr>
                <w:rFonts w:ascii="Times New Roman" w:hAnsi="Times New Roman" w:eastAsia="宋体" w:cs="Times New Roman"/>
                <w:sz w:val="18"/>
              </w:rPr>
            </w:pPr>
            <w:r>
              <w:rPr>
                <w:rFonts w:hint="eastAsia" w:ascii="Times New Roman" w:hAnsi="宋体" w:eastAsia="宋体" w:cs="Times New Roman"/>
                <w:sz w:val="18"/>
              </w:rPr>
              <w:t>水质 无机阴离子的测定 离子色谱法</w:t>
            </w:r>
          </w:p>
        </w:tc>
        <w:tc>
          <w:tcPr>
            <w:tcW w:w="780" w:type="pct"/>
            <w:tcBorders>
              <w:top w:val="single" w:color="auto" w:sz="4" w:space="0"/>
              <w:left w:val="single" w:color="auto" w:sz="4" w:space="0"/>
              <w:bottom w:val="single" w:color="auto" w:sz="4" w:space="0"/>
              <w:right w:val="single" w:color="auto" w:sz="4" w:space="0"/>
            </w:tcBorders>
            <w:shd w:val="clear" w:color="auto" w:fill="auto"/>
            <w:vAlign w:val="center"/>
          </w:tcPr>
          <w:p>
            <w:pPr>
              <w:jc w:val="center"/>
              <w:rPr>
                <w:rFonts w:ascii="Times New Roman" w:hAnsi="Times New Roman" w:eastAsia="宋体" w:cs="Times New Roman"/>
                <w:sz w:val="18"/>
              </w:rPr>
            </w:pPr>
            <w:r>
              <w:rPr>
                <w:rFonts w:ascii="Times New Roman" w:hAnsi="Times New Roman" w:eastAsia="宋体" w:cs="Times New Roman"/>
                <w:sz w:val="18"/>
              </w:rPr>
              <w:t>HJ 84</w:t>
            </w:r>
          </w:p>
        </w:tc>
      </w:tr>
    </w:tbl>
    <w:p>
      <w:pPr>
        <w:keepNext/>
        <w:keepLines/>
        <w:spacing w:before="120" w:after="120" w:line="415" w:lineRule="auto"/>
        <w:jc w:val="left"/>
        <w:outlineLvl w:val="1"/>
        <w:rPr>
          <w:rFonts w:ascii="Times New Roman" w:hAnsi="Times New Roman" w:eastAsia="宋体" w:cs="Times New Roman"/>
          <w:b/>
          <w:bCs/>
          <w:sz w:val="30"/>
          <w:szCs w:val="32"/>
        </w:rPr>
      </w:pPr>
      <w:bookmarkStart w:id="56" w:name="_Toc76386135"/>
      <w:r>
        <w:rPr>
          <w:rFonts w:ascii="Times New Roman" w:hAnsi="Times New Roman" w:eastAsia="宋体" w:cs="Times New Roman"/>
          <w:b/>
          <w:bCs/>
          <w:sz w:val="30"/>
          <w:szCs w:val="32"/>
        </w:rPr>
        <w:t>6.</w:t>
      </w:r>
      <w:r>
        <w:rPr>
          <w:rFonts w:hint="eastAsia" w:ascii="Times New Roman" w:hAnsi="Times New Roman" w:eastAsia="宋体" w:cs="Times New Roman"/>
          <w:b/>
          <w:bCs/>
          <w:sz w:val="30"/>
          <w:szCs w:val="32"/>
        </w:rPr>
        <w:t>7氯化物的管控要求</w:t>
      </w:r>
      <w:bookmarkEnd w:id="56"/>
    </w:p>
    <w:p>
      <w:pPr>
        <w:pStyle w:val="80"/>
        <w:spacing w:line="300" w:lineRule="auto"/>
        <w:ind w:firstLine="420"/>
        <w:rPr>
          <w:rFonts w:cs="Times New Roman"/>
          <w:sz w:val="21"/>
        </w:rPr>
      </w:pPr>
      <w:r>
        <w:rPr>
          <w:rFonts w:hint="eastAsia" w:cs="Times New Roman"/>
          <w:sz w:val="21"/>
        </w:rPr>
        <w:t>（1）泡菜工业企业宜加强源头控制和生产过程管理，采用低盐盐渍、分阶段加盐等盐渍工艺，减少盐渍过程用盐量和清洗过程用水量，减少含盐废水产生量。</w:t>
      </w:r>
    </w:p>
    <w:p>
      <w:pPr>
        <w:pStyle w:val="80"/>
        <w:spacing w:line="300" w:lineRule="auto"/>
        <w:ind w:firstLine="420"/>
        <w:rPr>
          <w:rFonts w:cs="Times New Roman"/>
          <w:sz w:val="21"/>
        </w:rPr>
      </w:pPr>
      <w:r>
        <w:rPr>
          <w:rFonts w:hint="eastAsia" w:cs="Times New Roman"/>
          <w:sz w:val="21"/>
        </w:rPr>
        <w:t>（2）泡菜工业企业采用管道输送方式向污水集中处理设施排放水污染物的，其氯化物排放在不超过本标准间接排放限值规定的要求下，可与污水集中处理设施主管部门协商，其他污染物的排放控制要求执行国家或四川省相关排放标准。</w:t>
      </w:r>
    </w:p>
    <w:p>
      <w:pPr>
        <w:pStyle w:val="80"/>
        <w:spacing w:line="300" w:lineRule="auto"/>
        <w:ind w:firstLine="420"/>
        <w:rPr>
          <w:rFonts w:cs="Times New Roman"/>
          <w:sz w:val="21"/>
        </w:rPr>
      </w:pPr>
      <w:r>
        <w:rPr>
          <w:rFonts w:hint="eastAsia" w:cs="Times New Roman"/>
          <w:sz w:val="21"/>
        </w:rPr>
        <w:t>（3）泡菜工业企业在收购粗加工产品时，宜一并收取相应的盐渍废水，并将盐渍废水输送至自建污水处理设施或工业污水集中处理设施处理。严禁向环境直接排放盐渍废水。</w:t>
      </w:r>
    </w:p>
    <w:p>
      <w:pPr>
        <w:keepNext/>
        <w:keepLines/>
        <w:spacing w:before="240" w:after="240" w:line="578" w:lineRule="auto"/>
        <w:jc w:val="left"/>
        <w:outlineLvl w:val="0"/>
        <w:rPr>
          <w:rFonts w:ascii="Times New Roman" w:hAnsi="Times New Roman" w:eastAsia="宋体" w:cs="Times New Roman"/>
          <w:b/>
          <w:bCs/>
          <w:kern w:val="44"/>
          <w:sz w:val="32"/>
          <w:szCs w:val="44"/>
        </w:rPr>
      </w:pPr>
      <w:bookmarkStart w:id="57" w:name="_Toc76386136"/>
      <w:r>
        <w:rPr>
          <w:rFonts w:hint="eastAsia" w:ascii="Times New Roman" w:hAnsi="Times New Roman" w:eastAsia="宋体" w:cs="Times New Roman"/>
          <w:b/>
          <w:bCs/>
          <w:kern w:val="44"/>
          <w:sz w:val="32"/>
          <w:szCs w:val="44"/>
        </w:rPr>
        <w:t>7本标准与国内外相关标准对比</w:t>
      </w:r>
      <w:bookmarkEnd w:id="57"/>
    </w:p>
    <w:p>
      <w:pPr>
        <w:keepNext/>
        <w:keepLines/>
        <w:spacing w:before="120" w:after="120" w:line="415" w:lineRule="auto"/>
        <w:jc w:val="left"/>
        <w:outlineLvl w:val="1"/>
        <w:rPr>
          <w:rFonts w:ascii="Times New Roman" w:hAnsi="Times New Roman" w:eastAsia="宋体" w:cs="Times New Roman"/>
          <w:b/>
          <w:bCs/>
          <w:sz w:val="30"/>
          <w:szCs w:val="32"/>
        </w:rPr>
      </w:pPr>
      <w:bookmarkStart w:id="58" w:name="_Toc76386137"/>
      <w:r>
        <w:rPr>
          <w:rFonts w:hint="eastAsia" w:ascii="Times New Roman" w:hAnsi="Times New Roman" w:eastAsia="宋体" w:cs="Times New Roman"/>
          <w:b/>
          <w:bCs/>
          <w:sz w:val="30"/>
          <w:szCs w:val="32"/>
        </w:rPr>
        <w:t>7.1 与国内相关标准的对比</w:t>
      </w:r>
      <w:bookmarkEnd w:id="58"/>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对于直接排放限值，与现行标准《污水综合排放标准》（GB 8978-1996）和处理污水性质较为相似的《城镇污水处理厂污染物排放标准》（GB 18918-2002），以及已制定行业排放标准比较，见表6-1、表6-2和表6-3。总体来看，标准表1中部分指标限值与《污水综合排放标准》（GB 8978-1996）一级排放限值相当，BOD</w:t>
      </w:r>
      <w:r>
        <w:rPr>
          <w:rFonts w:hint="eastAsia" w:ascii="Times New Roman" w:hAnsi="Times New Roman" w:eastAsia="宋体" w:cs="Times New Roman"/>
          <w:szCs w:val="22"/>
          <w:vertAlign w:val="subscript"/>
        </w:rPr>
        <w:t>5</w:t>
      </w:r>
      <w:r>
        <w:rPr>
          <w:rFonts w:hint="eastAsia" w:ascii="Times New Roman" w:hAnsi="Times New Roman" w:eastAsia="宋体" w:cs="Times New Roman"/>
          <w:szCs w:val="22"/>
        </w:rPr>
        <w:t>指标限值严于《污水综合排放标准》（GB 8978-1996）一级排放限值；盐渍泡菜类氯化物的排放限值宽于《制革及毛皮加工工业水污染物排放标准》（GB30486-2013）的直接排放限值（3000 mg/L），盐水渍泡菜和其他盐渍类氯化物的排放限值严于《制革及毛皮加工工业水污染物排放标准》（GB30486-2013）的直接排放限值（3000 mg/L）。</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标准表2中色度指标限值与《城镇污水处理厂污染物排放标准》（GB 18918-2002）一级A限值相当；标准表2 中BOD</w:t>
      </w:r>
      <w:r>
        <w:rPr>
          <w:rFonts w:hint="eastAsia" w:ascii="Times New Roman" w:hAnsi="Times New Roman" w:eastAsia="宋体" w:cs="Times New Roman"/>
          <w:szCs w:val="22"/>
          <w:vertAlign w:val="subscript"/>
        </w:rPr>
        <w:t>5</w:t>
      </w:r>
      <w:r>
        <w:rPr>
          <w:rFonts w:hint="eastAsia" w:ascii="Times New Roman" w:hAnsi="Times New Roman" w:eastAsia="宋体" w:cs="Times New Roman"/>
          <w:szCs w:val="22"/>
        </w:rPr>
        <w:t>指标限值宽于《城镇污水处理厂污染物排放标准》（GB 18918-2002）一级A限值，严于《城镇污水处理厂污染物排放标准》（GB 18918-2002）一级B限值；</w:t>
      </w:r>
      <w:r>
        <w:rPr>
          <w:rFonts w:ascii="Times New Roman" w:hAnsi="Times New Roman" w:eastAsia="宋体" w:cs="Times New Roman"/>
          <w:szCs w:val="22"/>
        </w:rPr>
        <w:t>COD</w:t>
      </w:r>
      <w:r>
        <w:rPr>
          <w:rFonts w:hint="eastAsia" w:ascii="Times New Roman" w:hAnsi="Times New Roman" w:eastAsia="宋体" w:cs="Times New Roman"/>
          <w:szCs w:val="22"/>
          <w:vertAlign w:val="subscript"/>
        </w:rPr>
        <w:t>Cr</w:t>
      </w:r>
      <w:r>
        <w:rPr>
          <w:rFonts w:hint="eastAsia" w:ascii="Times New Roman" w:hAnsi="Times New Roman" w:eastAsia="宋体" w:cs="Times New Roman"/>
          <w:szCs w:val="22"/>
        </w:rPr>
        <w:t>指标限值宽于《城镇污水处理厂污染物排放标准》（GB 18918-2002）一级B限值，严于《城镇污水处理厂污染物排放标准》（GB 18918-2002）二级限值；SS宽于《城镇污水处理厂污染物排放标准》（GB 18918-2002）三级限值，严于《污水综合排放标准》（GB 8978-1996）一级排放限值；TP与《污水综合排放标准》（GB 8978-1996）一级排放限值相当；</w:t>
      </w:r>
      <w:r>
        <w:rPr>
          <w:rFonts w:ascii="Times New Roman" w:hAnsi="Times New Roman" w:eastAsia="宋体" w:cs="Times New Roman"/>
          <w:szCs w:val="22"/>
        </w:rPr>
        <w:t>NH</w:t>
      </w:r>
      <w:r>
        <w:rPr>
          <w:rFonts w:ascii="Times New Roman" w:hAnsi="Times New Roman" w:eastAsia="宋体" w:cs="Times New Roman"/>
          <w:szCs w:val="22"/>
          <w:vertAlign w:val="subscript"/>
        </w:rPr>
        <w:t>3</w:t>
      </w:r>
      <w:r>
        <w:rPr>
          <w:rFonts w:ascii="Times New Roman" w:hAnsi="Times New Roman" w:eastAsia="宋体" w:cs="Times New Roman"/>
          <w:szCs w:val="22"/>
        </w:rPr>
        <w:t>-N</w:t>
      </w:r>
      <w:r>
        <w:rPr>
          <w:rFonts w:hint="eastAsia" w:ascii="Times New Roman" w:hAnsi="Times New Roman" w:eastAsia="宋体" w:cs="Times New Roman"/>
          <w:szCs w:val="22"/>
        </w:rPr>
        <w:t>和TN宽于《四川省岷江、沱江流域水污染物排放标准》（DB51/2311-2016）工业企业排放浓度限值。盐渍泡菜企业氯化物的排放限值宽于《制革及毛皮加工工业水污染物排放标准》（GB30486-2013）的直接排放限值（3000 mg/L），盐水渍泡菜和其他盐渍类氯化物的排放限值严于《制革及毛皮加工工业水污染物排放标准》（GB30486-2013）的直接排放限值（3000 mg/L），但与重庆市《榨菜行业水污染物排放标准》（DB 50/1050-2020）相比，本标准中氯化物浓度限值较严。常规污染物与其他相关行业排放限值相比，总氮限值略宽，但比重庆市《榨菜行业水污染物排放标准》（DB 50/1050-2020）较严，化学需氧量、生化需氧量、悬浮物、色度、氨氮、总磷与其他行业排放限值相比相当或略严。</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对于间接排放限值，基本等于或严于现行标准《污水综合排放标准》（GB 8978-1996）三级标准限值，与《污水排入城镇下水道水质标准》（GB/T 31962-2015）限值相当，氯化物的排放限值宽于《制革及毛皮加工工业水污染物排放标准》（GB30486-2013）的间接排放限值（4000 mg/L）。</w:t>
      </w:r>
    </w:p>
    <w:p>
      <w:pPr>
        <w:jc w:val="center"/>
        <w:rPr>
          <w:rFonts w:ascii="Times New Roman" w:hAnsi="Times New Roman" w:eastAsia="宋体" w:cs="Times New Roman"/>
          <w:b/>
          <w:bCs/>
          <w:sz w:val="18"/>
          <w:szCs w:val="32"/>
        </w:rPr>
      </w:pPr>
      <w:r>
        <w:rPr>
          <w:rFonts w:ascii="Times New Roman" w:hAnsi="Times New Roman" w:eastAsia="宋体" w:cs="Times New Roman"/>
          <w:b/>
          <w:bCs/>
          <w:sz w:val="18"/>
          <w:szCs w:val="32"/>
        </w:rPr>
        <w:t>表</w:t>
      </w:r>
      <w:r>
        <w:rPr>
          <w:rFonts w:hint="eastAsia" w:ascii="Times New Roman" w:hAnsi="Times New Roman" w:eastAsia="宋体" w:cs="Times New Roman"/>
          <w:b/>
          <w:bCs/>
          <w:sz w:val="18"/>
          <w:szCs w:val="32"/>
        </w:rPr>
        <w:t>7-1 本标准与国内相关标准对比</w:t>
      </w:r>
    </w:p>
    <w:tbl>
      <w:tblPr>
        <w:tblStyle w:val="25"/>
        <w:tblW w:w="513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30"/>
        <w:gridCol w:w="950"/>
        <w:gridCol w:w="574"/>
        <w:gridCol w:w="685"/>
        <w:gridCol w:w="857"/>
        <w:gridCol w:w="911"/>
        <w:gridCol w:w="867"/>
        <w:gridCol w:w="827"/>
        <w:gridCol w:w="748"/>
        <w:gridCol w:w="60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tblHeader/>
        </w:trPr>
        <w:tc>
          <w:tcPr>
            <w:tcW w:w="988" w:type="pct"/>
            <w:shd w:val="clear" w:color="auto" w:fill="auto"/>
            <w:vAlign w:val="center"/>
          </w:tcPr>
          <w:p>
            <w:pPr>
              <w:jc w:val="center"/>
              <w:rPr>
                <w:rFonts w:ascii="Times New Roman" w:hAnsi="Times New Roman" w:eastAsia="宋体" w:cs="Times New Roman"/>
                <w:b/>
                <w:kern w:val="0"/>
                <w:sz w:val="18"/>
                <w:szCs w:val="22"/>
              </w:rPr>
            </w:pPr>
            <w:r>
              <w:rPr>
                <w:rFonts w:hint="eastAsia" w:ascii="Times New Roman" w:hAnsi="Times New Roman" w:eastAsia="宋体" w:cs="Times New Roman"/>
                <w:b/>
                <w:kern w:val="0"/>
                <w:sz w:val="18"/>
                <w:szCs w:val="22"/>
              </w:rPr>
              <w:t>相关标准</w:t>
            </w:r>
          </w:p>
        </w:tc>
        <w:tc>
          <w:tcPr>
            <w:tcW w:w="543" w:type="pct"/>
            <w:shd w:val="clear" w:color="auto" w:fill="auto"/>
            <w:vAlign w:val="center"/>
          </w:tcPr>
          <w:p>
            <w:pPr>
              <w:jc w:val="center"/>
              <w:rPr>
                <w:rFonts w:ascii="Times New Roman" w:hAnsi="Times New Roman" w:eastAsia="宋体" w:cs="Times New Roman"/>
                <w:b/>
                <w:kern w:val="0"/>
                <w:sz w:val="18"/>
                <w:szCs w:val="22"/>
              </w:rPr>
            </w:pPr>
            <w:r>
              <w:rPr>
                <w:rFonts w:hint="eastAsia" w:ascii="Times New Roman" w:hAnsi="Times New Roman" w:eastAsia="宋体" w:cs="Times New Roman"/>
                <w:b/>
                <w:kern w:val="0"/>
                <w:sz w:val="18"/>
                <w:szCs w:val="22"/>
              </w:rPr>
              <w:t>执行标准</w:t>
            </w:r>
          </w:p>
        </w:tc>
        <w:tc>
          <w:tcPr>
            <w:tcW w:w="328" w:type="pct"/>
            <w:shd w:val="clear" w:color="auto" w:fill="auto"/>
            <w:vAlign w:val="center"/>
          </w:tcPr>
          <w:p>
            <w:pPr>
              <w:jc w:val="center"/>
              <w:rPr>
                <w:rFonts w:ascii="Times New Roman" w:hAnsi="Times New Roman" w:eastAsia="宋体" w:cs="Times New Roman"/>
                <w:b/>
                <w:kern w:val="0"/>
                <w:sz w:val="18"/>
                <w:szCs w:val="22"/>
              </w:rPr>
            </w:pPr>
            <w:r>
              <w:rPr>
                <w:rFonts w:hint="eastAsia" w:ascii="Times New Roman" w:hAnsi="Times New Roman" w:eastAsia="宋体" w:cs="Times New Roman"/>
                <w:b/>
                <w:kern w:val="0"/>
                <w:sz w:val="18"/>
                <w:szCs w:val="22"/>
              </w:rPr>
              <w:t>pH值</w:t>
            </w:r>
          </w:p>
        </w:tc>
        <w:tc>
          <w:tcPr>
            <w:tcW w:w="391" w:type="pct"/>
            <w:shd w:val="clear" w:color="auto" w:fill="auto"/>
            <w:vAlign w:val="center"/>
          </w:tcPr>
          <w:p>
            <w:pPr>
              <w:jc w:val="center"/>
              <w:rPr>
                <w:rFonts w:ascii="Times New Roman" w:hAnsi="Times New Roman" w:eastAsia="宋体" w:cs="Times New Roman"/>
                <w:b/>
                <w:kern w:val="0"/>
                <w:sz w:val="18"/>
                <w:szCs w:val="22"/>
              </w:rPr>
            </w:pPr>
            <w:r>
              <w:rPr>
                <w:rFonts w:hint="eastAsia" w:ascii="Times New Roman" w:hAnsi="Times New Roman" w:eastAsia="宋体" w:cs="Times New Roman"/>
                <w:b/>
                <w:kern w:val="0"/>
                <w:sz w:val="18"/>
                <w:szCs w:val="22"/>
              </w:rPr>
              <w:t>色度（倍）</w:t>
            </w:r>
          </w:p>
        </w:tc>
        <w:tc>
          <w:tcPr>
            <w:tcW w:w="489" w:type="pct"/>
            <w:vAlign w:val="center"/>
          </w:tcPr>
          <w:p>
            <w:pPr>
              <w:jc w:val="center"/>
              <w:rPr>
                <w:rFonts w:ascii="Times New Roman" w:hAnsi="Times New Roman" w:eastAsia="宋体" w:cs="Times New Roman"/>
                <w:b/>
                <w:kern w:val="0"/>
                <w:sz w:val="18"/>
                <w:szCs w:val="22"/>
              </w:rPr>
            </w:pPr>
            <w:r>
              <w:rPr>
                <w:rFonts w:hint="eastAsia" w:ascii="Times New Roman" w:hAnsi="Times New Roman" w:eastAsia="宋体" w:cs="Times New Roman"/>
                <w:b/>
                <w:kern w:val="0"/>
                <w:sz w:val="18"/>
                <w:szCs w:val="22"/>
              </w:rPr>
              <w:t>SS</w:t>
            </w:r>
            <w:r>
              <w:rPr>
                <w:rFonts w:hint="eastAsia" w:ascii="Times New Roman" w:hAnsi="Times New Roman" w:eastAsia="宋体" w:cs="Times New Roman"/>
                <w:b/>
                <w:kern w:val="0"/>
                <w:sz w:val="16"/>
                <w:szCs w:val="22"/>
              </w:rPr>
              <w:t>（mg/L）</w:t>
            </w:r>
          </w:p>
        </w:tc>
        <w:tc>
          <w:tcPr>
            <w:tcW w:w="520" w:type="pct"/>
            <w:vAlign w:val="center"/>
          </w:tcPr>
          <w:p>
            <w:pPr>
              <w:jc w:val="center"/>
              <w:rPr>
                <w:rFonts w:ascii="Times New Roman" w:hAnsi="Times New Roman" w:eastAsia="宋体" w:cs="Times New Roman"/>
                <w:b/>
                <w:kern w:val="0"/>
                <w:sz w:val="18"/>
                <w:szCs w:val="22"/>
              </w:rPr>
            </w:pPr>
            <w:r>
              <w:rPr>
                <w:rFonts w:hint="eastAsia" w:ascii="Times New Roman" w:hAnsi="Times New Roman" w:eastAsia="宋体" w:cs="Times New Roman"/>
                <w:b/>
                <w:kern w:val="0"/>
                <w:sz w:val="18"/>
                <w:szCs w:val="22"/>
              </w:rPr>
              <w:t>BOD</w:t>
            </w:r>
            <w:r>
              <w:rPr>
                <w:rFonts w:ascii="Times New Roman" w:hAnsi="Times New Roman" w:eastAsia="宋体" w:cs="Times New Roman"/>
                <w:b/>
                <w:kern w:val="0"/>
                <w:sz w:val="18"/>
                <w:szCs w:val="22"/>
                <w:vertAlign w:val="subscript"/>
              </w:rPr>
              <w:t>5</w:t>
            </w:r>
            <w:r>
              <w:rPr>
                <w:rFonts w:hint="eastAsia" w:ascii="Times New Roman" w:hAnsi="Times New Roman" w:eastAsia="宋体" w:cs="Times New Roman"/>
                <w:b/>
                <w:kern w:val="0"/>
                <w:sz w:val="18"/>
                <w:szCs w:val="22"/>
              </w:rPr>
              <w:t>（mg/L）</w:t>
            </w:r>
          </w:p>
        </w:tc>
        <w:tc>
          <w:tcPr>
            <w:tcW w:w="495" w:type="pct"/>
            <w:shd w:val="clear" w:color="auto" w:fill="auto"/>
            <w:vAlign w:val="center"/>
          </w:tcPr>
          <w:p>
            <w:pPr>
              <w:jc w:val="center"/>
              <w:rPr>
                <w:rFonts w:ascii="Times New Roman" w:hAnsi="Times New Roman" w:eastAsia="宋体" w:cs="Times New Roman"/>
                <w:b/>
                <w:kern w:val="0"/>
                <w:sz w:val="18"/>
                <w:szCs w:val="22"/>
              </w:rPr>
            </w:pPr>
            <w:r>
              <w:rPr>
                <w:rFonts w:hint="eastAsia" w:ascii="Times New Roman" w:hAnsi="Times New Roman" w:eastAsia="宋体" w:cs="Times New Roman"/>
                <w:b/>
                <w:kern w:val="0"/>
                <w:sz w:val="18"/>
                <w:szCs w:val="22"/>
              </w:rPr>
              <w:t>COD</w:t>
            </w:r>
            <w:r>
              <w:rPr>
                <w:rFonts w:hint="eastAsia" w:ascii="Times New Roman" w:hAnsi="Times New Roman" w:eastAsia="宋体" w:cs="Times New Roman"/>
                <w:b/>
                <w:kern w:val="0"/>
                <w:sz w:val="18"/>
                <w:szCs w:val="22"/>
                <w:vertAlign w:val="subscript"/>
              </w:rPr>
              <w:t>Cr</w:t>
            </w:r>
            <w:r>
              <w:rPr>
                <w:rFonts w:hint="eastAsia" w:ascii="Times New Roman" w:hAnsi="Times New Roman" w:eastAsia="宋体" w:cs="Times New Roman"/>
                <w:b/>
                <w:kern w:val="0"/>
                <w:sz w:val="16"/>
                <w:szCs w:val="22"/>
              </w:rPr>
              <w:t>（mg/L）</w:t>
            </w:r>
          </w:p>
        </w:tc>
        <w:tc>
          <w:tcPr>
            <w:tcW w:w="472" w:type="pct"/>
            <w:shd w:val="clear" w:color="auto" w:fill="auto"/>
            <w:vAlign w:val="center"/>
          </w:tcPr>
          <w:p>
            <w:pPr>
              <w:jc w:val="center"/>
              <w:rPr>
                <w:rFonts w:ascii="Times New Roman" w:hAnsi="Times New Roman" w:eastAsia="宋体" w:cs="Times New Roman"/>
                <w:b/>
                <w:kern w:val="0"/>
                <w:sz w:val="18"/>
                <w:szCs w:val="22"/>
              </w:rPr>
            </w:pPr>
            <w:r>
              <w:rPr>
                <w:rFonts w:hint="eastAsia" w:ascii="Times New Roman" w:hAnsi="Times New Roman" w:eastAsia="宋体" w:cs="Times New Roman"/>
                <w:b/>
                <w:kern w:val="0"/>
                <w:sz w:val="18"/>
                <w:szCs w:val="22"/>
              </w:rPr>
              <w:t>NH</w:t>
            </w:r>
            <w:r>
              <w:rPr>
                <w:rFonts w:hint="eastAsia" w:ascii="Times New Roman" w:hAnsi="Times New Roman" w:eastAsia="宋体" w:cs="Times New Roman"/>
                <w:b/>
                <w:kern w:val="0"/>
                <w:sz w:val="18"/>
                <w:szCs w:val="22"/>
                <w:vertAlign w:val="subscript"/>
              </w:rPr>
              <w:t>3</w:t>
            </w:r>
            <w:r>
              <w:rPr>
                <w:rFonts w:hint="eastAsia" w:ascii="Times New Roman" w:hAnsi="Times New Roman" w:eastAsia="宋体" w:cs="Times New Roman"/>
                <w:b/>
                <w:kern w:val="0"/>
                <w:sz w:val="18"/>
                <w:szCs w:val="22"/>
              </w:rPr>
              <w:t>-N</w:t>
            </w:r>
            <w:r>
              <w:rPr>
                <w:rFonts w:hint="eastAsia" w:ascii="Times New Roman" w:hAnsi="Times New Roman" w:eastAsia="宋体" w:cs="Times New Roman"/>
                <w:b/>
                <w:kern w:val="0"/>
                <w:sz w:val="16"/>
                <w:szCs w:val="22"/>
              </w:rPr>
              <w:t>（mg/L）</w:t>
            </w:r>
          </w:p>
        </w:tc>
        <w:tc>
          <w:tcPr>
            <w:tcW w:w="427" w:type="pct"/>
            <w:shd w:val="clear" w:color="auto" w:fill="auto"/>
            <w:vAlign w:val="center"/>
          </w:tcPr>
          <w:p>
            <w:pPr>
              <w:jc w:val="center"/>
              <w:rPr>
                <w:rFonts w:ascii="Times New Roman" w:hAnsi="Times New Roman" w:eastAsia="宋体" w:cs="Times New Roman"/>
                <w:b/>
                <w:kern w:val="0"/>
                <w:sz w:val="18"/>
                <w:szCs w:val="22"/>
              </w:rPr>
            </w:pPr>
            <w:r>
              <w:rPr>
                <w:rFonts w:hint="eastAsia" w:ascii="Times New Roman" w:hAnsi="Times New Roman" w:eastAsia="宋体" w:cs="Times New Roman"/>
                <w:b/>
                <w:kern w:val="0"/>
                <w:sz w:val="18"/>
                <w:szCs w:val="22"/>
              </w:rPr>
              <w:t>TN（mg/L）</w:t>
            </w:r>
          </w:p>
        </w:tc>
        <w:tc>
          <w:tcPr>
            <w:tcW w:w="347" w:type="pct"/>
            <w:shd w:val="clear" w:color="auto" w:fill="auto"/>
            <w:vAlign w:val="center"/>
          </w:tcPr>
          <w:p>
            <w:pPr>
              <w:jc w:val="center"/>
              <w:rPr>
                <w:rFonts w:ascii="Times New Roman" w:hAnsi="Times New Roman" w:eastAsia="宋体" w:cs="Times New Roman"/>
                <w:b/>
                <w:kern w:val="0"/>
                <w:sz w:val="18"/>
                <w:szCs w:val="22"/>
              </w:rPr>
            </w:pPr>
            <w:r>
              <w:rPr>
                <w:rFonts w:hint="eastAsia" w:ascii="Times New Roman" w:hAnsi="Times New Roman" w:eastAsia="宋体" w:cs="Times New Roman"/>
                <w:b/>
                <w:kern w:val="0"/>
                <w:sz w:val="18"/>
                <w:szCs w:val="22"/>
              </w:rPr>
              <w:t>TP（mg/L）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7" w:hRule="atLeast"/>
        </w:trPr>
        <w:tc>
          <w:tcPr>
            <w:tcW w:w="988" w:type="pct"/>
            <w:vMerge w:val="restar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《污水综合排放标准》（GB 8978-1996)表2</w:t>
            </w:r>
          </w:p>
        </w:tc>
        <w:tc>
          <w:tcPr>
            <w:tcW w:w="543"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一级标准</w:t>
            </w:r>
          </w:p>
        </w:tc>
        <w:tc>
          <w:tcPr>
            <w:tcW w:w="328"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6-9</w:t>
            </w:r>
          </w:p>
        </w:tc>
        <w:tc>
          <w:tcPr>
            <w:tcW w:w="391"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50</w:t>
            </w:r>
          </w:p>
        </w:tc>
        <w:tc>
          <w:tcPr>
            <w:tcW w:w="489" w:type="pct"/>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70</w:t>
            </w:r>
          </w:p>
        </w:tc>
        <w:tc>
          <w:tcPr>
            <w:tcW w:w="520" w:type="pct"/>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30</w:t>
            </w:r>
          </w:p>
        </w:tc>
        <w:tc>
          <w:tcPr>
            <w:tcW w:w="495"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100</w:t>
            </w:r>
          </w:p>
        </w:tc>
        <w:tc>
          <w:tcPr>
            <w:tcW w:w="472"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15</w:t>
            </w:r>
          </w:p>
        </w:tc>
        <w:tc>
          <w:tcPr>
            <w:tcW w:w="427"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w:t>
            </w:r>
          </w:p>
        </w:tc>
        <w:tc>
          <w:tcPr>
            <w:tcW w:w="347"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trPr>
        <w:tc>
          <w:tcPr>
            <w:tcW w:w="988" w:type="pct"/>
            <w:vMerge w:val="continue"/>
            <w:vAlign w:val="center"/>
          </w:tcPr>
          <w:p>
            <w:pPr>
              <w:jc w:val="center"/>
              <w:rPr>
                <w:rFonts w:ascii="Times New Roman" w:hAnsi="Times New Roman" w:eastAsia="宋体" w:cs="Times New Roman"/>
                <w:kern w:val="0"/>
                <w:sz w:val="18"/>
                <w:szCs w:val="22"/>
              </w:rPr>
            </w:pPr>
          </w:p>
        </w:tc>
        <w:tc>
          <w:tcPr>
            <w:tcW w:w="543"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三级标准</w:t>
            </w:r>
          </w:p>
        </w:tc>
        <w:tc>
          <w:tcPr>
            <w:tcW w:w="328"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6-9</w:t>
            </w:r>
          </w:p>
        </w:tc>
        <w:tc>
          <w:tcPr>
            <w:tcW w:w="391"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w:t>
            </w:r>
          </w:p>
        </w:tc>
        <w:tc>
          <w:tcPr>
            <w:tcW w:w="489" w:type="pct"/>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w:t>
            </w:r>
          </w:p>
        </w:tc>
        <w:tc>
          <w:tcPr>
            <w:tcW w:w="520" w:type="pct"/>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300</w:t>
            </w:r>
          </w:p>
        </w:tc>
        <w:tc>
          <w:tcPr>
            <w:tcW w:w="495"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500</w:t>
            </w:r>
          </w:p>
        </w:tc>
        <w:tc>
          <w:tcPr>
            <w:tcW w:w="472"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w:t>
            </w:r>
          </w:p>
        </w:tc>
        <w:tc>
          <w:tcPr>
            <w:tcW w:w="427"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w:t>
            </w:r>
          </w:p>
        </w:tc>
        <w:tc>
          <w:tcPr>
            <w:tcW w:w="347"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988" w:type="pct"/>
            <w:vMerge w:val="restar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《四川省岷江、沱江流域水污染物排放标准》（DB51/2311-2016)表1</w:t>
            </w:r>
          </w:p>
        </w:tc>
        <w:tc>
          <w:tcPr>
            <w:tcW w:w="543" w:type="pct"/>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城镇污水处理厂</w:t>
            </w:r>
          </w:p>
        </w:tc>
        <w:tc>
          <w:tcPr>
            <w:tcW w:w="328"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6-9</w:t>
            </w:r>
          </w:p>
        </w:tc>
        <w:tc>
          <w:tcPr>
            <w:tcW w:w="391" w:type="pct"/>
            <w:shd w:val="clear" w:color="auto" w:fill="auto"/>
            <w:vAlign w:val="center"/>
          </w:tcPr>
          <w:p>
            <w:pPr>
              <w:jc w:val="center"/>
              <w:rPr>
                <w:rFonts w:ascii="Times New Roman" w:hAnsi="Times New Roman" w:eastAsia="宋体" w:cs="Times New Roman"/>
                <w:kern w:val="0"/>
                <w:sz w:val="18"/>
                <w:szCs w:val="22"/>
              </w:rPr>
            </w:pPr>
          </w:p>
        </w:tc>
        <w:tc>
          <w:tcPr>
            <w:tcW w:w="489" w:type="pct"/>
            <w:vAlign w:val="center"/>
          </w:tcPr>
          <w:p>
            <w:pPr>
              <w:jc w:val="center"/>
              <w:rPr>
                <w:rFonts w:ascii="Times New Roman" w:hAnsi="Times New Roman" w:eastAsia="宋体" w:cs="Times New Roman"/>
                <w:kern w:val="0"/>
                <w:sz w:val="18"/>
                <w:szCs w:val="22"/>
              </w:rPr>
            </w:pPr>
          </w:p>
        </w:tc>
        <w:tc>
          <w:tcPr>
            <w:tcW w:w="520" w:type="pct"/>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6</w:t>
            </w:r>
          </w:p>
        </w:tc>
        <w:tc>
          <w:tcPr>
            <w:tcW w:w="495"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30</w:t>
            </w:r>
          </w:p>
        </w:tc>
        <w:tc>
          <w:tcPr>
            <w:tcW w:w="472"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1.5（3）</w:t>
            </w:r>
          </w:p>
        </w:tc>
        <w:tc>
          <w:tcPr>
            <w:tcW w:w="427"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10</w:t>
            </w:r>
          </w:p>
        </w:tc>
        <w:tc>
          <w:tcPr>
            <w:tcW w:w="347"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0.3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trPr>
        <w:tc>
          <w:tcPr>
            <w:tcW w:w="988" w:type="pct"/>
            <w:vMerge w:val="continue"/>
            <w:vAlign w:val="center"/>
          </w:tcPr>
          <w:p>
            <w:pPr>
              <w:jc w:val="center"/>
              <w:rPr>
                <w:rFonts w:ascii="Times New Roman" w:hAnsi="Times New Roman" w:eastAsia="宋体" w:cs="Times New Roman"/>
                <w:kern w:val="0"/>
                <w:sz w:val="18"/>
                <w:szCs w:val="22"/>
              </w:rPr>
            </w:pPr>
          </w:p>
        </w:tc>
        <w:tc>
          <w:tcPr>
            <w:tcW w:w="543"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工业园区集中式污水处理厂</w:t>
            </w:r>
          </w:p>
        </w:tc>
        <w:tc>
          <w:tcPr>
            <w:tcW w:w="328"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6-9</w:t>
            </w:r>
          </w:p>
        </w:tc>
        <w:tc>
          <w:tcPr>
            <w:tcW w:w="391" w:type="pct"/>
            <w:shd w:val="clear" w:color="auto" w:fill="auto"/>
            <w:vAlign w:val="center"/>
          </w:tcPr>
          <w:p>
            <w:pPr>
              <w:jc w:val="center"/>
              <w:rPr>
                <w:rFonts w:ascii="Times New Roman" w:hAnsi="Times New Roman" w:eastAsia="宋体" w:cs="Times New Roman"/>
                <w:kern w:val="0"/>
                <w:sz w:val="18"/>
                <w:szCs w:val="22"/>
              </w:rPr>
            </w:pPr>
          </w:p>
        </w:tc>
        <w:tc>
          <w:tcPr>
            <w:tcW w:w="489" w:type="pct"/>
            <w:vAlign w:val="center"/>
          </w:tcPr>
          <w:p>
            <w:pPr>
              <w:jc w:val="center"/>
              <w:rPr>
                <w:rFonts w:ascii="Times New Roman" w:hAnsi="Times New Roman" w:eastAsia="宋体" w:cs="Times New Roman"/>
                <w:kern w:val="0"/>
                <w:sz w:val="18"/>
                <w:szCs w:val="22"/>
              </w:rPr>
            </w:pPr>
          </w:p>
        </w:tc>
        <w:tc>
          <w:tcPr>
            <w:tcW w:w="520" w:type="pct"/>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10</w:t>
            </w:r>
          </w:p>
        </w:tc>
        <w:tc>
          <w:tcPr>
            <w:tcW w:w="495"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40</w:t>
            </w:r>
          </w:p>
        </w:tc>
        <w:tc>
          <w:tcPr>
            <w:tcW w:w="472"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3（5）</w:t>
            </w:r>
          </w:p>
        </w:tc>
        <w:tc>
          <w:tcPr>
            <w:tcW w:w="427"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15</w:t>
            </w:r>
          </w:p>
        </w:tc>
        <w:tc>
          <w:tcPr>
            <w:tcW w:w="347"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988" w:type="pct"/>
            <w:vMerge w:val="continue"/>
            <w:vAlign w:val="center"/>
          </w:tcPr>
          <w:p>
            <w:pPr>
              <w:jc w:val="center"/>
              <w:rPr>
                <w:rFonts w:ascii="Times New Roman" w:hAnsi="Times New Roman" w:eastAsia="宋体" w:cs="Times New Roman"/>
                <w:kern w:val="0"/>
                <w:sz w:val="18"/>
                <w:szCs w:val="22"/>
              </w:rPr>
            </w:pPr>
          </w:p>
        </w:tc>
        <w:tc>
          <w:tcPr>
            <w:tcW w:w="543" w:type="pct"/>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各工业企业</w:t>
            </w:r>
          </w:p>
        </w:tc>
        <w:tc>
          <w:tcPr>
            <w:tcW w:w="328"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6-9</w:t>
            </w:r>
          </w:p>
        </w:tc>
        <w:tc>
          <w:tcPr>
            <w:tcW w:w="391" w:type="pct"/>
            <w:shd w:val="clear" w:color="auto" w:fill="auto"/>
            <w:noWrap/>
            <w:vAlign w:val="center"/>
          </w:tcPr>
          <w:p>
            <w:pPr>
              <w:jc w:val="center"/>
              <w:rPr>
                <w:rFonts w:ascii="Times New Roman" w:hAnsi="Times New Roman" w:eastAsia="宋体" w:cs="Times New Roman"/>
                <w:kern w:val="0"/>
                <w:sz w:val="18"/>
                <w:szCs w:val="22"/>
              </w:rPr>
            </w:pPr>
          </w:p>
        </w:tc>
        <w:tc>
          <w:tcPr>
            <w:tcW w:w="489" w:type="pct"/>
            <w:vAlign w:val="center"/>
          </w:tcPr>
          <w:p>
            <w:pPr>
              <w:jc w:val="center"/>
              <w:rPr>
                <w:rFonts w:ascii="Times New Roman" w:hAnsi="Times New Roman" w:eastAsia="宋体" w:cs="Times New Roman"/>
                <w:kern w:val="0"/>
                <w:sz w:val="18"/>
                <w:szCs w:val="22"/>
              </w:rPr>
            </w:pPr>
          </w:p>
        </w:tc>
        <w:tc>
          <w:tcPr>
            <w:tcW w:w="520" w:type="pct"/>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15-30</w:t>
            </w:r>
          </w:p>
        </w:tc>
        <w:tc>
          <w:tcPr>
            <w:tcW w:w="495" w:type="pct"/>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40-60</w:t>
            </w:r>
          </w:p>
        </w:tc>
        <w:tc>
          <w:tcPr>
            <w:tcW w:w="472" w:type="pct"/>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8-12</w:t>
            </w:r>
          </w:p>
        </w:tc>
        <w:tc>
          <w:tcPr>
            <w:tcW w:w="427" w:type="pct"/>
            <w:shd w:val="clear" w:color="auto" w:fill="auto"/>
            <w:noWrap/>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15-25</w:t>
            </w:r>
          </w:p>
        </w:tc>
        <w:tc>
          <w:tcPr>
            <w:tcW w:w="347"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6" w:hRule="atLeast"/>
        </w:trPr>
        <w:tc>
          <w:tcPr>
            <w:tcW w:w="988" w:type="pct"/>
            <w:vMerge w:val="restar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《城镇污水处理厂污染物排放标准》（GB18918-2002)表1</w:t>
            </w:r>
          </w:p>
        </w:tc>
        <w:tc>
          <w:tcPr>
            <w:tcW w:w="543"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一级A标</w:t>
            </w:r>
          </w:p>
        </w:tc>
        <w:tc>
          <w:tcPr>
            <w:tcW w:w="328"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6-9</w:t>
            </w:r>
          </w:p>
        </w:tc>
        <w:tc>
          <w:tcPr>
            <w:tcW w:w="391"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30</w:t>
            </w:r>
          </w:p>
        </w:tc>
        <w:tc>
          <w:tcPr>
            <w:tcW w:w="489" w:type="pct"/>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10</w:t>
            </w:r>
          </w:p>
        </w:tc>
        <w:tc>
          <w:tcPr>
            <w:tcW w:w="520" w:type="pct"/>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10</w:t>
            </w:r>
          </w:p>
        </w:tc>
        <w:tc>
          <w:tcPr>
            <w:tcW w:w="495"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50</w:t>
            </w:r>
          </w:p>
        </w:tc>
        <w:tc>
          <w:tcPr>
            <w:tcW w:w="472"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5</w:t>
            </w:r>
          </w:p>
        </w:tc>
        <w:tc>
          <w:tcPr>
            <w:tcW w:w="427"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15</w:t>
            </w:r>
          </w:p>
        </w:tc>
        <w:tc>
          <w:tcPr>
            <w:tcW w:w="347"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7" w:hRule="atLeast"/>
        </w:trPr>
        <w:tc>
          <w:tcPr>
            <w:tcW w:w="988" w:type="pct"/>
            <w:vMerge w:val="continue"/>
            <w:vAlign w:val="center"/>
          </w:tcPr>
          <w:p>
            <w:pPr>
              <w:jc w:val="center"/>
              <w:rPr>
                <w:rFonts w:ascii="Times New Roman" w:hAnsi="Times New Roman" w:eastAsia="宋体" w:cs="Times New Roman"/>
                <w:kern w:val="0"/>
                <w:sz w:val="18"/>
                <w:szCs w:val="22"/>
              </w:rPr>
            </w:pPr>
          </w:p>
        </w:tc>
        <w:tc>
          <w:tcPr>
            <w:tcW w:w="543"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一级B标</w:t>
            </w:r>
          </w:p>
        </w:tc>
        <w:tc>
          <w:tcPr>
            <w:tcW w:w="328"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6-9</w:t>
            </w:r>
          </w:p>
        </w:tc>
        <w:tc>
          <w:tcPr>
            <w:tcW w:w="391"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30</w:t>
            </w:r>
          </w:p>
        </w:tc>
        <w:tc>
          <w:tcPr>
            <w:tcW w:w="489" w:type="pct"/>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20</w:t>
            </w:r>
          </w:p>
        </w:tc>
        <w:tc>
          <w:tcPr>
            <w:tcW w:w="520" w:type="pct"/>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20</w:t>
            </w:r>
          </w:p>
        </w:tc>
        <w:tc>
          <w:tcPr>
            <w:tcW w:w="495"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60</w:t>
            </w:r>
          </w:p>
        </w:tc>
        <w:tc>
          <w:tcPr>
            <w:tcW w:w="472"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8（15）</w:t>
            </w:r>
          </w:p>
        </w:tc>
        <w:tc>
          <w:tcPr>
            <w:tcW w:w="427"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20</w:t>
            </w:r>
          </w:p>
        </w:tc>
        <w:tc>
          <w:tcPr>
            <w:tcW w:w="347"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3" w:hRule="atLeast"/>
        </w:trPr>
        <w:tc>
          <w:tcPr>
            <w:tcW w:w="988" w:type="pct"/>
            <w:vMerge w:val="continue"/>
            <w:vAlign w:val="center"/>
          </w:tcPr>
          <w:p>
            <w:pPr>
              <w:jc w:val="center"/>
              <w:rPr>
                <w:rFonts w:ascii="Times New Roman" w:hAnsi="Times New Roman" w:eastAsia="宋体" w:cs="Times New Roman"/>
                <w:kern w:val="0"/>
                <w:sz w:val="18"/>
                <w:szCs w:val="22"/>
              </w:rPr>
            </w:pPr>
          </w:p>
        </w:tc>
        <w:tc>
          <w:tcPr>
            <w:tcW w:w="543"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二级标准</w:t>
            </w:r>
          </w:p>
        </w:tc>
        <w:tc>
          <w:tcPr>
            <w:tcW w:w="328"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6-9</w:t>
            </w:r>
          </w:p>
        </w:tc>
        <w:tc>
          <w:tcPr>
            <w:tcW w:w="391"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40</w:t>
            </w:r>
          </w:p>
        </w:tc>
        <w:tc>
          <w:tcPr>
            <w:tcW w:w="489" w:type="pct"/>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30</w:t>
            </w:r>
          </w:p>
        </w:tc>
        <w:tc>
          <w:tcPr>
            <w:tcW w:w="520" w:type="pct"/>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30</w:t>
            </w:r>
          </w:p>
        </w:tc>
        <w:tc>
          <w:tcPr>
            <w:tcW w:w="495"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100</w:t>
            </w:r>
          </w:p>
        </w:tc>
        <w:tc>
          <w:tcPr>
            <w:tcW w:w="472"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25（30）</w:t>
            </w:r>
          </w:p>
        </w:tc>
        <w:tc>
          <w:tcPr>
            <w:tcW w:w="427"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w:t>
            </w:r>
          </w:p>
        </w:tc>
        <w:tc>
          <w:tcPr>
            <w:tcW w:w="347"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trPr>
        <w:tc>
          <w:tcPr>
            <w:tcW w:w="988" w:type="pct"/>
            <w:shd w:val="clear" w:color="000000" w:fill="FFFFFF"/>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《污水排入城镇下水道水质标准》（GB/T31962-2015）表1</w:t>
            </w:r>
          </w:p>
        </w:tc>
        <w:tc>
          <w:tcPr>
            <w:tcW w:w="543" w:type="pct"/>
            <w:shd w:val="clear" w:color="000000" w:fill="FFFFFF"/>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C等级</w:t>
            </w:r>
          </w:p>
        </w:tc>
        <w:tc>
          <w:tcPr>
            <w:tcW w:w="328" w:type="pct"/>
            <w:shd w:val="clear" w:color="000000" w:fill="FFFFFF"/>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6.5-9.5</w:t>
            </w:r>
          </w:p>
        </w:tc>
        <w:tc>
          <w:tcPr>
            <w:tcW w:w="391" w:type="pct"/>
            <w:shd w:val="clear" w:color="000000" w:fill="FFFFFF"/>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60</w:t>
            </w:r>
          </w:p>
        </w:tc>
        <w:tc>
          <w:tcPr>
            <w:tcW w:w="489" w:type="pct"/>
            <w:shd w:val="clear" w:color="000000" w:fill="FFFFFF"/>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300</w:t>
            </w:r>
          </w:p>
        </w:tc>
        <w:tc>
          <w:tcPr>
            <w:tcW w:w="520" w:type="pct"/>
            <w:shd w:val="clear" w:color="000000" w:fill="FFFFFF"/>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150</w:t>
            </w:r>
          </w:p>
        </w:tc>
        <w:tc>
          <w:tcPr>
            <w:tcW w:w="495" w:type="pct"/>
            <w:shd w:val="clear" w:color="000000" w:fill="FFFFFF"/>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300</w:t>
            </w:r>
          </w:p>
        </w:tc>
        <w:tc>
          <w:tcPr>
            <w:tcW w:w="472" w:type="pct"/>
            <w:shd w:val="clear" w:color="000000" w:fill="FFFFFF"/>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25</w:t>
            </w:r>
          </w:p>
        </w:tc>
        <w:tc>
          <w:tcPr>
            <w:tcW w:w="427" w:type="pct"/>
            <w:shd w:val="clear" w:color="000000" w:fill="FFFFFF"/>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45</w:t>
            </w:r>
          </w:p>
        </w:tc>
        <w:tc>
          <w:tcPr>
            <w:tcW w:w="347" w:type="pct"/>
            <w:shd w:val="clear" w:color="000000" w:fill="FFFFFF"/>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988" w:type="pct"/>
            <w:vMerge w:val="restart"/>
            <w:shd w:val="clear" w:color="auto" w:fill="auto"/>
            <w:vAlign w:val="center"/>
          </w:tcPr>
          <w:p>
            <w:pPr>
              <w:jc w:val="center"/>
              <w:rPr>
                <w:rFonts w:ascii="Times New Roman" w:hAnsi="Times New Roman" w:eastAsia="宋体" w:cs="Times New Roman"/>
                <w:b/>
                <w:kern w:val="0"/>
                <w:sz w:val="18"/>
                <w:szCs w:val="22"/>
              </w:rPr>
            </w:pPr>
            <w:r>
              <w:rPr>
                <w:rFonts w:hint="eastAsia" w:ascii="Times New Roman" w:hAnsi="Times New Roman" w:eastAsia="宋体" w:cs="Times New Roman"/>
                <w:b/>
                <w:kern w:val="0"/>
                <w:sz w:val="18"/>
                <w:szCs w:val="22"/>
              </w:rPr>
              <w:t>本标准</w:t>
            </w:r>
          </w:p>
        </w:tc>
        <w:tc>
          <w:tcPr>
            <w:tcW w:w="543"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现有企业直接排放</w:t>
            </w:r>
          </w:p>
        </w:tc>
        <w:tc>
          <w:tcPr>
            <w:tcW w:w="328"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6-9</w:t>
            </w:r>
          </w:p>
        </w:tc>
        <w:tc>
          <w:tcPr>
            <w:tcW w:w="391"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50</w:t>
            </w:r>
          </w:p>
        </w:tc>
        <w:tc>
          <w:tcPr>
            <w:tcW w:w="489" w:type="pct"/>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70</w:t>
            </w:r>
          </w:p>
        </w:tc>
        <w:tc>
          <w:tcPr>
            <w:tcW w:w="520" w:type="pct"/>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20</w:t>
            </w:r>
          </w:p>
        </w:tc>
        <w:tc>
          <w:tcPr>
            <w:tcW w:w="495"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100</w:t>
            </w:r>
          </w:p>
        </w:tc>
        <w:tc>
          <w:tcPr>
            <w:tcW w:w="472"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15</w:t>
            </w:r>
          </w:p>
        </w:tc>
        <w:tc>
          <w:tcPr>
            <w:tcW w:w="427"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w:t>
            </w:r>
          </w:p>
        </w:tc>
        <w:tc>
          <w:tcPr>
            <w:tcW w:w="347"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988" w:type="pct"/>
            <w:vMerge w:val="continue"/>
            <w:vAlign w:val="center"/>
          </w:tcPr>
          <w:p>
            <w:pPr>
              <w:jc w:val="center"/>
              <w:rPr>
                <w:rFonts w:ascii="Times New Roman" w:hAnsi="Times New Roman" w:eastAsia="宋体" w:cs="Times New Roman"/>
                <w:kern w:val="0"/>
                <w:sz w:val="18"/>
                <w:szCs w:val="22"/>
              </w:rPr>
            </w:pPr>
          </w:p>
        </w:tc>
        <w:tc>
          <w:tcPr>
            <w:tcW w:w="543"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现有企业间接排放</w:t>
            </w:r>
          </w:p>
        </w:tc>
        <w:tc>
          <w:tcPr>
            <w:tcW w:w="328" w:type="pct"/>
            <w:shd w:val="clear" w:color="auto" w:fill="auto"/>
            <w:vAlign w:val="center"/>
          </w:tcPr>
          <w:p>
            <w:pPr>
              <w:jc w:val="center"/>
              <w:rPr>
                <w:rFonts w:ascii="Times New Roman" w:hAnsi="Times New Roman" w:eastAsia="宋体" w:cs="Times New Roman"/>
                <w:kern w:val="0"/>
                <w:sz w:val="18"/>
                <w:szCs w:val="22"/>
              </w:rPr>
            </w:pPr>
            <w:r>
              <w:rPr>
                <w:rFonts w:ascii="Times New Roman" w:hAnsi="Times New Roman" w:eastAsia="宋体" w:cs="Times New Roman"/>
                <w:kern w:val="0"/>
                <w:sz w:val="18"/>
                <w:szCs w:val="22"/>
              </w:rPr>
              <w:t>-</w:t>
            </w:r>
          </w:p>
        </w:tc>
        <w:tc>
          <w:tcPr>
            <w:tcW w:w="391"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w:t>
            </w:r>
          </w:p>
        </w:tc>
        <w:tc>
          <w:tcPr>
            <w:tcW w:w="489" w:type="pct"/>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w:t>
            </w:r>
          </w:p>
        </w:tc>
        <w:tc>
          <w:tcPr>
            <w:tcW w:w="520" w:type="pct"/>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w:t>
            </w:r>
          </w:p>
        </w:tc>
        <w:tc>
          <w:tcPr>
            <w:tcW w:w="495" w:type="pct"/>
            <w:shd w:val="clear" w:color="auto" w:fill="auto"/>
            <w:vAlign w:val="center"/>
          </w:tcPr>
          <w:p>
            <w:pPr>
              <w:jc w:val="center"/>
              <w:rPr>
                <w:rFonts w:ascii="Times New Roman" w:hAnsi="Times New Roman" w:eastAsia="宋体" w:cs="Times New Roman"/>
                <w:kern w:val="0"/>
                <w:sz w:val="18"/>
                <w:szCs w:val="22"/>
              </w:rPr>
            </w:pPr>
            <w:r>
              <w:rPr>
                <w:rFonts w:ascii="Times New Roman" w:hAnsi="Times New Roman" w:eastAsia="宋体" w:cs="Times New Roman"/>
                <w:kern w:val="0"/>
                <w:sz w:val="18"/>
                <w:szCs w:val="22"/>
              </w:rPr>
              <w:t>-</w:t>
            </w:r>
          </w:p>
        </w:tc>
        <w:tc>
          <w:tcPr>
            <w:tcW w:w="472"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w:t>
            </w:r>
          </w:p>
        </w:tc>
        <w:tc>
          <w:tcPr>
            <w:tcW w:w="427"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w:t>
            </w:r>
          </w:p>
        </w:tc>
        <w:tc>
          <w:tcPr>
            <w:tcW w:w="347"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988" w:type="pct"/>
            <w:vMerge w:val="continue"/>
            <w:vAlign w:val="center"/>
          </w:tcPr>
          <w:p>
            <w:pPr>
              <w:jc w:val="center"/>
              <w:rPr>
                <w:rFonts w:ascii="Times New Roman" w:hAnsi="Times New Roman" w:eastAsia="宋体" w:cs="Times New Roman"/>
                <w:kern w:val="0"/>
                <w:sz w:val="18"/>
                <w:szCs w:val="22"/>
              </w:rPr>
            </w:pPr>
          </w:p>
        </w:tc>
        <w:tc>
          <w:tcPr>
            <w:tcW w:w="543"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新建企业直接排放</w:t>
            </w:r>
          </w:p>
        </w:tc>
        <w:tc>
          <w:tcPr>
            <w:tcW w:w="328"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6-9</w:t>
            </w:r>
          </w:p>
        </w:tc>
        <w:tc>
          <w:tcPr>
            <w:tcW w:w="391"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30</w:t>
            </w:r>
          </w:p>
        </w:tc>
        <w:tc>
          <w:tcPr>
            <w:tcW w:w="489" w:type="pct"/>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50</w:t>
            </w:r>
          </w:p>
        </w:tc>
        <w:tc>
          <w:tcPr>
            <w:tcW w:w="520" w:type="pct"/>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15</w:t>
            </w:r>
          </w:p>
        </w:tc>
        <w:tc>
          <w:tcPr>
            <w:tcW w:w="495"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80</w:t>
            </w:r>
          </w:p>
        </w:tc>
        <w:tc>
          <w:tcPr>
            <w:tcW w:w="472"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w:t>
            </w:r>
            <w:r>
              <w:rPr>
                <w:rFonts w:ascii="Times New Roman" w:hAnsi="Times New Roman" w:eastAsia="宋体" w:cs="Times New Roman"/>
                <w:kern w:val="0"/>
                <w:sz w:val="18"/>
                <w:szCs w:val="22"/>
              </w:rPr>
              <w:t>0</w:t>
            </w:r>
            <w:r>
              <w:rPr>
                <w:rFonts w:hint="eastAsia" w:ascii="Times New Roman" w:hAnsi="Times New Roman" w:eastAsia="宋体" w:cs="Times New Roman"/>
                <w:kern w:val="0"/>
                <w:sz w:val="18"/>
                <w:szCs w:val="22"/>
              </w:rPr>
              <w:t>/15</w:t>
            </w:r>
          </w:p>
        </w:tc>
        <w:tc>
          <w:tcPr>
            <w:tcW w:w="427"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40/50</w:t>
            </w:r>
          </w:p>
        </w:tc>
        <w:tc>
          <w:tcPr>
            <w:tcW w:w="347"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988" w:type="pct"/>
            <w:vMerge w:val="continue"/>
            <w:vAlign w:val="center"/>
          </w:tcPr>
          <w:p>
            <w:pPr>
              <w:jc w:val="center"/>
              <w:rPr>
                <w:rFonts w:ascii="Times New Roman" w:hAnsi="Times New Roman" w:eastAsia="宋体" w:cs="Times New Roman"/>
                <w:kern w:val="0"/>
                <w:sz w:val="18"/>
                <w:szCs w:val="22"/>
              </w:rPr>
            </w:pPr>
          </w:p>
        </w:tc>
        <w:tc>
          <w:tcPr>
            <w:tcW w:w="543"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新建企业间接排放</w:t>
            </w:r>
          </w:p>
        </w:tc>
        <w:tc>
          <w:tcPr>
            <w:tcW w:w="328" w:type="pct"/>
            <w:shd w:val="clear" w:color="auto" w:fill="auto"/>
            <w:vAlign w:val="center"/>
          </w:tcPr>
          <w:p>
            <w:pPr>
              <w:jc w:val="center"/>
              <w:rPr>
                <w:rFonts w:ascii="Times New Roman" w:hAnsi="Times New Roman" w:eastAsia="宋体" w:cs="Times New Roman"/>
                <w:kern w:val="0"/>
                <w:sz w:val="18"/>
                <w:szCs w:val="22"/>
              </w:rPr>
            </w:pPr>
            <w:r>
              <w:rPr>
                <w:rFonts w:ascii="Times New Roman" w:hAnsi="Times New Roman" w:eastAsia="宋体" w:cs="Times New Roman"/>
                <w:kern w:val="0"/>
                <w:sz w:val="18"/>
                <w:szCs w:val="22"/>
              </w:rPr>
              <w:t>-</w:t>
            </w:r>
          </w:p>
        </w:tc>
        <w:tc>
          <w:tcPr>
            <w:tcW w:w="391"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w:t>
            </w:r>
          </w:p>
        </w:tc>
        <w:tc>
          <w:tcPr>
            <w:tcW w:w="489" w:type="pct"/>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w:t>
            </w:r>
          </w:p>
        </w:tc>
        <w:tc>
          <w:tcPr>
            <w:tcW w:w="520" w:type="pct"/>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w:t>
            </w:r>
          </w:p>
        </w:tc>
        <w:tc>
          <w:tcPr>
            <w:tcW w:w="495" w:type="pct"/>
            <w:shd w:val="clear" w:color="auto" w:fill="auto"/>
            <w:vAlign w:val="center"/>
          </w:tcPr>
          <w:p>
            <w:pPr>
              <w:jc w:val="center"/>
              <w:rPr>
                <w:rFonts w:ascii="Times New Roman" w:hAnsi="Times New Roman" w:eastAsia="宋体" w:cs="Times New Roman"/>
                <w:kern w:val="0"/>
                <w:sz w:val="18"/>
                <w:szCs w:val="22"/>
              </w:rPr>
            </w:pPr>
            <w:r>
              <w:rPr>
                <w:rFonts w:ascii="Times New Roman" w:hAnsi="Times New Roman" w:eastAsia="宋体" w:cs="Times New Roman"/>
                <w:kern w:val="0"/>
                <w:sz w:val="18"/>
                <w:szCs w:val="22"/>
              </w:rPr>
              <w:t>-</w:t>
            </w:r>
          </w:p>
        </w:tc>
        <w:tc>
          <w:tcPr>
            <w:tcW w:w="472"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w:t>
            </w:r>
          </w:p>
        </w:tc>
        <w:tc>
          <w:tcPr>
            <w:tcW w:w="427"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w:t>
            </w:r>
          </w:p>
        </w:tc>
        <w:tc>
          <w:tcPr>
            <w:tcW w:w="347"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trPr>
        <w:tc>
          <w:tcPr>
            <w:tcW w:w="988"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《制糖工业水污染物排放标准》（GB21909-2008）表2</w:t>
            </w:r>
          </w:p>
        </w:tc>
        <w:tc>
          <w:tcPr>
            <w:tcW w:w="543" w:type="pct"/>
            <w:shd w:val="clear" w:color="auto" w:fill="auto"/>
            <w:vAlign w:val="center"/>
          </w:tcPr>
          <w:p>
            <w:pPr>
              <w:jc w:val="center"/>
              <w:rPr>
                <w:rFonts w:ascii="Times New Roman" w:hAnsi="Times New Roman" w:eastAsia="宋体" w:cs="Times New Roman"/>
                <w:kern w:val="0"/>
                <w:sz w:val="18"/>
                <w:szCs w:val="22"/>
              </w:rPr>
            </w:pPr>
          </w:p>
        </w:tc>
        <w:tc>
          <w:tcPr>
            <w:tcW w:w="328"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6-9</w:t>
            </w:r>
          </w:p>
        </w:tc>
        <w:tc>
          <w:tcPr>
            <w:tcW w:w="391" w:type="pct"/>
            <w:shd w:val="clear" w:color="auto" w:fill="auto"/>
            <w:vAlign w:val="center"/>
          </w:tcPr>
          <w:p>
            <w:pPr>
              <w:jc w:val="center"/>
              <w:rPr>
                <w:rFonts w:ascii="Times New Roman" w:hAnsi="Times New Roman" w:eastAsia="宋体" w:cs="Times New Roman"/>
                <w:kern w:val="0"/>
                <w:sz w:val="18"/>
                <w:szCs w:val="22"/>
              </w:rPr>
            </w:pPr>
          </w:p>
        </w:tc>
        <w:tc>
          <w:tcPr>
            <w:tcW w:w="489" w:type="pct"/>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70</w:t>
            </w:r>
          </w:p>
        </w:tc>
        <w:tc>
          <w:tcPr>
            <w:tcW w:w="520" w:type="pct"/>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20</w:t>
            </w:r>
          </w:p>
        </w:tc>
        <w:tc>
          <w:tcPr>
            <w:tcW w:w="495"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100</w:t>
            </w:r>
          </w:p>
        </w:tc>
        <w:tc>
          <w:tcPr>
            <w:tcW w:w="472"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10</w:t>
            </w:r>
          </w:p>
        </w:tc>
        <w:tc>
          <w:tcPr>
            <w:tcW w:w="427"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15</w:t>
            </w:r>
          </w:p>
        </w:tc>
        <w:tc>
          <w:tcPr>
            <w:tcW w:w="347"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trPr>
        <w:tc>
          <w:tcPr>
            <w:tcW w:w="988"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《淀粉工业水污染物排放标准》（GB25461-2010）表2</w:t>
            </w:r>
          </w:p>
        </w:tc>
        <w:tc>
          <w:tcPr>
            <w:tcW w:w="543" w:type="pct"/>
            <w:shd w:val="clear" w:color="auto" w:fill="auto"/>
            <w:vAlign w:val="center"/>
          </w:tcPr>
          <w:p>
            <w:pPr>
              <w:jc w:val="center"/>
              <w:rPr>
                <w:rFonts w:ascii="Times New Roman" w:hAnsi="Times New Roman" w:eastAsia="宋体" w:cs="Times New Roman"/>
                <w:kern w:val="0"/>
                <w:sz w:val="18"/>
                <w:szCs w:val="22"/>
              </w:rPr>
            </w:pPr>
          </w:p>
        </w:tc>
        <w:tc>
          <w:tcPr>
            <w:tcW w:w="328"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6-9</w:t>
            </w:r>
          </w:p>
        </w:tc>
        <w:tc>
          <w:tcPr>
            <w:tcW w:w="391" w:type="pct"/>
            <w:shd w:val="clear" w:color="auto" w:fill="auto"/>
            <w:vAlign w:val="center"/>
          </w:tcPr>
          <w:p>
            <w:pPr>
              <w:jc w:val="center"/>
              <w:rPr>
                <w:rFonts w:ascii="Times New Roman" w:hAnsi="Times New Roman" w:eastAsia="宋体" w:cs="Times New Roman"/>
                <w:kern w:val="0"/>
                <w:sz w:val="18"/>
                <w:szCs w:val="22"/>
              </w:rPr>
            </w:pPr>
          </w:p>
        </w:tc>
        <w:tc>
          <w:tcPr>
            <w:tcW w:w="489" w:type="pct"/>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50</w:t>
            </w:r>
          </w:p>
        </w:tc>
        <w:tc>
          <w:tcPr>
            <w:tcW w:w="520" w:type="pct"/>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45</w:t>
            </w:r>
          </w:p>
        </w:tc>
        <w:tc>
          <w:tcPr>
            <w:tcW w:w="495"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100</w:t>
            </w:r>
          </w:p>
        </w:tc>
        <w:tc>
          <w:tcPr>
            <w:tcW w:w="472"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15</w:t>
            </w:r>
          </w:p>
        </w:tc>
        <w:tc>
          <w:tcPr>
            <w:tcW w:w="427"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30</w:t>
            </w:r>
          </w:p>
        </w:tc>
        <w:tc>
          <w:tcPr>
            <w:tcW w:w="347"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trPr>
        <w:tc>
          <w:tcPr>
            <w:tcW w:w="988"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《酵母工业水污染物排放标准》（GB25462-2010）表2</w:t>
            </w:r>
          </w:p>
        </w:tc>
        <w:tc>
          <w:tcPr>
            <w:tcW w:w="543" w:type="pct"/>
            <w:shd w:val="clear" w:color="auto" w:fill="auto"/>
            <w:vAlign w:val="center"/>
          </w:tcPr>
          <w:p>
            <w:pPr>
              <w:jc w:val="center"/>
              <w:rPr>
                <w:rFonts w:ascii="Times New Roman" w:hAnsi="Times New Roman" w:eastAsia="宋体" w:cs="Times New Roman"/>
                <w:kern w:val="0"/>
                <w:sz w:val="18"/>
                <w:szCs w:val="22"/>
              </w:rPr>
            </w:pPr>
          </w:p>
        </w:tc>
        <w:tc>
          <w:tcPr>
            <w:tcW w:w="328"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6-9</w:t>
            </w:r>
          </w:p>
        </w:tc>
        <w:tc>
          <w:tcPr>
            <w:tcW w:w="391"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30</w:t>
            </w:r>
          </w:p>
        </w:tc>
        <w:tc>
          <w:tcPr>
            <w:tcW w:w="489" w:type="pct"/>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50</w:t>
            </w:r>
          </w:p>
        </w:tc>
        <w:tc>
          <w:tcPr>
            <w:tcW w:w="520" w:type="pct"/>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30</w:t>
            </w:r>
          </w:p>
        </w:tc>
        <w:tc>
          <w:tcPr>
            <w:tcW w:w="495"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150</w:t>
            </w:r>
          </w:p>
        </w:tc>
        <w:tc>
          <w:tcPr>
            <w:tcW w:w="472"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10</w:t>
            </w:r>
          </w:p>
        </w:tc>
        <w:tc>
          <w:tcPr>
            <w:tcW w:w="427"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20</w:t>
            </w:r>
          </w:p>
        </w:tc>
        <w:tc>
          <w:tcPr>
            <w:tcW w:w="347"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0.8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4" w:hRule="atLeast"/>
        </w:trPr>
        <w:tc>
          <w:tcPr>
            <w:tcW w:w="988"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《柠檬酸工业污染物排放标准》（GB19430-2013）表2</w:t>
            </w:r>
          </w:p>
        </w:tc>
        <w:tc>
          <w:tcPr>
            <w:tcW w:w="543" w:type="pct"/>
            <w:shd w:val="clear" w:color="auto" w:fill="auto"/>
            <w:vAlign w:val="center"/>
          </w:tcPr>
          <w:p>
            <w:pPr>
              <w:jc w:val="center"/>
              <w:rPr>
                <w:rFonts w:ascii="Times New Roman" w:hAnsi="Times New Roman" w:eastAsia="宋体" w:cs="Times New Roman"/>
                <w:kern w:val="0"/>
                <w:sz w:val="18"/>
                <w:szCs w:val="22"/>
              </w:rPr>
            </w:pPr>
          </w:p>
        </w:tc>
        <w:tc>
          <w:tcPr>
            <w:tcW w:w="328"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6-9</w:t>
            </w:r>
          </w:p>
        </w:tc>
        <w:tc>
          <w:tcPr>
            <w:tcW w:w="391"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40</w:t>
            </w:r>
          </w:p>
        </w:tc>
        <w:tc>
          <w:tcPr>
            <w:tcW w:w="489" w:type="pct"/>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50</w:t>
            </w:r>
          </w:p>
        </w:tc>
        <w:tc>
          <w:tcPr>
            <w:tcW w:w="520" w:type="pct"/>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20</w:t>
            </w:r>
          </w:p>
        </w:tc>
        <w:tc>
          <w:tcPr>
            <w:tcW w:w="495"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100</w:t>
            </w:r>
          </w:p>
        </w:tc>
        <w:tc>
          <w:tcPr>
            <w:tcW w:w="472"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10</w:t>
            </w:r>
          </w:p>
        </w:tc>
        <w:tc>
          <w:tcPr>
            <w:tcW w:w="427"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20</w:t>
            </w:r>
          </w:p>
        </w:tc>
        <w:tc>
          <w:tcPr>
            <w:tcW w:w="347"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trPr>
        <w:tc>
          <w:tcPr>
            <w:tcW w:w="988"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《味精工业污染物排放标准》（GB19431-2004）表2</w:t>
            </w:r>
          </w:p>
        </w:tc>
        <w:tc>
          <w:tcPr>
            <w:tcW w:w="543" w:type="pct"/>
            <w:shd w:val="clear" w:color="auto" w:fill="auto"/>
            <w:vAlign w:val="center"/>
          </w:tcPr>
          <w:p>
            <w:pPr>
              <w:jc w:val="center"/>
              <w:rPr>
                <w:rFonts w:ascii="Times New Roman" w:hAnsi="Times New Roman" w:eastAsia="宋体" w:cs="Times New Roman"/>
                <w:kern w:val="0"/>
                <w:sz w:val="18"/>
                <w:szCs w:val="22"/>
              </w:rPr>
            </w:pPr>
          </w:p>
        </w:tc>
        <w:tc>
          <w:tcPr>
            <w:tcW w:w="328"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6-9</w:t>
            </w:r>
          </w:p>
        </w:tc>
        <w:tc>
          <w:tcPr>
            <w:tcW w:w="391" w:type="pct"/>
            <w:shd w:val="clear" w:color="auto" w:fill="auto"/>
            <w:vAlign w:val="center"/>
          </w:tcPr>
          <w:p>
            <w:pPr>
              <w:jc w:val="center"/>
              <w:rPr>
                <w:rFonts w:ascii="Times New Roman" w:hAnsi="Times New Roman" w:eastAsia="宋体" w:cs="Times New Roman"/>
                <w:kern w:val="0"/>
                <w:sz w:val="18"/>
                <w:szCs w:val="22"/>
              </w:rPr>
            </w:pPr>
          </w:p>
        </w:tc>
        <w:tc>
          <w:tcPr>
            <w:tcW w:w="489" w:type="pct"/>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100</w:t>
            </w:r>
          </w:p>
        </w:tc>
        <w:tc>
          <w:tcPr>
            <w:tcW w:w="520" w:type="pct"/>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80</w:t>
            </w:r>
          </w:p>
        </w:tc>
        <w:tc>
          <w:tcPr>
            <w:tcW w:w="495"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200</w:t>
            </w:r>
          </w:p>
        </w:tc>
        <w:tc>
          <w:tcPr>
            <w:tcW w:w="472"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50</w:t>
            </w:r>
          </w:p>
        </w:tc>
        <w:tc>
          <w:tcPr>
            <w:tcW w:w="427" w:type="pct"/>
            <w:shd w:val="clear" w:color="auto" w:fill="auto"/>
            <w:vAlign w:val="center"/>
          </w:tcPr>
          <w:p>
            <w:pPr>
              <w:jc w:val="center"/>
              <w:rPr>
                <w:rFonts w:ascii="Times New Roman" w:hAnsi="Times New Roman" w:eastAsia="宋体" w:cs="Times New Roman"/>
                <w:kern w:val="0"/>
                <w:sz w:val="18"/>
                <w:szCs w:val="22"/>
              </w:rPr>
            </w:pPr>
          </w:p>
        </w:tc>
        <w:tc>
          <w:tcPr>
            <w:tcW w:w="347" w:type="pct"/>
            <w:shd w:val="clear" w:color="auto" w:fill="auto"/>
            <w:vAlign w:val="center"/>
          </w:tcPr>
          <w:p>
            <w:pPr>
              <w:jc w:val="center"/>
              <w:rPr>
                <w:rFonts w:ascii="Times New Roman" w:hAnsi="Times New Roman" w:eastAsia="宋体" w:cs="Times New Roman"/>
                <w:kern w:val="0"/>
                <w:sz w:val="18"/>
                <w:szCs w:val="22"/>
              </w:rPr>
            </w:pPr>
          </w:p>
        </w:tc>
      </w:tr>
    </w:tbl>
    <w:p>
      <w:pPr>
        <w:jc w:val="center"/>
        <w:rPr>
          <w:rFonts w:ascii="Times New Roman" w:hAnsi="Times New Roman" w:eastAsia="宋体" w:cs="Times New Roman"/>
          <w:b/>
          <w:bCs/>
          <w:sz w:val="18"/>
          <w:szCs w:val="28"/>
          <w:shd w:val="clear" w:color="auto" w:fill="FFFFFF"/>
        </w:rPr>
      </w:pPr>
      <w:r>
        <w:rPr>
          <w:rFonts w:ascii="Times New Roman" w:hAnsi="Times New Roman" w:eastAsia="宋体" w:cs="Times New Roman"/>
          <w:b/>
          <w:bCs/>
          <w:sz w:val="18"/>
          <w:szCs w:val="32"/>
        </w:rPr>
        <w:t>表</w:t>
      </w:r>
      <w:r>
        <w:rPr>
          <w:rFonts w:hint="eastAsia" w:ascii="Times New Roman" w:hAnsi="Times New Roman" w:eastAsia="宋体" w:cs="Times New Roman"/>
          <w:b/>
          <w:bCs/>
          <w:sz w:val="18"/>
          <w:szCs w:val="32"/>
        </w:rPr>
        <w:t>7-2本标准与</w:t>
      </w:r>
      <w:r>
        <w:rPr>
          <w:rFonts w:ascii="Times New Roman" w:hAnsi="Times New Roman" w:eastAsia="宋体" w:cs="Times New Roman"/>
          <w:b/>
          <w:bCs/>
          <w:sz w:val="18"/>
          <w:szCs w:val="32"/>
        </w:rPr>
        <w:t>各行业氯化物排放</w:t>
      </w:r>
      <w:r>
        <w:rPr>
          <w:rFonts w:hint="eastAsia" w:ascii="Times New Roman" w:hAnsi="Times New Roman" w:eastAsia="宋体" w:cs="Times New Roman"/>
          <w:b/>
          <w:bCs/>
          <w:sz w:val="18"/>
          <w:szCs w:val="32"/>
        </w:rPr>
        <w:t>标准对比</w:t>
      </w:r>
    </w:p>
    <w:tbl>
      <w:tblPr>
        <w:tblStyle w:val="25"/>
        <w:tblW w:w="5000" w:type="pct"/>
        <w:tblInd w:w="0" w:type="dxa"/>
        <w:tblLayout w:type="autofit"/>
        <w:tblCellMar>
          <w:top w:w="0" w:type="dxa"/>
          <w:left w:w="108" w:type="dxa"/>
          <w:bottom w:w="0" w:type="dxa"/>
          <w:right w:w="108" w:type="dxa"/>
        </w:tblCellMar>
      </w:tblPr>
      <w:tblGrid>
        <w:gridCol w:w="3226"/>
        <w:gridCol w:w="1842"/>
        <w:gridCol w:w="1842"/>
        <w:gridCol w:w="1612"/>
      </w:tblGrid>
      <w:tr>
        <w:tblPrEx>
          <w:tblCellMar>
            <w:top w:w="0" w:type="dxa"/>
            <w:left w:w="108" w:type="dxa"/>
            <w:bottom w:w="0" w:type="dxa"/>
            <w:right w:w="108" w:type="dxa"/>
          </w:tblCellMar>
        </w:tblPrEx>
        <w:trPr>
          <w:trHeight w:val="534" w:hRule="atLeast"/>
        </w:trPr>
        <w:tc>
          <w:tcPr>
            <w:tcW w:w="1893"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b/>
                <w:sz w:val="18"/>
                <w:szCs w:val="22"/>
                <w:shd w:val="clear" w:color="auto" w:fill="FFFFFF"/>
              </w:rPr>
            </w:pPr>
            <w:r>
              <w:rPr>
                <w:rFonts w:hint="eastAsia" w:ascii="Times New Roman" w:hAnsi="Times New Roman" w:eastAsia="宋体" w:cs="Times New Roman"/>
                <w:b/>
                <w:sz w:val="18"/>
                <w:szCs w:val="22"/>
                <w:shd w:val="clear" w:color="auto" w:fill="FFFFFF"/>
              </w:rPr>
              <w:t>相关标准</w:t>
            </w:r>
          </w:p>
        </w:tc>
        <w:tc>
          <w:tcPr>
            <w:tcW w:w="1081"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b/>
                <w:sz w:val="18"/>
                <w:szCs w:val="22"/>
                <w:shd w:val="clear" w:color="auto" w:fill="FFFFFF"/>
              </w:rPr>
            </w:pPr>
            <w:r>
              <w:rPr>
                <w:rFonts w:hint="eastAsia" w:ascii="Times New Roman" w:hAnsi="Times New Roman" w:eastAsia="宋体" w:cs="Times New Roman"/>
                <w:b/>
                <w:sz w:val="18"/>
                <w:szCs w:val="22"/>
                <w:shd w:val="clear" w:color="auto" w:fill="FFFFFF"/>
              </w:rPr>
              <w:t>行业</w:t>
            </w:r>
          </w:p>
        </w:tc>
        <w:tc>
          <w:tcPr>
            <w:tcW w:w="1081"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b/>
                <w:sz w:val="18"/>
                <w:szCs w:val="22"/>
                <w:shd w:val="clear" w:color="auto" w:fill="FFFFFF"/>
              </w:rPr>
            </w:pPr>
            <w:r>
              <w:rPr>
                <w:rFonts w:ascii="Times New Roman" w:hAnsi="Times New Roman" w:eastAsia="宋体" w:cs="Times New Roman"/>
                <w:b/>
                <w:sz w:val="18"/>
                <w:szCs w:val="22"/>
                <w:shd w:val="clear" w:color="auto" w:fill="FFFFFF"/>
              </w:rPr>
              <w:t>直接排放限值</w:t>
            </w:r>
          </w:p>
        </w:tc>
        <w:tc>
          <w:tcPr>
            <w:tcW w:w="945"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b/>
                <w:sz w:val="18"/>
                <w:szCs w:val="22"/>
                <w:shd w:val="clear" w:color="auto" w:fill="FFFFFF"/>
              </w:rPr>
            </w:pPr>
            <w:r>
              <w:rPr>
                <w:rFonts w:ascii="Times New Roman" w:hAnsi="Times New Roman" w:eastAsia="宋体" w:cs="Times New Roman"/>
                <w:b/>
                <w:sz w:val="18"/>
                <w:szCs w:val="22"/>
                <w:shd w:val="clear" w:color="auto" w:fill="FFFFFF"/>
              </w:rPr>
              <w:t>间接排放限值</w:t>
            </w:r>
          </w:p>
        </w:tc>
      </w:tr>
      <w:tr>
        <w:tblPrEx>
          <w:tblCellMar>
            <w:top w:w="0" w:type="dxa"/>
            <w:left w:w="108" w:type="dxa"/>
            <w:bottom w:w="0" w:type="dxa"/>
            <w:right w:w="108" w:type="dxa"/>
          </w:tblCellMar>
        </w:tblPrEx>
        <w:trPr>
          <w:trHeight w:val="480" w:hRule="atLeast"/>
        </w:trPr>
        <w:tc>
          <w:tcPr>
            <w:tcW w:w="1893"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《府河流域氯化物排放标准》（DB42/168-1999）</w:t>
            </w:r>
            <w:r>
              <w:rPr>
                <w:rFonts w:hint="eastAsia" w:ascii="Times New Roman" w:hAnsi="Times New Roman" w:eastAsia="宋体" w:cs="Times New Roman"/>
                <w:sz w:val="18"/>
                <w:szCs w:val="22"/>
                <w:shd w:val="clear" w:color="auto" w:fill="FFFFFF"/>
              </w:rPr>
              <w:t>表1</w:t>
            </w:r>
          </w:p>
        </w:tc>
        <w:tc>
          <w:tcPr>
            <w:tcW w:w="1081"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hint="eastAsia" w:ascii="Times New Roman" w:hAnsi="Times New Roman" w:eastAsia="宋体" w:cs="Times New Roman"/>
                <w:sz w:val="18"/>
                <w:szCs w:val="22"/>
                <w:shd w:val="clear" w:color="auto" w:fill="FFFFFF"/>
              </w:rPr>
              <w:t>制盐工业</w:t>
            </w:r>
          </w:p>
        </w:tc>
        <w:tc>
          <w:tcPr>
            <w:tcW w:w="1081"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p>
        </w:tc>
        <w:tc>
          <w:tcPr>
            <w:tcW w:w="945"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p>
        </w:tc>
      </w:tr>
      <w:tr>
        <w:tblPrEx>
          <w:tblCellMar>
            <w:top w:w="0" w:type="dxa"/>
            <w:left w:w="108" w:type="dxa"/>
            <w:bottom w:w="0" w:type="dxa"/>
            <w:right w:w="108" w:type="dxa"/>
          </w:tblCellMar>
        </w:tblPrEx>
        <w:trPr>
          <w:trHeight w:val="296" w:hRule="atLeast"/>
        </w:trPr>
        <w:tc>
          <w:tcPr>
            <w:tcW w:w="1893" w:type="pct"/>
            <w:vMerge w:val="restar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hint="eastAsia" w:ascii="Times New Roman" w:hAnsi="Times New Roman" w:eastAsia="宋体" w:cs="Times New Roman"/>
                <w:sz w:val="18"/>
                <w:szCs w:val="22"/>
                <w:shd w:val="clear" w:color="auto" w:fill="FFFFFF"/>
              </w:rPr>
              <w:t>《制革及毛皮加工工业水污染物排放标准》（</w:t>
            </w:r>
            <w:r>
              <w:rPr>
                <w:rFonts w:ascii="Times New Roman" w:hAnsi="Times New Roman" w:eastAsia="宋体" w:cs="Times New Roman"/>
                <w:sz w:val="18"/>
                <w:szCs w:val="22"/>
                <w:shd w:val="clear" w:color="auto" w:fill="FFFFFF"/>
              </w:rPr>
              <w:t>GB30486-2013</w:t>
            </w:r>
            <w:r>
              <w:rPr>
                <w:rFonts w:hint="eastAsia" w:ascii="Times New Roman" w:hAnsi="Times New Roman" w:eastAsia="宋体" w:cs="Times New Roman"/>
                <w:sz w:val="18"/>
                <w:szCs w:val="22"/>
                <w:shd w:val="clear" w:color="auto" w:fill="FFFFFF"/>
              </w:rPr>
              <w:t>）表2</w:t>
            </w:r>
          </w:p>
        </w:tc>
        <w:tc>
          <w:tcPr>
            <w:tcW w:w="1081"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制革企业</w:t>
            </w:r>
          </w:p>
        </w:tc>
        <w:tc>
          <w:tcPr>
            <w:tcW w:w="1081"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3000</w:t>
            </w:r>
          </w:p>
        </w:tc>
        <w:tc>
          <w:tcPr>
            <w:tcW w:w="945"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4000</w:t>
            </w:r>
          </w:p>
        </w:tc>
      </w:tr>
      <w:tr>
        <w:tblPrEx>
          <w:tblCellMar>
            <w:top w:w="0" w:type="dxa"/>
            <w:left w:w="108" w:type="dxa"/>
            <w:bottom w:w="0" w:type="dxa"/>
            <w:right w:w="108" w:type="dxa"/>
          </w:tblCellMar>
        </w:tblPrEx>
        <w:trPr>
          <w:trHeight w:val="391" w:hRule="atLeast"/>
        </w:trPr>
        <w:tc>
          <w:tcPr>
            <w:tcW w:w="1893" w:type="pct"/>
            <w:vMerge w:val="continue"/>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p>
        </w:tc>
        <w:tc>
          <w:tcPr>
            <w:tcW w:w="1081"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毛皮加工企业</w:t>
            </w:r>
          </w:p>
        </w:tc>
        <w:tc>
          <w:tcPr>
            <w:tcW w:w="1081"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4000</w:t>
            </w:r>
          </w:p>
        </w:tc>
        <w:tc>
          <w:tcPr>
            <w:tcW w:w="945"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4000</w:t>
            </w:r>
          </w:p>
        </w:tc>
      </w:tr>
      <w:tr>
        <w:tblPrEx>
          <w:tblCellMar>
            <w:top w:w="0" w:type="dxa"/>
            <w:left w:w="108" w:type="dxa"/>
            <w:bottom w:w="0" w:type="dxa"/>
            <w:right w:w="108" w:type="dxa"/>
          </w:tblCellMar>
        </w:tblPrEx>
        <w:trPr>
          <w:trHeight w:val="367" w:hRule="atLeast"/>
        </w:trPr>
        <w:tc>
          <w:tcPr>
            <w:tcW w:w="1893"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hint="eastAsia" w:ascii="Times New Roman" w:hAnsi="Times New Roman" w:eastAsia="宋体" w:cs="Times New Roman"/>
                <w:sz w:val="18"/>
                <w:szCs w:val="22"/>
                <w:shd w:val="clear" w:color="auto" w:fill="FFFFFF"/>
              </w:rPr>
              <w:t>《皂素工业水污染物排放标准》（</w:t>
            </w:r>
            <w:r>
              <w:rPr>
                <w:rFonts w:ascii="Times New Roman" w:hAnsi="Times New Roman" w:eastAsia="宋体" w:cs="Times New Roman"/>
                <w:sz w:val="18"/>
                <w:szCs w:val="22"/>
                <w:shd w:val="clear" w:color="auto" w:fill="FFFFFF"/>
              </w:rPr>
              <w:t>GB20425-2006</w:t>
            </w:r>
            <w:r>
              <w:rPr>
                <w:rFonts w:hint="eastAsia" w:ascii="Times New Roman" w:hAnsi="Times New Roman" w:eastAsia="宋体" w:cs="Times New Roman"/>
                <w:sz w:val="18"/>
                <w:szCs w:val="22"/>
                <w:shd w:val="clear" w:color="auto" w:fill="FFFFFF"/>
              </w:rPr>
              <w:t>）表2</w:t>
            </w:r>
          </w:p>
        </w:tc>
        <w:tc>
          <w:tcPr>
            <w:tcW w:w="1081"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p>
        </w:tc>
        <w:tc>
          <w:tcPr>
            <w:tcW w:w="1081"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hint="eastAsia" w:ascii="Times New Roman" w:hAnsi="Times New Roman" w:eastAsia="宋体" w:cs="Times New Roman"/>
                <w:sz w:val="18"/>
                <w:szCs w:val="22"/>
                <w:shd w:val="clear" w:color="auto" w:fill="FFFFFF"/>
              </w:rPr>
              <w:t>120</w:t>
            </w:r>
          </w:p>
        </w:tc>
        <w:tc>
          <w:tcPr>
            <w:tcW w:w="945"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hint="eastAsia" w:ascii="Times New Roman" w:hAnsi="Times New Roman" w:eastAsia="宋体" w:cs="Times New Roman"/>
                <w:sz w:val="18"/>
                <w:szCs w:val="22"/>
                <w:shd w:val="clear" w:color="auto" w:fill="FFFFFF"/>
              </w:rPr>
              <w:t>300</w:t>
            </w:r>
          </w:p>
        </w:tc>
      </w:tr>
      <w:tr>
        <w:tblPrEx>
          <w:tblCellMar>
            <w:top w:w="0" w:type="dxa"/>
            <w:left w:w="108" w:type="dxa"/>
            <w:bottom w:w="0" w:type="dxa"/>
            <w:right w:w="108" w:type="dxa"/>
          </w:tblCellMar>
        </w:tblPrEx>
        <w:tc>
          <w:tcPr>
            <w:tcW w:w="1893"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hint="eastAsia" w:ascii="Times New Roman" w:hAnsi="Times New Roman" w:eastAsia="宋体" w:cs="Times New Roman"/>
                <w:sz w:val="18"/>
                <w:szCs w:val="22"/>
                <w:shd w:val="clear" w:color="auto" w:fill="FFFFFF"/>
              </w:rPr>
              <w:t>《钒工业污染物排放标准》（</w:t>
            </w:r>
            <w:r>
              <w:rPr>
                <w:rFonts w:ascii="Times New Roman" w:hAnsi="Times New Roman" w:eastAsia="宋体" w:cs="Times New Roman"/>
                <w:sz w:val="18"/>
                <w:szCs w:val="22"/>
                <w:shd w:val="clear" w:color="auto" w:fill="FFFFFF"/>
              </w:rPr>
              <w:t>GB26452-2011</w:t>
            </w:r>
            <w:r>
              <w:rPr>
                <w:rFonts w:hint="eastAsia" w:ascii="Times New Roman" w:hAnsi="Times New Roman" w:eastAsia="宋体" w:cs="Times New Roman"/>
                <w:sz w:val="18"/>
                <w:szCs w:val="22"/>
                <w:shd w:val="clear" w:color="auto" w:fill="FFFFFF"/>
              </w:rPr>
              <w:t>）表2</w:t>
            </w:r>
          </w:p>
        </w:tc>
        <w:tc>
          <w:tcPr>
            <w:tcW w:w="1081"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p>
        </w:tc>
        <w:tc>
          <w:tcPr>
            <w:tcW w:w="1081"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hint="eastAsia" w:ascii="Times New Roman" w:hAnsi="Times New Roman" w:eastAsia="宋体" w:cs="Times New Roman"/>
                <w:sz w:val="18"/>
                <w:szCs w:val="22"/>
                <w:shd w:val="clear" w:color="auto" w:fill="FFFFFF"/>
              </w:rPr>
              <w:t>3</w:t>
            </w:r>
            <w:r>
              <w:rPr>
                <w:rFonts w:ascii="Times New Roman" w:hAnsi="Times New Roman" w:eastAsia="宋体" w:cs="Times New Roman"/>
                <w:sz w:val="18"/>
                <w:szCs w:val="22"/>
                <w:shd w:val="clear" w:color="auto" w:fill="FFFFFF"/>
              </w:rPr>
              <w:t>00</w:t>
            </w:r>
          </w:p>
        </w:tc>
        <w:tc>
          <w:tcPr>
            <w:tcW w:w="945"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hint="eastAsia" w:ascii="Times New Roman" w:hAnsi="Times New Roman" w:eastAsia="宋体" w:cs="Times New Roman"/>
                <w:sz w:val="18"/>
                <w:szCs w:val="22"/>
                <w:shd w:val="clear" w:color="auto" w:fill="FFFFFF"/>
              </w:rPr>
              <w:t>3</w:t>
            </w:r>
            <w:r>
              <w:rPr>
                <w:rFonts w:ascii="Times New Roman" w:hAnsi="Times New Roman" w:eastAsia="宋体" w:cs="Times New Roman"/>
                <w:sz w:val="18"/>
                <w:szCs w:val="22"/>
                <w:shd w:val="clear" w:color="auto" w:fill="FFFFFF"/>
              </w:rPr>
              <w:t>00</w:t>
            </w:r>
          </w:p>
        </w:tc>
      </w:tr>
      <w:tr>
        <w:tblPrEx>
          <w:tblCellMar>
            <w:top w:w="0" w:type="dxa"/>
            <w:left w:w="108" w:type="dxa"/>
            <w:bottom w:w="0" w:type="dxa"/>
            <w:right w:w="108" w:type="dxa"/>
          </w:tblCellMar>
        </w:tblPrEx>
        <w:tc>
          <w:tcPr>
            <w:tcW w:w="1893" w:type="pct"/>
            <w:vMerge w:val="restart"/>
            <w:tcBorders>
              <w:top w:val="single" w:color="auto" w:sz="4" w:space="0"/>
              <w:left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hint="eastAsia" w:ascii="Times New Roman" w:hAnsi="Times New Roman" w:eastAsia="宋体" w:cs="Times New Roman"/>
                <w:sz w:val="18"/>
                <w:szCs w:val="22"/>
                <w:shd w:val="clear" w:color="auto" w:fill="FFFFFF"/>
              </w:rPr>
              <w:t>重庆市《榨菜行业水污染物排放标准》（DB 50/1050-2020）</w:t>
            </w:r>
          </w:p>
        </w:tc>
        <w:tc>
          <w:tcPr>
            <w:tcW w:w="1081"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hint="eastAsia" w:ascii="Times New Roman" w:hAnsi="Times New Roman" w:eastAsia="宋体" w:cs="Times New Roman"/>
                <w:sz w:val="18"/>
                <w:szCs w:val="22"/>
                <w:shd w:val="clear" w:color="auto" w:fill="FFFFFF"/>
              </w:rPr>
              <w:t>标准实施之日起</w:t>
            </w:r>
          </w:p>
        </w:tc>
        <w:tc>
          <w:tcPr>
            <w:tcW w:w="1081"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8000</w:t>
            </w:r>
          </w:p>
        </w:tc>
        <w:tc>
          <w:tcPr>
            <w:tcW w:w="945"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hint="eastAsia" w:ascii="Times New Roman" w:hAnsi="Times New Roman" w:eastAsia="宋体" w:cs="Times New Roman"/>
                <w:sz w:val="18"/>
                <w:szCs w:val="22"/>
                <w:shd w:val="clear" w:color="auto" w:fill="FFFFFF"/>
              </w:rPr>
              <w:t>8</w:t>
            </w:r>
            <w:r>
              <w:rPr>
                <w:rFonts w:ascii="Times New Roman" w:hAnsi="Times New Roman" w:eastAsia="宋体" w:cs="Times New Roman"/>
                <w:sz w:val="18"/>
                <w:szCs w:val="22"/>
                <w:shd w:val="clear" w:color="auto" w:fill="FFFFFF"/>
              </w:rPr>
              <w:t>000</w:t>
            </w:r>
          </w:p>
        </w:tc>
      </w:tr>
      <w:tr>
        <w:tblPrEx>
          <w:tblCellMar>
            <w:top w:w="0" w:type="dxa"/>
            <w:left w:w="108" w:type="dxa"/>
            <w:bottom w:w="0" w:type="dxa"/>
            <w:right w:w="108" w:type="dxa"/>
          </w:tblCellMar>
        </w:tblPrEx>
        <w:tc>
          <w:tcPr>
            <w:tcW w:w="1893" w:type="pct"/>
            <w:vMerge w:val="continue"/>
            <w:tcBorders>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p>
        </w:tc>
        <w:tc>
          <w:tcPr>
            <w:tcW w:w="1081"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hint="eastAsia" w:ascii="Times New Roman" w:hAnsi="Times New Roman" w:eastAsia="宋体" w:cs="Times New Roman"/>
                <w:sz w:val="18"/>
                <w:szCs w:val="22"/>
                <w:shd w:val="clear" w:color="auto" w:fill="FFFFFF"/>
              </w:rPr>
              <w:t>2</w:t>
            </w:r>
            <w:r>
              <w:rPr>
                <w:rFonts w:ascii="Times New Roman" w:hAnsi="Times New Roman" w:eastAsia="宋体" w:cs="Times New Roman"/>
                <w:sz w:val="18"/>
                <w:szCs w:val="22"/>
                <w:shd w:val="clear" w:color="auto" w:fill="FFFFFF"/>
              </w:rPr>
              <w:t>024</w:t>
            </w:r>
            <w:r>
              <w:rPr>
                <w:rFonts w:hint="eastAsia" w:ascii="Times New Roman" w:hAnsi="Times New Roman" w:eastAsia="宋体" w:cs="Times New Roman"/>
                <w:sz w:val="18"/>
                <w:szCs w:val="22"/>
                <w:shd w:val="clear" w:color="auto" w:fill="FFFFFF"/>
              </w:rPr>
              <w:t>年1</w:t>
            </w:r>
            <w:r>
              <w:rPr>
                <w:rFonts w:ascii="Times New Roman" w:hAnsi="Times New Roman" w:eastAsia="宋体" w:cs="Times New Roman"/>
                <w:sz w:val="18"/>
                <w:szCs w:val="22"/>
                <w:shd w:val="clear" w:color="auto" w:fill="FFFFFF"/>
              </w:rPr>
              <w:t>2</w:t>
            </w:r>
            <w:r>
              <w:rPr>
                <w:rFonts w:hint="eastAsia" w:ascii="Times New Roman" w:hAnsi="Times New Roman" w:eastAsia="宋体" w:cs="Times New Roman"/>
                <w:sz w:val="18"/>
                <w:szCs w:val="22"/>
                <w:shd w:val="clear" w:color="auto" w:fill="FFFFFF"/>
              </w:rPr>
              <w:t>月3</w:t>
            </w:r>
            <w:r>
              <w:rPr>
                <w:rFonts w:ascii="Times New Roman" w:hAnsi="Times New Roman" w:eastAsia="宋体" w:cs="Times New Roman"/>
                <w:sz w:val="18"/>
                <w:szCs w:val="22"/>
                <w:shd w:val="clear" w:color="auto" w:fill="FFFFFF"/>
              </w:rPr>
              <w:t>1</w:t>
            </w:r>
            <w:r>
              <w:rPr>
                <w:rFonts w:hint="eastAsia" w:ascii="Times New Roman" w:hAnsi="Times New Roman" w:eastAsia="宋体" w:cs="Times New Roman"/>
                <w:sz w:val="18"/>
                <w:szCs w:val="22"/>
                <w:shd w:val="clear" w:color="auto" w:fill="FFFFFF"/>
              </w:rPr>
              <w:t>日后</w:t>
            </w:r>
          </w:p>
        </w:tc>
        <w:tc>
          <w:tcPr>
            <w:tcW w:w="1081"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hint="eastAsia" w:ascii="Times New Roman" w:hAnsi="Times New Roman" w:eastAsia="宋体" w:cs="Times New Roman"/>
                <w:sz w:val="18"/>
                <w:szCs w:val="22"/>
                <w:shd w:val="clear" w:color="auto" w:fill="FFFFFF"/>
              </w:rPr>
              <w:t>7</w:t>
            </w:r>
            <w:r>
              <w:rPr>
                <w:rFonts w:ascii="Times New Roman" w:hAnsi="Times New Roman" w:eastAsia="宋体" w:cs="Times New Roman"/>
                <w:sz w:val="18"/>
                <w:szCs w:val="22"/>
                <w:shd w:val="clear" w:color="auto" w:fill="FFFFFF"/>
              </w:rPr>
              <w:t>000</w:t>
            </w:r>
          </w:p>
        </w:tc>
        <w:tc>
          <w:tcPr>
            <w:tcW w:w="945"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hint="eastAsia" w:ascii="Times New Roman" w:hAnsi="Times New Roman" w:eastAsia="宋体" w:cs="Times New Roman"/>
                <w:sz w:val="18"/>
                <w:szCs w:val="22"/>
                <w:shd w:val="clear" w:color="auto" w:fill="FFFFFF"/>
              </w:rPr>
              <w:t>7</w:t>
            </w:r>
            <w:r>
              <w:rPr>
                <w:rFonts w:ascii="Times New Roman" w:hAnsi="Times New Roman" w:eastAsia="宋体" w:cs="Times New Roman"/>
                <w:sz w:val="18"/>
                <w:szCs w:val="22"/>
                <w:shd w:val="clear" w:color="auto" w:fill="FFFFFF"/>
              </w:rPr>
              <w:t>000</w:t>
            </w:r>
          </w:p>
        </w:tc>
      </w:tr>
      <w:tr>
        <w:tblPrEx>
          <w:tblCellMar>
            <w:top w:w="0" w:type="dxa"/>
            <w:left w:w="108" w:type="dxa"/>
            <w:bottom w:w="0" w:type="dxa"/>
            <w:right w:w="108" w:type="dxa"/>
          </w:tblCellMar>
        </w:tblPrEx>
        <w:tc>
          <w:tcPr>
            <w:tcW w:w="1893" w:type="pct"/>
            <w:vMerge w:val="restar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b/>
                <w:sz w:val="18"/>
                <w:szCs w:val="22"/>
                <w:shd w:val="clear" w:color="auto" w:fill="FFFFFF"/>
              </w:rPr>
            </w:pPr>
            <w:r>
              <w:rPr>
                <w:rFonts w:hint="eastAsia" w:ascii="Times New Roman" w:hAnsi="Times New Roman" w:eastAsia="宋体" w:cs="Times New Roman"/>
                <w:b/>
                <w:kern w:val="0"/>
                <w:sz w:val="18"/>
                <w:szCs w:val="22"/>
              </w:rPr>
              <w:t>本标准</w:t>
            </w:r>
          </w:p>
        </w:tc>
        <w:tc>
          <w:tcPr>
            <w:tcW w:w="1081"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hint="eastAsia" w:ascii="Times New Roman" w:hAnsi="Times New Roman" w:eastAsia="宋体" w:cs="Times New Roman"/>
                <w:sz w:val="18"/>
                <w:szCs w:val="22"/>
                <w:shd w:val="clear" w:color="auto" w:fill="FFFFFF"/>
              </w:rPr>
              <w:t>现有企业</w:t>
            </w:r>
          </w:p>
        </w:tc>
        <w:tc>
          <w:tcPr>
            <w:tcW w:w="1081"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hint="eastAsia" w:ascii="Times New Roman" w:hAnsi="Times New Roman" w:eastAsia="宋体" w:cs="Times New Roman"/>
                <w:sz w:val="18"/>
                <w:szCs w:val="22"/>
                <w:shd w:val="clear" w:color="auto" w:fill="FFFFFF"/>
              </w:rPr>
              <w:t>2000-6000</w:t>
            </w:r>
          </w:p>
        </w:tc>
        <w:tc>
          <w:tcPr>
            <w:tcW w:w="945"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hint="eastAsia" w:ascii="Times New Roman" w:hAnsi="Times New Roman" w:eastAsia="宋体" w:cs="Times New Roman"/>
                <w:sz w:val="18"/>
                <w:szCs w:val="22"/>
                <w:shd w:val="clear" w:color="auto" w:fill="FFFFFF"/>
              </w:rPr>
              <w:t>8000</w:t>
            </w:r>
          </w:p>
        </w:tc>
      </w:tr>
      <w:tr>
        <w:tblPrEx>
          <w:tblCellMar>
            <w:top w:w="0" w:type="dxa"/>
            <w:left w:w="108" w:type="dxa"/>
            <w:bottom w:w="0" w:type="dxa"/>
            <w:right w:w="108" w:type="dxa"/>
          </w:tblCellMar>
        </w:tblPrEx>
        <w:tc>
          <w:tcPr>
            <w:tcW w:w="1893" w:type="pct"/>
            <w:vMerge w:val="continue"/>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kern w:val="0"/>
                <w:sz w:val="18"/>
                <w:szCs w:val="22"/>
              </w:rPr>
            </w:pPr>
          </w:p>
        </w:tc>
        <w:tc>
          <w:tcPr>
            <w:tcW w:w="1081"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hint="eastAsia" w:ascii="Times New Roman" w:hAnsi="Times New Roman" w:eastAsia="宋体" w:cs="Times New Roman"/>
                <w:sz w:val="18"/>
                <w:szCs w:val="22"/>
                <w:shd w:val="clear" w:color="auto" w:fill="FFFFFF"/>
              </w:rPr>
              <w:t>新建企业</w:t>
            </w:r>
          </w:p>
        </w:tc>
        <w:tc>
          <w:tcPr>
            <w:tcW w:w="1081"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hint="eastAsia" w:ascii="Times New Roman" w:hAnsi="Times New Roman" w:eastAsia="宋体" w:cs="Times New Roman"/>
                <w:sz w:val="18"/>
                <w:szCs w:val="22"/>
                <w:shd w:val="clear" w:color="auto" w:fill="FFFFFF"/>
              </w:rPr>
              <w:t>1000-5000</w:t>
            </w:r>
          </w:p>
        </w:tc>
        <w:tc>
          <w:tcPr>
            <w:tcW w:w="945"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shd w:val="clear" w:color="auto" w:fill="FFFFFF"/>
              </w:rPr>
            </w:pPr>
            <w:r>
              <w:rPr>
                <w:rFonts w:hint="eastAsia" w:ascii="Times New Roman" w:hAnsi="Times New Roman" w:eastAsia="宋体" w:cs="Times New Roman"/>
                <w:sz w:val="18"/>
                <w:szCs w:val="22"/>
                <w:shd w:val="clear" w:color="auto" w:fill="FFFFFF"/>
              </w:rPr>
              <w:t>7000</w:t>
            </w:r>
          </w:p>
        </w:tc>
      </w:tr>
    </w:tbl>
    <w:p>
      <w:pPr>
        <w:jc w:val="center"/>
        <w:rPr>
          <w:rFonts w:ascii="Times New Roman" w:hAnsi="Times New Roman" w:eastAsia="宋体" w:cs="Times New Roman"/>
          <w:b/>
          <w:bCs/>
          <w:sz w:val="18"/>
          <w:szCs w:val="32"/>
          <w:shd w:val="clear" w:color="auto" w:fill="FFFFFF"/>
        </w:rPr>
      </w:pPr>
      <w:r>
        <w:rPr>
          <w:rFonts w:ascii="Times New Roman" w:hAnsi="Times New Roman" w:eastAsia="宋体" w:cs="Times New Roman"/>
          <w:b/>
          <w:bCs/>
          <w:sz w:val="18"/>
          <w:szCs w:val="32"/>
        </w:rPr>
        <w:t>表</w:t>
      </w:r>
      <w:r>
        <w:rPr>
          <w:rFonts w:hint="eastAsia" w:ascii="Times New Roman" w:hAnsi="Times New Roman" w:eastAsia="宋体" w:cs="Times New Roman"/>
          <w:b/>
          <w:bCs/>
          <w:sz w:val="18"/>
          <w:szCs w:val="32"/>
        </w:rPr>
        <w:t>7-3 湖北省</w:t>
      </w:r>
      <w:r>
        <w:rPr>
          <w:rFonts w:ascii="Times New Roman" w:hAnsi="Times New Roman" w:eastAsia="宋体" w:cs="Times New Roman"/>
          <w:b/>
          <w:bCs/>
          <w:sz w:val="18"/>
          <w:szCs w:val="32"/>
        </w:rPr>
        <w:t>各行业氯化物排放</w:t>
      </w:r>
      <w:r>
        <w:rPr>
          <w:rFonts w:hint="eastAsia" w:ascii="Times New Roman" w:hAnsi="Times New Roman" w:eastAsia="宋体" w:cs="Times New Roman"/>
          <w:b/>
          <w:bCs/>
          <w:sz w:val="18"/>
          <w:szCs w:val="32"/>
        </w:rPr>
        <w:t>标准</w:t>
      </w:r>
    </w:p>
    <w:tbl>
      <w:tblPr>
        <w:tblStyle w:val="25"/>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34"/>
        <w:gridCol w:w="789"/>
        <w:gridCol w:w="1093"/>
        <w:gridCol w:w="992"/>
        <w:gridCol w:w="852"/>
        <w:gridCol w:w="941"/>
        <w:gridCol w:w="759"/>
        <w:gridCol w:w="850"/>
        <w:gridCol w:w="852"/>
        <w:gridCol w:w="76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72" w:type="pct"/>
            <w:vMerge w:val="restart"/>
            <w:vAlign w:val="center"/>
          </w:tcPr>
          <w:p>
            <w:pPr>
              <w:jc w:val="center"/>
              <w:rPr>
                <w:rFonts w:ascii="Times New Roman" w:hAnsi="Times New Roman" w:eastAsia="宋体" w:cs="Times New Roman"/>
                <w:b/>
                <w:sz w:val="18"/>
                <w:szCs w:val="22"/>
                <w:shd w:val="clear" w:color="auto" w:fill="FFFFFF"/>
              </w:rPr>
            </w:pPr>
            <w:r>
              <w:rPr>
                <w:rFonts w:ascii="Times New Roman" w:hAnsi="Times New Roman" w:eastAsia="宋体" w:cs="Times New Roman"/>
                <w:b/>
                <w:sz w:val="18"/>
                <w:szCs w:val="22"/>
                <w:shd w:val="clear" w:color="auto" w:fill="FFFFFF"/>
              </w:rPr>
              <w:t>行业分类</w:t>
            </w:r>
          </w:p>
        </w:tc>
        <w:tc>
          <w:tcPr>
            <w:tcW w:w="463" w:type="pct"/>
            <w:vMerge w:val="restart"/>
            <w:vAlign w:val="center"/>
          </w:tcPr>
          <w:p>
            <w:pPr>
              <w:jc w:val="center"/>
              <w:rPr>
                <w:rFonts w:ascii="Times New Roman" w:hAnsi="Times New Roman" w:eastAsia="宋体" w:cs="Times New Roman"/>
                <w:b/>
                <w:sz w:val="18"/>
                <w:szCs w:val="22"/>
                <w:shd w:val="clear" w:color="auto" w:fill="FFFFFF"/>
              </w:rPr>
            </w:pPr>
            <w:r>
              <w:rPr>
                <w:rFonts w:ascii="Times New Roman" w:hAnsi="Times New Roman" w:eastAsia="宋体" w:cs="Times New Roman"/>
                <w:b/>
                <w:sz w:val="18"/>
                <w:szCs w:val="22"/>
                <w:shd w:val="clear" w:color="auto" w:fill="FFFFFF"/>
              </w:rPr>
              <w:t>企业</w:t>
            </w:r>
          </w:p>
          <w:p>
            <w:pPr>
              <w:jc w:val="center"/>
              <w:rPr>
                <w:rFonts w:ascii="Times New Roman" w:hAnsi="Times New Roman" w:eastAsia="宋体" w:cs="Times New Roman"/>
                <w:b/>
                <w:sz w:val="18"/>
                <w:szCs w:val="22"/>
                <w:shd w:val="clear" w:color="auto" w:fill="FFFFFF"/>
              </w:rPr>
            </w:pPr>
            <w:r>
              <w:rPr>
                <w:rFonts w:ascii="Times New Roman" w:hAnsi="Times New Roman" w:eastAsia="宋体" w:cs="Times New Roman"/>
                <w:b/>
                <w:sz w:val="18"/>
                <w:szCs w:val="22"/>
                <w:shd w:val="clear" w:color="auto" w:fill="FFFFFF"/>
              </w:rPr>
              <w:t>性质</w:t>
            </w:r>
          </w:p>
        </w:tc>
        <w:tc>
          <w:tcPr>
            <w:tcW w:w="641" w:type="pct"/>
            <w:vMerge w:val="restart"/>
            <w:vAlign w:val="center"/>
          </w:tcPr>
          <w:p>
            <w:pPr>
              <w:jc w:val="center"/>
              <w:rPr>
                <w:rFonts w:ascii="Times New Roman" w:hAnsi="Times New Roman" w:eastAsia="宋体" w:cs="Times New Roman"/>
                <w:b/>
                <w:sz w:val="18"/>
                <w:szCs w:val="22"/>
                <w:shd w:val="clear" w:color="auto" w:fill="FFFFFF"/>
              </w:rPr>
            </w:pPr>
            <w:r>
              <w:rPr>
                <w:rFonts w:ascii="Times New Roman" w:hAnsi="Times New Roman" w:eastAsia="宋体" w:cs="Times New Roman"/>
                <w:b/>
                <w:sz w:val="18"/>
                <w:szCs w:val="22"/>
                <w:shd w:val="clear" w:color="auto" w:fill="FFFFFF"/>
              </w:rPr>
              <w:t>最高允许排放水量（m</w:t>
            </w:r>
            <w:r>
              <w:rPr>
                <w:rFonts w:ascii="Times New Roman" w:hAnsi="Times New Roman" w:eastAsia="宋体" w:cs="Times New Roman"/>
                <w:b/>
                <w:sz w:val="18"/>
                <w:szCs w:val="22"/>
                <w:shd w:val="clear" w:color="auto" w:fill="FFFFFF"/>
                <w:vertAlign w:val="superscript"/>
              </w:rPr>
              <w:t>3</w:t>
            </w:r>
            <w:r>
              <w:rPr>
                <w:rFonts w:ascii="Times New Roman" w:hAnsi="Times New Roman" w:eastAsia="宋体" w:cs="Times New Roman"/>
                <w:b/>
                <w:sz w:val="18"/>
                <w:szCs w:val="22"/>
                <w:shd w:val="clear" w:color="auto" w:fill="FFFFFF"/>
              </w:rPr>
              <w:t>/t）</w:t>
            </w:r>
          </w:p>
        </w:tc>
        <w:tc>
          <w:tcPr>
            <w:tcW w:w="3524" w:type="pct"/>
            <w:gridSpan w:val="7"/>
            <w:vAlign w:val="center"/>
          </w:tcPr>
          <w:p>
            <w:pPr>
              <w:jc w:val="center"/>
              <w:rPr>
                <w:rFonts w:ascii="Times New Roman" w:hAnsi="Times New Roman" w:eastAsia="宋体" w:cs="Times New Roman"/>
                <w:b/>
                <w:sz w:val="18"/>
                <w:szCs w:val="22"/>
                <w:shd w:val="clear" w:color="auto" w:fill="FFFFFF"/>
              </w:rPr>
            </w:pPr>
            <w:r>
              <w:rPr>
                <w:rFonts w:ascii="Times New Roman" w:hAnsi="Times New Roman" w:eastAsia="宋体" w:cs="Times New Roman"/>
                <w:b/>
                <w:sz w:val="18"/>
                <w:szCs w:val="22"/>
                <w:shd w:val="clear" w:color="auto" w:fill="FFFFFF"/>
              </w:rPr>
              <w:t>氯化物最高允许排放浓度限值（mg/L）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72" w:type="pct"/>
            <w:vMerge w:val="continue"/>
            <w:vAlign w:val="center"/>
          </w:tcPr>
          <w:p>
            <w:pPr>
              <w:jc w:val="center"/>
              <w:rPr>
                <w:rFonts w:ascii="Times New Roman" w:hAnsi="Times New Roman" w:eastAsia="宋体" w:cs="Times New Roman"/>
                <w:b/>
                <w:sz w:val="18"/>
                <w:szCs w:val="22"/>
                <w:shd w:val="clear" w:color="auto" w:fill="FFFFFF"/>
              </w:rPr>
            </w:pPr>
          </w:p>
        </w:tc>
        <w:tc>
          <w:tcPr>
            <w:tcW w:w="463" w:type="pct"/>
            <w:vMerge w:val="continue"/>
            <w:vAlign w:val="center"/>
          </w:tcPr>
          <w:p>
            <w:pPr>
              <w:jc w:val="center"/>
              <w:rPr>
                <w:rFonts w:ascii="Times New Roman" w:hAnsi="Times New Roman" w:eastAsia="宋体" w:cs="Times New Roman"/>
                <w:b/>
                <w:sz w:val="18"/>
                <w:szCs w:val="22"/>
                <w:shd w:val="clear" w:color="auto" w:fill="FFFFFF"/>
              </w:rPr>
            </w:pPr>
          </w:p>
        </w:tc>
        <w:tc>
          <w:tcPr>
            <w:tcW w:w="641" w:type="pct"/>
            <w:vMerge w:val="continue"/>
            <w:vAlign w:val="center"/>
          </w:tcPr>
          <w:p>
            <w:pPr>
              <w:jc w:val="center"/>
              <w:rPr>
                <w:rFonts w:ascii="Times New Roman" w:hAnsi="Times New Roman" w:eastAsia="宋体" w:cs="Times New Roman"/>
                <w:b/>
                <w:sz w:val="18"/>
                <w:szCs w:val="22"/>
                <w:shd w:val="clear" w:color="auto" w:fill="FFFFFF"/>
              </w:rPr>
            </w:pPr>
          </w:p>
        </w:tc>
        <w:tc>
          <w:tcPr>
            <w:tcW w:w="582" w:type="pct"/>
            <w:vMerge w:val="restart"/>
            <w:vAlign w:val="center"/>
          </w:tcPr>
          <w:p>
            <w:pPr>
              <w:jc w:val="center"/>
              <w:rPr>
                <w:rFonts w:ascii="Times New Roman" w:hAnsi="Times New Roman" w:eastAsia="宋体" w:cs="Times New Roman"/>
                <w:b/>
                <w:sz w:val="18"/>
                <w:szCs w:val="22"/>
                <w:shd w:val="clear" w:color="auto" w:fill="FFFFFF"/>
              </w:rPr>
            </w:pPr>
            <w:r>
              <w:rPr>
                <w:rFonts w:ascii="Times New Roman" w:hAnsi="Times New Roman" w:eastAsia="宋体" w:cs="Times New Roman"/>
                <w:b/>
                <w:sz w:val="18"/>
                <w:szCs w:val="22"/>
                <w:shd w:val="clear" w:color="auto" w:fill="FFFFFF"/>
              </w:rPr>
              <w:t>水期</w:t>
            </w:r>
          </w:p>
        </w:tc>
        <w:tc>
          <w:tcPr>
            <w:tcW w:w="1497" w:type="pct"/>
            <w:gridSpan w:val="3"/>
            <w:vAlign w:val="center"/>
          </w:tcPr>
          <w:p>
            <w:pPr>
              <w:jc w:val="center"/>
              <w:rPr>
                <w:rFonts w:ascii="Times New Roman" w:hAnsi="Times New Roman" w:eastAsia="宋体" w:cs="Times New Roman"/>
                <w:b/>
                <w:sz w:val="18"/>
                <w:szCs w:val="22"/>
                <w:shd w:val="clear" w:color="auto" w:fill="FFFFFF"/>
              </w:rPr>
            </w:pPr>
            <w:r>
              <w:rPr>
                <w:rFonts w:ascii="Times New Roman" w:hAnsi="Times New Roman" w:eastAsia="宋体" w:cs="Times New Roman"/>
                <w:b/>
                <w:sz w:val="18"/>
                <w:szCs w:val="22"/>
                <w:shd w:val="clear" w:color="auto" w:fill="FFFFFF"/>
              </w:rPr>
              <w:t>1999年-2004年</w:t>
            </w:r>
          </w:p>
        </w:tc>
        <w:tc>
          <w:tcPr>
            <w:tcW w:w="1445" w:type="pct"/>
            <w:gridSpan w:val="3"/>
            <w:vAlign w:val="center"/>
          </w:tcPr>
          <w:p>
            <w:pPr>
              <w:jc w:val="center"/>
              <w:rPr>
                <w:rFonts w:ascii="Times New Roman" w:hAnsi="Times New Roman" w:eastAsia="宋体" w:cs="Times New Roman"/>
                <w:b/>
                <w:sz w:val="18"/>
                <w:szCs w:val="22"/>
                <w:shd w:val="clear" w:color="auto" w:fill="FFFFFF"/>
              </w:rPr>
            </w:pPr>
            <w:r>
              <w:rPr>
                <w:rFonts w:ascii="Times New Roman" w:hAnsi="Times New Roman" w:eastAsia="宋体" w:cs="Times New Roman"/>
                <w:b/>
                <w:sz w:val="18"/>
                <w:szCs w:val="22"/>
                <w:shd w:val="clear" w:color="auto" w:fill="FFFFFF"/>
              </w:rPr>
              <w:t>2005年-2010年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72" w:type="pct"/>
            <w:vMerge w:val="continue"/>
            <w:vAlign w:val="center"/>
          </w:tcPr>
          <w:p>
            <w:pPr>
              <w:jc w:val="center"/>
              <w:rPr>
                <w:rFonts w:ascii="Times New Roman" w:hAnsi="Times New Roman" w:eastAsia="宋体" w:cs="Times New Roman"/>
                <w:b/>
                <w:sz w:val="18"/>
                <w:szCs w:val="22"/>
                <w:shd w:val="clear" w:color="auto" w:fill="FFFFFF"/>
              </w:rPr>
            </w:pPr>
          </w:p>
        </w:tc>
        <w:tc>
          <w:tcPr>
            <w:tcW w:w="463" w:type="pct"/>
            <w:vMerge w:val="continue"/>
            <w:vAlign w:val="center"/>
          </w:tcPr>
          <w:p>
            <w:pPr>
              <w:jc w:val="center"/>
              <w:rPr>
                <w:rFonts w:ascii="Times New Roman" w:hAnsi="Times New Roman" w:eastAsia="宋体" w:cs="Times New Roman"/>
                <w:b/>
                <w:sz w:val="18"/>
                <w:szCs w:val="22"/>
                <w:shd w:val="clear" w:color="auto" w:fill="FFFFFF"/>
              </w:rPr>
            </w:pPr>
          </w:p>
        </w:tc>
        <w:tc>
          <w:tcPr>
            <w:tcW w:w="641" w:type="pct"/>
            <w:vMerge w:val="continue"/>
            <w:vAlign w:val="center"/>
          </w:tcPr>
          <w:p>
            <w:pPr>
              <w:jc w:val="center"/>
              <w:rPr>
                <w:rFonts w:ascii="Times New Roman" w:hAnsi="Times New Roman" w:eastAsia="宋体" w:cs="Times New Roman"/>
                <w:b/>
                <w:sz w:val="18"/>
                <w:szCs w:val="22"/>
                <w:shd w:val="clear" w:color="auto" w:fill="FFFFFF"/>
              </w:rPr>
            </w:pPr>
          </w:p>
        </w:tc>
        <w:tc>
          <w:tcPr>
            <w:tcW w:w="582" w:type="pct"/>
            <w:vMerge w:val="continue"/>
            <w:vAlign w:val="center"/>
          </w:tcPr>
          <w:p>
            <w:pPr>
              <w:jc w:val="center"/>
              <w:rPr>
                <w:rFonts w:ascii="Times New Roman" w:hAnsi="Times New Roman" w:eastAsia="宋体" w:cs="Times New Roman"/>
                <w:b/>
                <w:sz w:val="18"/>
                <w:szCs w:val="22"/>
                <w:shd w:val="clear" w:color="auto" w:fill="FFFFFF"/>
              </w:rPr>
            </w:pPr>
          </w:p>
        </w:tc>
        <w:tc>
          <w:tcPr>
            <w:tcW w:w="500" w:type="pct"/>
            <w:vAlign w:val="center"/>
          </w:tcPr>
          <w:p>
            <w:pPr>
              <w:jc w:val="center"/>
              <w:rPr>
                <w:rFonts w:ascii="Times New Roman" w:hAnsi="Times New Roman" w:eastAsia="宋体" w:cs="Times New Roman"/>
                <w:b/>
                <w:sz w:val="18"/>
                <w:szCs w:val="22"/>
                <w:shd w:val="clear" w:color="auto" w:fill="FFFFFF"/>
              </w:rPr>
            </w:pPr>
            <w:r>
              <w:rPr>
                <w:rFonts w:ascii="Times New Roman" w:hAnsi="Times New Roman" w:eastAsia="宋体" w:cs="Times New Roman"/>
                <w:b/>
                <w:sz w:val="18"/>
                <w:szCs w:val="22"/>
                <w:shd w:val="clear" w:color="auto" w:fill="FFFFFF"/>
              </w:rPr>
              <w:t>一级</w:t>
            </w:r>
          </w:p>
          <w:p>
            <w:pPr>
              <w:jc w:val="center"/>
              <w:rPr>
                <w:rFonts w:ascii="Times New Roman" w:hAnsi="Times New Roman" w:eastAsia="宋体" w:cs="Times New Roman"/>
                <w:b/>
                <w:sz w:val="18"/>
                <w:szCs w:val="22"/>
                <w:shd w:val="clear" w:color="auto" w:fill="FFFFFF"/>
              </w:rPr>
            </w:pPr>
            <w:r>
              <w:rPr>
                <w:rFonts w:ascii="Times New Roman" w:hAnsi="Times New Roman" w:eastAsia="宋体" w:cs="Times New Roman"/>
                <w:b/>
                <w:sz w:val="18"/>
                <w:szCs w:val="22"/>
                <w:shd w:val="clear" w:color="auto" w:fill="FFFFFF"/>
              </w:rPr>
              <w:t>（</w:t>
            </w:r>
            <w:r>
              <w:rPr>
                <w:rFonts w:hint="eastAsia" w:ascii="宋体" w:hAnsi="宋体" w:eastAsia="宋体" w:cs="宋体"/>
                <w:b/>
                <w:sz w:val="18"/>
                <w:szCs w:val="22"/>
                <w:shd w:val="clear" w:color="auto" w:fill="FFFFFF"/>
              </w:rPr>
              <w:t>Ⅱ</w:t>
            </w:r>
            <w:r>
              <w:rPr>
                <w:rFonts w:ascii="Times New Roman" w:hAnsi="Times New Roman" w:eastAsia="宋体" w:cs="Times New Roman"/>
                <w:b/>
                <w:sz w:val="18"/>
                <w:szCs w:val="22"/>
                <w:shd w:val="clear" w:color="auto" w:fill="FFFFFF"/>
              </w:rPr>
              <w:t>类）</w:t>
            </w:r>
          </w:p>
        </w:tc>
        <w:tc>
          <w:tcPr>
            <w:tcW w:w="552" w:type="pct"/>
            <w:vAlign w:val="center"/>
          </w:tcPr>
          <w:p>
            <w:pPr>
              <w:jc w:val="center"/>
              <w:rPr>
                <w:rFonts w:ascii="Times New Roman" w:hAnsi="Times New Roman" w:eastAsia="宋体" w:cs="Times New Roman"/>
                <w:b/>
                <w:sz w:val="18"/>
                <w:szCs w:val="22"/>
                <w:shd w:val="clear" w:color="auto" w:fill="FFFFFF"/>
              </w:rPr>
            </w:pPr>
            <w:r>
              <w:rPr>
                <w:rFonts w:ascii="Times New Roman" w:hAnsi="Times New Roman" w:eastAsia="宋体" w:cs="Times New Roman"/>
                <w:b/>
                <w:sz w:val="18"/>
                <w:szCs w:val="22"/>
                <w:shd w:val="clear" w:color="auto" w:fill="FFFFFF"/>
              </w:rPr>
              <w:t>二级</w:t>
            </w:r>
          </w:p>
          <w:p>
            <w:pPr>
              <w:jc w:val="center"/>
              <w:rPr>
                <w:rFonts w:ascii="Times New Roman" w:hAnsi="Times New Roman" w:eastAsia="宋体" w:cs="Times New Roman"/>
                <w:b/>
                <w:sz w:val="18"/>
                <w:szCs w:val="22"/>
                <w:shd w:val="clear" w:color="auto" w:fill="FFFFFF"/>
              </w:rPr>
            </w:pPr>
            <w:r>
              <w:rPr>
                <w:rFonts w:ascii="Times New Roman" w:hAnsi="Times New Roman" w:eastAsia="宋体" w:cs="Times New Roman"/>
                <w:b/>
                <w:sz w:val="18"/>
                <w:szCs w:val="22"/>
                <w:shd w:val="clear" w:color="auto" w:fill="FFFFFF"/>
              </w:rPr>
              <w:t>（</w:t>
            </w:r>
            <w:r>
              <w:rPr>
                <w:rFonts w:hint="eastAsia" w:ascii="宋体" w:hAnsi="宋体" w:eastAsia="宋体" w:cs="宋体"/>
                <w:b/>
                <w:sz w:val="18"/>
                <w:szCs w:val="22"/>
                <w:shd w:val="clear" w:color="auto" w:fill="FFFFFF"/>
              </w:rPr>
              <w:t>Ⅲ</w:t>
            </w:r>
            <w:r>
              <w:rPr>
                <w:rFonts w:ascii="Times New Roman" w:hAnsi="Times New Roman" w:eastAsia="宋体" w:cs="Times New Roman"/>
                <w:b/>
                <w:sz w:val="18"/>
                <w:szCs w:val="22"/>
                <w:shd w:val="clear" w:color="auto" w:fill="FFFFFF"/>
              </w:rPr>
              <w:t>类）</w:t>
            </w:r>
          </w:p>
        </w:tc>
        <w:tc>
          <w:tcPr>
            <w:tcW w:w="445" w:type="pct"/>
            <w:vAlign w:val="center"/>
          </w:tcPr>
          <w:p>
            <w:pPr>
              <w:jc w:val="center"/>
              <w:rPr>
                <w:rFonts w:ascii="Times New Roman" w:hAnsi="Times New Roman" w:eastAsia="宋体" w:cs="Times New Roman"/>
                <w:b/>
                <w:sz w:val="18"/>
                <w:szCs w:val="22"/>
                <w:shd w:val="clear" w:color="auto" w:fill="FFFFFF"/>
              </w:rPr>
            </w:pPr>
            <w:r>
              <w:rPr>
                <w:rFonts w:ascii="Times New Roman" w:hAnsi="Times New Roman" w:eastAsia="宋体" w:cs="Times New Roman"/>
                <w:b/>
                <w:sz w:val="18"/>
                <w:szCs w:val="22"/>
                <w:shd w:val="clear" w:color="auto" w:fill="FFFFFF"/>
              </w:rPr>
              <w:t>三级</w:t>
            </w:r>
          </w:p>
          <w:p>
            <w:pPr>
              <w:jc w:val="center"/>
              <w:rPr>
                <w:rFonts w:ascii="Times New Roman" w:hAnsi="Times New Roman" w:eastAsia="宋体" w:cs="Times New Roman"/>
                <w:b/>
                <w:sz w:val="18"/>
                <w:szCs w:val="22"/>
                <w:shd w:val="clear" w:color="auto" w:fill="FFFFFF"/>
              </w:rPr>
            </w:pPr>
            <w:r>
              <w:rPr>
                <w:rFonts w:ascii="Times New Roman" w:hAnsi="Times New Roman" w:eastAsia="宋体" w:cs="Times New Roman"/>
                <w:b/>
                <w:sz w:val="18"/>
                <w:szCs w:val="22"/>
                <w:shd w:val="clear" w:color="auto" w:fill="FFFFFF"/>
              </w:rPr>
              <w:t>（</w:t>
            </w:r>
            <w:r>
              <w:rPr>
                <w:rFonts w:hint="eastAsia" w:ascii="宋体" w:hAnsi="宋体" w:eastAsia="宋体" w:cs="宋体"/>
                <w:b/>
                <w:sz w:val="18"/>
                <w:szCs w:val="22"/>
                <w:shd w:val="clear" w:color="auto" w:fill="FFFFFF"/>
              </w:rPr>
              <w:t>Ⅳ</w:t>
            </w:r>
            <w:r>
              <w:rPr>
                <w:rFonts w:ascii="Times New Roman" w:hAnsi="Times New Roman" w:eastAsia="宋体" w:cs="Times New Roman"/>
                <w:b/>
                <w:sz w:val="18"/>
                <w:szCs w:val="22"/>
                <w:shd w:val="clear" w:color="auto" w:fill="FFFFFF"/>
              </w:rPr>
              <w:t>、</w:t>
            </w:r>
            <w:r>
              <w:rPr>
                <w:rFonts w:hint="eastAsia" w:ascii="宋体" w:hAnsi="宋体" w:eastAsia="宋体" w:cs="宋体"/>
                <w:b/>
                <w:sz w:val="18"/>
                <w:szCs w:val="22"/>
                <w:shd w:val="clear" w:color="auto" w:fill="FFFFFF"/>
              </w:rPr>
              <w:t>Ⅴ</w:t>
            </w:r>
            <w:r>
              <w:rPr>
                <w:rFonts w:ascii="Times New Roman" w:hAnsi="Times New Roman" w:eastAsia="宋体" w:cs="Times New Roman"/>
                <w:b/>
                <w:sz w:val="18"/>
                <w:szCs w:val="22"/>
                <w:shd w:val="clear" w:color="auto" w:fill="FFFFFF"/>
              </w:rPr>
              <w:t>类）</w:t>
            </w:r>
          </w:p>
        </w:tc>
        <w:tc>
          <w:tcPr>
            <w:tcW w:w="499" w:type="pct"/>
            <w:vAlign w:val="center"/>
          </w:tcPr>
          <w:p>
            <w:pPr>
              <w:jc w:val="center"/>
              <w:rPr>
                <w:rFonts w:ascii="Times New Roman" w:hAnsi="Times New Roman" w:eastAsia="宋体" w:cs="Times New Roman"/>
                <w:b/>
                <w:sz w:val="18"/>
                <w:szCs w:val="22"/>
                <w:shd w:val="clear" w:color="auto" w:fill="FFFFFF"/>
              </w:rPr>
            </w:pPr>
            <w:r>
              <w:rPr>
                <w:rFonts w:ascii="Times New Roman" w:hAnsi="Times New Roman" w:eastAsia="宋体" w:cs="Times New Roman"/>
                <w:b/>
                <w:sz w:val="18"/>
                <w:szCs w:val="22"/>
                <w:shd w:val="clear" w:color="auto" w:fill="FFFFFF"/>
              </w:rPr>
              <w:t>一级</w:t>
            </w:r>
          </w:p>
          <w:p>
            <w:pPr>
              <w:jc w:val="center"/>
              <w:rPr>
                <w:rFonts w:ascii="Times New Roman" w:hAnsi="Times New Roman" w:eastAsia="宋体" w:cs="Times New Roman"/>
                <w:b/>
                <w:sz w:val="18"/>
                <w:szCs w:val="22"/>
                <w:shd w:val="clear" w:color="auto" w:fill="FFFFFF"/>
              </w:rPr>
            </w:pPr>
            <w:r>
              <w:rPr>
                <w:rFonts w:ascii="Times New Roman" w:hAnsi="Times New Roman" w:eastAsia="宋体" w:cs="Times New Roman"/>
                <w:b/>
                <w:sz w:val="18"/>
                <w:szCs w:val="22"/>
                <w:shd w:val="clear" w:color="auto" w:fill="FFFFFF"/>
              </w:rPr>
              <w:t>（</w:t>
            </w:r>
            <w:r>
              <w:rPr>
                <w:rFonts w:hint="eastAsia" w:ascii="宋体" w:hAnsi="宋体" w:eastAsia="宋体" w:cs="宋体"/>
                <w:b/>
                <w:sz w:val="18"/>
                <w:szCs w:val="22"/>
                <w:shd w:val="clear" w:color="auto" w:fill="FFFFFF"/>
              </w:rPr>
              <w:t>Ⅱ</w:t>
            </w:r>
            <w:r>
              <w:rPr>
                <w:rFonts w:ascii="Times New Roman" w:hAnsi="Times New Roman" w:eastAsia="宋体" w:cs="Times New Roman"/>
                <w:b/>
                <w:sz w:val="18"/>
                <w:szCs w:val="22"/>
                <w:shd w:val="clear" w:color="auto" w:fill="FFFFFF"/>
              </w:rPr>
              <w:t>类）</w:t>
            </w:r>
          </w:p>
        </w:tc>
        <w:tc>
          <w:tcPr>
            <w:tcW w:w="500" w:type="pct"/>
            <w:vAlign w:val="center"/>
          </w:tcPr>
          <w:p>
            <w:pPr>
              <w:jc w:val="center"/>
              <w:rPr>
                <w:rFonts w:ascii="Times New Roman" w:hAnsi="Times New Roman" w:eastAsia="宋体" w:cs="Times New Roman"/>
                <w:b/>
                <w:sz w:val="18"/>
                <w:szCs w:val="22"/>
                <w:shd w:val="clear" w:color="auto" w:fill="FFFFFF"/>
              </w:rPr>
            </w:pPr>
            <w:r>
              <w:rPr>
                <w:rFonts w:ascii="Times New Roman" w:hAnsi="Times New Roman" w:eastAsia="宋体" w:cs="Times New Roman"/>
                <w:b/>
                <w:sz w:val="18"/>
                <w:szCs w:val="22"/>
                <w:shd w:val="clear" w:color="auto" w:fill="FFFFFF"/>
              </w:rPr>
              <w:t>二级</w:t>
            </w:r>
          </w:p>
          <w:p>
            <w:pPr>
              <w:jc w:val="center"/>
              <w:rPr>
                <w:rFonts w:ascii="Times New Roman" w:hAnsi="Times New Roman" w:eastAsia="宋体" w:cs="Times New Roman"/>
                <w:b/>
                <w:sz w:val="18"/>
                <w:szCs w:val="22"/>
                <w:shd w:val="clear" w:color="auto" w:fill="FFFFFF"/>
              </w:rPr>
            </w:pPr>
            <w:r>
              <w:rPr>
                <w:rFonts w:ascii="Times New Roman" w:hAnsi="Times New Roman" w:eastAsia="宋体" w:cs="Times New Roman"/>
                <w:b/>
                <w:sz w:val="18"/>
                <w:szCs w:val="22"/>
                <w:shd w:val="clear" w:color="auto" w:fill="FFFFFF"/>
              </w:rPr>
              <w:t>（</w:t>
            </w:r>
            <w:r>
              <w:rPr>
                <w:rFonts w:hint="eastAsia" w:ascii="宋体" w:hAnsi="宋体" w:eastAsia="宋体" w:cs="宋体"/>
                <w:b/>
                <w:sz w:val="18"/>
                <w:szCs w:val="22"/>
                <w:shd w:val="clear" w:color="auto" w:fill="FFFFFF"/>
              </w:rPr>
              <w:t>Ⅲ</w:t>
            </w:r>
            <w:r>
              <w:rPr>
                <w:rFonts w:ascii="Times New Roman" w:hAnsi="Times New Roman" w:eastAsia="宋体" w:cs="Times New Roman"/>
                <w:b/>
                <w:sz w:val="18"/>
                <w:szCs w:val="22"/>
                <w:shd w:val="clear" w:color="auto" w:fill="FFFFFF"/>
              </w:rPr>
              <w:t>类）</w:t>
            </w:r>
          </w:p>
        </w:tc>
        <w:tc>
          <w:tcPr>
            <w:tcW w:w="446" w:type="pct"/>
            <w:vAlign w:val="center"/>
          </w:tcPr>
          <w:p>
            <w:pPr>
              <w:jc w:val="center"/>
              <w:rPr>
                <w:rFonts w:ascii="Times New Roman" w:hAnsi="Times New Roman" w:eastAsia="宋体" w:cs="Times New Roman"/>
                <w:b/>
                <w:sz w:val="18"/>
                <w:szCs w:val="22"/>
                <w:shd w:val="clear" w:color="auto" w:fill="FFFFFF"/>
              </w:rPr>
            </w:pPr>
            <w:r>
              <w:rPr>
                <w:rFonts w:ascii="Times New Roman" w:hAnsi="Times New Roman" w:eastAsia="宋体" w:cs="Times New Roman"/>
                <w:b/>
                <w:sz w:val="18"/>
                <w:szCs w:val="22"/>
                <w:shd w:val="clear" w:color="auto" w:fill="FFFFFF"/>
              </w:rPr>
              <w:t>三级</w:t>
            </w:r>
          </w:p>
          <w:p>
            <w:pPr>
              <w:jc w:val="center"/>
              <w:rPr>
                <w:rFonts w:ascii="Times New Roman" w:hAnsi="Times New Roman" w:eastAsia="宋体" w:cs="Times New Roman"/>
                <w:b/>
                <w:sz w:val="18"/>
                <w:szCs w:val="22"/>
                <w:shd w:val="clear" w:color="auto" w:fill="FFFFFF"/>
              </w:rPr>
            </w:pPr>
            <w:r>
              <w:rPr>
                <w:rFonts w:ascii="Times New Roman" w:hAnsi="Times New Roman" w:eastAsia="宋体" w:cs="Times New Roman"/>
                <w:b/>
                <w:sz w:val="18"/>
                <w:szCs w:val="22"/>
                <w:shd w:val="clear" w:color="auto" w:fill="FFFFFF"/>
              </w:rPr>
              <w:t>（</w:t>
            </w:r>
            <w:r>
              <w:rPr>
                <w:rFonts w:hint="eastAsia" w:ascii="宋体" w:hAnsi="宋体" w:eastAsia="宋体" w:cs="宋体"/>
                <w:b/>
                <w:sz w:val="18"/>
                <w:szCs w:val="22"/>
                <w:shd w:val="clear" w:color="auto" w:fill="FFFFFF"/>
              </w:rPr>
              <w:t>Ⅳ</w:t>
            </w:r>
            <w:r>
              <w:rPr>
                <w:rFonts w:ascii="Times New Roman" w:hAnsi="Times New Roman" w:eastAsia="宋体" w:cs="Times New Roman"/>
                <w:b/>
                <w:sz w:val="18"/>
                <w:szCs w:val="22"/>
                <w:shd w:val="clear" w:color="auto" w:fill="FFFFFF"/>
              </w:rPr>
              <w:t>、</w:t>
            </w:r>
            <w:r>
              <w:rPr>
                <w:rFonts w:hint="eastAsia" w:ascii="宋体" w:hAnsi="宋体" w:eastAsia="宋体" w:cs="宋体"/>
                <w:b/>
                <w:sz w:val="18"/>
                <w:szCs w:val="22"/>
                <w:shd w:val="clear" w:color="auto" w:fill="FFFFFF"/>
              </w:rPr>
              <w:t>Ⅴ</w:t>
            </w:r>
            <w:r>
              <w:rPr>
                <w:rFonts w:ascii="Times New Roman" w:hAnsi="Times New Roman" w:eastAsia="宋体" w:cs="Times New Roman"/>
                <w:b/>
                <w:sz w:val="18"/>
                <w:szCs w:val="22"/>
                <w:shd w:val="clear" w:color="auto" w:fill="FFFFFF"/>
              </w:rPr>
              <w:t>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372" w:type="pct"/>
            <w:vMerge w:val="restart"/>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制盐工业</w:t>
            </w:r>
          </w:p>
        </w:tc>
        <w:tc>
          <w:tcPr>
            <w:tcW w:w="463" w:type="pct"/>
            <w:vMerge w:val="restart"/>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新扩改</w:t>
            </w:r>
          </w:p>
        </w:tc>
        <w:tc>
          <w:tcPr>
            <w:tcW w:w="641" w:type="pct"/>
            <w:vMerge w:val="restart"/>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10</w:t>
            </w:r>
          </w:p>
        </w:tc>
        <w:tc>
          <w:tcPr>
            <w:tcW w:w="582" w:type="pct"/>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平、枯水</w:t>
            </w:r>
          </w:p>
        </w:tc>
        <w:tc>
          <w:tcPr>
            <w:tcW w:w="1052" w:type="pct"/>
            <w:gridSpan w:val="2"/>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800</w:t>
            </w:r>
          </w:p>
        </w:tc>
        <w:tc>
          <w:tcPr>
            <w:tcW w:w="445" w:type="pct"/>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900</w:t>
            </w:r>
          </w:p>
        </w:tc>
        <w:tc>
          <w:tcPr>
            <w:tcW w:w="999" w:type="pct"/>
            <w:gridSpan w:val="2"/>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700</w:t>
            </w:r>
          </w:p>
        </w:tc>
        <w:tc>
          <w:tcPr>
            <w:tcW w:w="446" w:type="pct"/>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800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72" w:type="pct"/>
            <w:vMerge w:val="continue"/>
            <w:vAlign w:val="center"/>
          </w:tcPr>
          <w:p>
            <w:pPr>
              <w:jc w:val="center"/>
              <w:rPr>
                <w:rFonts w:ascii="Times New Roman" w:hAnsi="Times New Roman" w:eastAsia="宋体" w:cs="Times New Roman"/>
                <w:sz w:val="18"/>
                <w:szCs w:val="22"/>
                <w:shd w:val="clear" w:color="auto" w:fill="FFFFFF"/>
              </w:rPr>
            </w:pPr>
          </w:p>
        </w:tc>
        <w:tc>
          <w:tcPr>
            <w:tcW w:w="463" w:type="pct"/>
            <w:vMerge w:val="continue"/>
            <w:vAlign w:val="center"/>
          </w:tcPr>
          <w:p>
            <w:pPr>
              <w:jc w:val="center"/>
              <w:rPr>
                <w:rFonts w:ascii="Times New Roman" w:hAnsi="Times New Roman" w:eastAsia="宋体" w:cs="Times New Roman"/>
                <w:sz w:val="18"/>
                <w:szCs w:val="22"/>
                <w:shd w:val="clear" w:color="auto" w:fill="FFFFFF"/>
              </w:rPr>
            </w:pPr>
          </w:p>
        </w:tc>
        <w:tc>
          <w:tcPr>
            <w:tcW w:w="641" w:type="pct"/>
            <w:vMerge w:val="continue"/>
            <w:vAlign w:val="center"/>
          </w:tcPr>
          <w:p>
            <w:pPr>
              <w:jc w:val="center"/>
              <w:rPr>
                <w:rFonts w:ascii="Times New Roman" w:hAnsi="Times New Roman" w:eastAsia="宋体" w:cs="Times New Roman"/>
                <w:sz w:val="18"/>
                <w:szCs w:val="22"/>
                <w:shd w:val="clear" w:color="auto" w:fill="FFFFFF"/>
              </w:rPr>
            </w:pPr>
          </w:p>
        </w:tc>
        <w:tc>
          <w:tcPr>
            <w:tcW w:w="582" w:type="pct"/>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丰水</w:t>
            </w:r>
          </w:p>
        </w:tc>
        <w:tc>
          <w:tcPr>
            <w:tcW w:w="1052" w:type="pct"/>
            <w:gridSpan w:val="2"/>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1100</w:t>
            </w:r>
          </w:p>
        </w:tc>
        <w:tc>
          <w:tcPr>
            <w:tcW w:w="445" w:type="pct"/>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1200</w:t>
            </w:r>
          </w:p>
        </w:tc>
        <w:tc>
          <w:tcPr>
            <w:tcW w:w="999" w:type="pct"/>
            <w:gridSpan w:val="2"/>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1000</w:t>
            </w:r>
          </w:p>
        </w:tc>
        <w:tc>
          <w:tcPr>
            <w:tcW w:w="446" w:type="pct"/>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1000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72" w:type="pct"/>
            <w:vMerge w:val="continue"/>
            <w:vAlign w:val="center"/>
          </w:tcPr>
          <w:p>
            <w:pPr>
              <w:jc w:val="center"/>
              <w:rPr>
                <w:rFonts w:ascii="Times New Roman" w:hAnsi="Times New Roman" w:eastAsia="宋体" w:cs="Times New Roman"/>
                <w:sz w:val="18"/>
                <w:szCs w:val="22"/>
                <w:shd w:val="clear" w:color="auto" w:fill="FFFFFF"/>
              </w:rPr>
            </w:pPr>
          </w:p>
        </w:tc>
        <w:tc>
          <w:tcPr>
            <w:tcW w:w="463" w:type="pct"/>
            <w:vMerge w:val="restart"/>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现有</w:t>
            </w:r>
          </w:p>
        </w:tc>
        <w:tc>
          <w:tcPr>
            <w:tcW w:w="641" w:type="pct"/>
            <w:vMerge w:val="restart"/>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15</w:t>
            </w:r>
          </w:p>
        </w:tc>
        <w:tc>
          <w:tcPr>
            <w:tcW w:w="582" w:type="pct"/>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平、枯水</w:t>
            </w:r>
          </w:p>
        </w:tc>
        <w:tc>
          <w:tcPr>
            <w:tcW w:w="500" w:type="pct"/>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800</w:t>
            </w:r>
          </w:p>
        </w:tc>
        <w:tc>
          <w:tcPr>
            <w:tcW w:w="552" w:type="pct"/>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900</w:t>
            </w:r>
          </w:p>
        </w:tc>
        <w:tc>
          <w:tcPr>
            <w:tcW w:w="445" w:type="pct"/>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1000</w:t>
            </w:r>
          </w:p>
        </w:tc>
        <w:tc>
          <w:tcPr>
            <w:tcW w:w="499" w:type="pct"/>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700</w:t>
            </w:r>
          </w:p>
        </w:tc>
        <w:tc>
          <w:tcPr>
            <w:tcW w:w="500" w:type="pct"/>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800</w:t>
            </w:r>
          </w:p>
        </w:tc>
        <w:tc>
          <w:tcPr>
            <w:tcW w:w="446" w:type="pct"/>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900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72" w:type="pct"/>
            <w:vMerge w:val="continue"/>
            <w:vAlign w:val="center"/>
          </w:tcPr>
          <w:p>
            <w:pPr>
              <w:jc w:val="center"/>
              <w:rPr>
                <w:rFonts w:ascii="Times New Roman" w:hAnsi="Times New Roman" w:eastAsia="宋体" w:cs="Times New Roman"/>
                <w:sz w:val="18"/>
                <w:szCs w:val="22"/>
                <w:shd w:val="clear" w:color="auto" w:fill="FFFFFF"/>
              </w:rPr>
            </w:pPr>
          </w:p>
        </w:tc>
        <w:tc>
          <w:tcPr>
            <w:tcW w:w="463" w:type="pct"/>
            <w:vMerge w:val="continue"/>
            <w:vAlign w:val="center"/>
          </w:tcPr>
          <w:p>
            <w:pPr>
              <w:jc w:val="center"/>
              <w:rPr>
                <w:rFonts w:ascii="Times New Roman" w:hAnsi="Times New Roman" w:eastAsia="宋体" w:cs="Times New Roman"/>
                <w:sz w:val="18"/>
                <w:szCs w:val="22"/>
                <w:shd w:val="clear" w:color="auto" w:fill="FFFFFF"/>
              </w:rPr>
            </w:pPr>
          </w:p>
        </w:tc>
        <w:tc>
          <w:tcPr>
            <w:tcW w:w="641" w:type="pct"/>
            <w:vMerge w:val="continue"/>
            <w:vAlign w:val="center"/>
          </w:tcPr>
          <w:p>
            <w:pPr>
              <w:jc w:val="center"/>
              <w:rPr>
                <w:rFonts w:ascii="Times New Roman" w:hAnsi="Times New Roman" w:eastAsia="宋体" w:cs="Times New Roman"/>
                <w:sz w:val="18"/>
                <w:szCs w:val="22"/>
                <w:shd w:val="clear" w:color="auto" w:fill="FFFFFF"/>
              </w:rPr>
            </w:pPr>
          </w:p>
        </w:tc>
        <w:tc>
          <w:tcPr>
            <w:tcW w:w="582" w:type="pct"/>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丰水</w:t>
            </w:r>
          </w:p>
        </w:tc>
        <w:tc>
          <w:tcPr>
            <w:tcW w:w="500" w:type="pct"/>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1100</w:t>
            </w:r>
          </w:p>
        </w:tc>
        <w:tc>
          <w:tcPr>
            <w:tcW w:w="552" w:type="pct"/>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1200</w:t>
            </w:r>
          </w:p>
        </w:tc>
        <w:tc>
          <w:tcPr>
            <w:tcW w:w="445" w:type="pct"/>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1300</w:t>
            </w:r>
          </w:p>
        </w:tc>
        <w:tc>
          <w:tcPr>
            <w:tcW w:w="499" w:type="pct"/>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1000</w:t>
            </w:r>
          </w:p>
        </w:tc>
        <w:tc>
          <w:tcPr>
            <w:tcW w:w="500" w:type="pct"/>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1100</w:t>
            </w:r>
          </w:p>
        </w:tc>
        <w:tc>
          <w:tcPr>
            <w:tcW w:w="446" w:type="pct"/>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1200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372" w:type="pct"/>
            <w:vMerge w:val="restart"/>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化工行业</w:t>
            </w:r>
          </w:p>
        </w:tc>
        <w:tc>
          <w:tcPr>
            <w:tcW w:w="463" w:type="pct"/>
            <w:vMerge w:val="restart"/>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新扩改</w:t>
            </w:r>
          </w:p>
        </w:tc>
        <w:tc>
          <w:tcPr>
            <w:tcW w:w="641" w:type="pct"/>
            <w:vMerge w:val="restart"/>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50</w:t>
            </w:r>
          </w:p>
        </w:tc>
        <w:tc>
          <w:tcPr>
            <w:tcW w:w="582" w:type="pct"/>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平、枯水</w:t>
            </w:r>
          </w:p>
        </w:tc>
        <w:tc>
          <w:tcPr>
            <w:tcW w:w="1052" w:type="pct"/>
            <w:gridSpan w:val="2"/>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350</w:t>
            </w:r>
          </w:p>
        </w:tc>
        <w:tc>
          <w:tcPr>
            <w:tcW w:w="445" w:type="pct"/>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400</w:t>
            </w:r>
          </w:p>
        </w:tc>
        <w:tc>
          <w:tcPr>
            <w:tcW w:w="999" w:type="pct"/>
            <w:gridSpan w:val="2"/>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300</w:t>
            </w:r>
          </w:p>
        </w:tc>
        <w:tc>
          <w:tcPr>
            <w:tcW w:w="446" w:type="pct"/>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350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72" w:type="pct"/>
            <w:vMerge w:val="continue"/>
            <w:vAlign w:val="center"/>
          </w:tcPr>
          <w:p>
            <w:pPr>
              <w:jc w:val="center"/>
              <w:rPr>
                <w:rFonts w:ascii="Times New Roman" w:hAnsi="Times New Roman" w:eastAsia="宋体" w:cs="Times New Roman"/>
                <w:sz w:val="18"/>
                <w:szCs w:val="22"/>
                <w:shd w:val="clear" w:color="auto" w:fill="FFFFFF"/>
              </w:rPr>
            </w:pPr>
          </w:p>
        </w:tc>
        <w:tc>
          <w:tcPr>
            <w:tcW w:w="463" w:type="pct"/>
            <w:vMerge w:val="continue"/>
            <w:vAlign w:val="center"/>
          </w:tcPr>
          <w:p>
            <w:pPr>
              <w:jc w:val="center"/>
              <w:rPr>
                <w:rFonts w:ascii="Times New Roman" w:hAnsi="Times New Roman" w:eastAsia="宋体" w:cs="Times New Roman"/>
                <w:sz w:val="18"/>
                <w:szCs w:val="22"/>
                <w:shd w:val="clear" w:color="auto" w:fill="FFFFFF"/>
              </w:rPr>
            </w:pPr>
          </w:p>
        </w:tc>
        <w:tc>
          <w:tcPr>
            <w:tcW w:w="641" w:type="pct"/>
            <w:vMerge w:val="continue"/>
            <w:vAlign w:val="center"/>
          </w:tcPr>
          <w:p>
            <w:pPr>
              <w:jc w:val="center"/>
              <w:rPr>
                <w:rFonts w:ascii="Times New Roman" w:hAnsi="Times New Roman" w:eastAsia="宋体" w:cs="Times New Roman"/>
                <w:sz w:val="18"/>
                <w:szCs w:val="22"/>
                <w:shd w:val="clear" w:color="auto" w:fill="FFFFFF"/>
              </w:rPr>
            </w:pPr>
          </w:p>
        </w:tc>
        <w:tc>
          <w:tcPr>
            <w:tcW w:w="582" w:type="pct"/>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丰水</w:t>
            </w:r>
          </w:p>
        </w:tc>
        <w:tc>
          <w:tcPr>
            <w:tcW w:w="1052" w:type="pct"/>
            <w:gridSpan w:val="2"/>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450</w:t>
            </w:r>
          </w:p>
        </w:tc>
        <w:tc>
          <w:tcPr>
            <w:tcW w:w="445" w:type="pct"/>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500</w:t>
            </w:r>
          </w:p>
        </w:tc>
        <w:tc>
          <w:tcPr>
            <w:tcW w:w="999" w:type="pct"/>
            <w:gridSpan w:val="2"/>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400</w:t>
            </w:r>
          </w:p>
        </w:tc>
        <w:tc>
          <w:tcPr>
            <w:tcW w:w="446" w:type="pct"/>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450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72" w:type="pct"/>
            <w:vMerge w:val="continue"/>
            <w:vAlign w:val="center"/>
          </w:tcPr>
          <w:p>
            <w:pPr>
              <w:jc w:val="center"/>
              <w:rPr>
                <w:rFonts w:ascii="Times New Roman" w:hAnsi="Times New Roman" w:eastAsia="宋体" w:cs="Times New Roman"/>
                <w:sz w:val="18"/>
                <w:szCs w:val="22"/>
                <w:shd w:val="clear" w:color="auto" w:fill="FFFFFF"/>
              </w:rPr>
            </w:pPr>
          </w:p>
        </w:tc>
        <w:tc>
          <w:tcPr>
            <w:tcW w:w="463" w:type="pct"/>
            <w:vMerge w:val="restart"/>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现有</w:t>
            </w:r>
          </w:p>
        </w:tc>
        <w:tc>
          <w:tcPr>
            <w:tcW w:w="641" w:type="pct"/>
            <w:vMerge w:val="restart"/>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60</w:t>
            </w:r>
          </w:p>
        </w:tc>
        <w:tc>
          <w:tcPr>
            <w:tcW w:w="582" w:type="pct"/>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平、枯水</w:t>
            </w:r>
          </w:p>
        </w:tc>
        <w:tc>
          <w:tcPr>
            <w:tcW w:w="500" w:type="pct"/>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350</w:t>
            </w:r>
          </w:p>
        </w:tc>
        <w:tc>
          <w:tcPr>
            <w:tcW w:w="552" w:type="pct"/>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400</w:t>
            </w:r>
          </w:p>
        </w:tc>
        <w:tc>
          <w:tcPr>
            <w:tcW w:w="445" w:type="pct"/>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450</w:t>
            </w:r>
          </w:p>
        </w:tc>
        <w:tc>
          <w:tcPr>
            <w:tcW w:w="499" w:type="pct"/>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300</w:t>
            </w:r>
          </w:p>
        </w:tc>
        <w:tc>
          <w:tcPr>
            <w:tcW w:w="500" w:type="pct"/>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350</w:t>
            </w:r>
          </w:p>
        </w:tc>
        <w:tc>
          <w:tcPr>
            <w:tcW w:w="446" w:type="pct"/>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400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72" w:type="pct"/>
            <w:vMerge w:val="continue"/>
            <w:vAlign w:val="center"/>
          </w:tcPr>
          <w:p>
            <w:pPr>
              <w:jc w:val="center"/>
              <w:rPr>
                <w:rFonts w:ascii="Times New Roman" w:hAnsi="Times New Roman" w:eastAsia="宋体" w:cs="Times New Roman"/>
                <w:sz w:val="18"/>
                <w:szCs w:val="22"/>
                <w:shd w:val="clear" w:color="auto" w:fill="FFFFFF"/>
              </w:rPr>
            </w:pPr>
          </w:p>
        </w:tc>
        <w:tc>
          <w:tcPr>
            <w:tcW w:w="463" w:type="pct"/>
            <w:vMerge w:val="continue"/>
            <w:vAlign w:val="center"/>
          </w:tcPr>
          <w:p>
            <w:pPr>
              <w:jc w:val="center"/>
              <w:rPr>
                <w:rFonts w:ascii="Times New Roman" w:hAnsi="Times New Roman" w:eastAsia="宋体" w:cs="Times New Roman"/>
                <w:sz w:val="18"/>
                <w:szCs w:val="22"/>
                <w:shd w:val="clear" w:color="auto" w:fill="FFFFFF"/>
              </w:rPr>
            </w:pPr>
          </w:p>
        </w:tc>
        <w:tc>
          <w:tcPr>
            <w:tcW w:w="641" w:type="pct"/>
            <w:vMerge w:val="continue"/>
            <w:vAlign w:val="center"/>
          </w:tcPr>
          <w:p>
            <w:pPr>
              <w:jc w:val="center"/>
              <w:rPr>
                <w:rFonts w:ascii="Times New Roman" w:hAnsi="Times New Roman" w:eastAsia="宋体" w:cs="Times New Roman"/>
                <w:sz w:val="18"/>
                <w:szCs w:val="22"/>
                <w:shd w:val="clear" w:color="auto" w:fill="FFFFFF"/>
              </w:rPr>
            </w:pPr>
          </w:p>
        </w:tc>
        <w:tc>
          <w:tcPr>
            <w:tcW w:w="582" w:type="pct"/>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丰水</w:t>
            </w:r>
          </w:p>
        </w:tc>
        <w:tc>
          <w:tcPr>
            <w:tcW w:w="500" w:type="pct"/>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500</w:t>
            </w:r>
          </w:p>
        </w:tc>
        <w:tc>
          <w:tcPr>
            <w:tcW w:w="552" w:type="pct"/>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550</w:t>
            </w:r>
          </w:p>
        </w:tc>
        <w:tc>
          <w:tcPr>
            <w:tcW w:w="445" w:type="pct"/>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600</w:t>
            </w:r>
          </w:p>
        </w:tc>
        <w:tc>
          <w:tcPr>
            <w:tcW w:w="499" w:type="pct"/>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450</w:t>
            </w:r>
          </w:p>
        </w:tc>
        <w:tc>
          <w:tcPr>
            <w:tcW w:w="500" w:type="pct"/>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500</w:t>
            </w:r>
          </w:p>
        </w:tc>
        <w:tc>
          <w:tcPr>
            <w:tcW w:w="446" w:type="pct"/>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550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372" w:type="pct"/>
            <w:vMerge w:val="restart"/>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其它行业</w:t>
            </w:r>
          </w:p>
        </w:tc>
        <w:tc>
          <w:tcPr>
            <w:tcW w:w="463" w:type="pct"/>
            <w:vMerge w:val="restart"/>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新扩改</w:t>
            </w:r>
          </w:p>
        </w:tc>
        <w:tc>
          <w:tcPr>
            <w:tcW w:w="641" w:type="pct"/>
            <w:vMerge w:val="restart"/>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参照国家污水综合排放标准或行业废水排放标准执行</w:t>
            </w:r>
          </w:p>
        </w:tc>
        <w:tc>
          <w:tcPr>
            <w:tcW w:w="582" w:type="pct"/>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平、枯水</w:t>
            </w:r>
          </w:p>
        </w:tc>
        <w:tc>
          <w:tcPr>
            <w:tcW w:w="1497" w:type="pct"/>
            <w:gridSpan w:val="3"/>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300</w:t>
            </w:r>
          </w:p>
        </w:tc>
        <w:tc>
          <w:tcPr>
            <w:tcW w:w="1445" w:type="pct"/>
            <w:gridSpan w:val="3"/>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250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72" w:type="pct"/>
            <w:vMerge w:val="continue"/>
            <w:vAlign w:val="center"/>
          </w:tcPr>
          <w:p>
            <w:pPr>
              <w:jc w:val="center"/>
              <w:rPr>
                <w:rFonts w:ascii="Times New Roman" w:hAnsi="Times New Roman" w:eastAsia="宋体" w:cs="Times New Roman"/>
                <w:sz w:val="18"/>
                <w:szCs w:val="22"/>
                <w:shd w:val="clear" w:color="auto" w:fill="FFFFFF"/>
              </w:rPr>
            </w:pPr>
          </w:p>
        </w:tc>
        <w:tc>
          <w:tcPr>
            <w:tcW w:w="463" w:type="pct"/>
            <w:vMerge w:val="continue"/>
            <w:vAlign w:val="center"/>
          </w:tcPr>
          <w:p>
            <w:pPr>
              <w:jc w:val="center"/>
              <w:rPr>
                <w:rFonts w:ascii="Times New Roman" w:hAnsi="Times New Roman" w:eastAsia="宋体" w:cs="Times New Roman"/>
                <w:sz w:val="18"/>
                <w:szCs w:val="22"/>
                <w:shd w:val="clear" w:color="auto" w:fill="FFFFFF"/>
              </w:rPr>
            </w:pPr>
          </w:p>
        </w:tc>
        <w:tc>
          <w:tcPr>
            <w:tcW w:w="641" w:type="pct"/>
            <w:vMerge w:val="continue"/>
            <w:vAlign w:val="center"/>
          </w:tcPr>
          <w:p>
            <w:pPr>
              <w:jc w:val="center"/>
              <w:rPr>
                <w:rFonts w:ascii="Times New Roman" w:hAnsi="Times New Roman" w:eastAsia="宋体" w:cs="Times New Roman"/>
                <w:sz w:val="18"/>
                <w:szCs w:val="22"/>
                <w:shd w:val="clear" w:color="auto" w:fill="FFFFFF"/>
              </w:rPr>
            </w:pPr>
          </w:p>
        </w:tc>
        <w:tc>
          <w:tcPr>
            <w:tcW w:w="582" w:type="pct"/>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丰水</w:t>
            </w:r>
          </w:p>
        </w:tc>
        <w:tc>
          <w:tcPr>
            <w:tcW w:w="1497" w:type="pct"/>
            <w:gridSpan w:val="3"/>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350</w:t>
            </w:r>
          </w:p>
        </w:tc>
        <w:tc>
          <w:tcPr>
            <w:tcW w:w="1445" w:type="pct"/>
            <w:gridSpan w:val="3"/>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300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72" w:type="pct"/>
            <w:vMerge w:val="continue"/>
            <w:vAlign w:val="center"/>
          </w:tcPr>
          <w:p>
            <w:pPr>
              <w:jc w:val="center"/>
              <w:rPr>
                <w:rFonts w:ascii="Times New Roman" w:hAnsi="Times New Roman" w:eastAsia="宋体" w:cs="Times New Roman"/>
                <w:sz w:val="18"/>
                <w:szCs w:val="22"/>
                <w:shd w:val="clear" w:color="auto" w:fill="FFFFFF"/>
              </w:rPr>
            </w:pPr>
          </w:p>
        </w:tc>
        <w:tc>
          <w:tcPr>
            <w:tcW w:w="463" w:type="pct"/>
            <w:vMerge w:val="restart"/>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现有</w:t>
            </w:r>
          </w:p>
        </w:tc>
        <w:tc>
          <w:tcPr>
            <w:tcW w:w="641" w:type="pct"/>
            <w:vMerge w:val="continue"/>
            <w:vAlign w:val="center"/>
          </w:tcPr>
          <w:p>
            <w:pPr>
              <w:jc w:val="center"/>
              <w:rPr>
                <w:rFonts w:ascii="Times New Roman" w:hAnsi="Times New Roman" w:eastAsia="宋体" w:cs="Times New Roman"/>
                <w:sz w:val="18"/>
                <w:szCs w:val="22"/>
                <w:shd w:val="clear" w:color="auto" w:fill="FFFFFF"/>
              </w:rPr>
            </w:pPr>
          </w:p>
        </w:tc>
        <w:tc>
          <w:tcPr>
            <w:tcW w:w="582" w:type="pct"/>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平、枯水</w:t>
            </w:r>
          </w:p>
        </w:tc>
        <w:tc>
          <w:tcPr>
            <w:tcW w:w="1497" w:type="pct"/>
            <w:gridSpan w:val="3"/>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350</w:t>
            </w:r>
          </w:p>
        </w:tc>
        <w:tc>
          <w:tcPr>
            <w:tcW w:w="1445" w:type="pct"/>
            <w:gridSpan w:val="3"/>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300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72" w:type="pct"/>
            <w:vMerge w:val="continue"/>
            <w:vAlign w:val="center"/>
          </w:tcPr>
          <w:p>
            <w:pPr>
              <w:jc w:val="center"/>
              <w:rPr>
                <w:rFonts w:ascii="Times New Roman" w:hAnsi="Times New Roman" w:eastAsia="宋体" w:cs="Times New Roman"/>
                <w:sz w:val="18"/>
                <w:szCs w:val="22"/>
                <w:shd w:val="clear" w:color="auto" w:fill="FFFFFF"/>
              </w:rPr>
            </w:pPr>
          </w:p>
        </w:tc>
        <w:tc>
          <w:tcPr>
            <w:tcW w:w="463" w:type="pct"/>
            <w:vMerge w:val="continue"/>
            <w:vAlign w:val="center"/>
          </w:tcPr>
          <w:p>
            <w:pPr>
              <w:jc w:val="center"/>
              <w:rPr>
                <w:rFonts w:ascii="Times New Roman" w:hAnsi="Times New Roman" w:eastAsia="宋体" w:cs="Times New Roman"/>
                <w:sz w:val="18"/>
                <w:szCs w:val="22"/>
                <w:shd w:val="clear" w:color="auto" w:fill="FFFFFF"/>
              </w:rPr>
            </w:pPr>
          </w:p>
        </w:tc>
        <w:tc>
          <w:tcPr>
            <w:tcW w:w="641" w:type="pct"/>
            <w:vMerge w:val="continue"/>
            <w:vAlign w:val="center"/>
          </w:tcPr>
          <w:p>
            <w:pPr>
              <w:jc w:val="center"/>
              <w:rPr>
                <w:rFonts w:ascii="Times New Roman" w:hAnsi="Times New Roman" w:eastAsia="宋体" w:cs="Times New Roman"/>
                <w:sz w:val="18"/>
                <w:szCs w:val="22"/>
                <w:shd w:val="clear" w:color="auto" w:fill="FFFFFF"/>
              </w:rPr>
            </w:pPr>
          </w:p>
        </w:tc>
        <w:tc>
          <w:tcPr>
            <w:tcW w:w="582" w:type="pct"/>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丰水</w:t>
            </w:r>
          </w:p>
        </w:tc>
        <w:tc>
          <w:tcPr>
            <w:tcW w:w="1497" w:type="pct"/>
            <w:gridSpan w:val="3"/>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400</w:t>
            </w:r>
          </w:p>
        </w:tc>
        <w:tc>
          <w:tcPr>
            <w:tcW w:w="1445" w:type="pct"/>
            <w:gridSpan w:val="3"/>
            <w:vAlign w:val="center"/>
          </w:tcPr>
          <w:p>
            <w:pPr>
              <w:jc w:val="center"/>
              <w:rPr>
                <w:rFonts w:ascii="Times New Roman" w:hAnsi="Times New Roman" w:eastAsia="宋体" w:cs="Times New Roman"/>
                <w:sz w:val="18"/>
                <w:szCs w:val="22"/>
                <w:shd w:val="clear" w:color="auto" w:fill="FFFFFF"/>
              </w:rPr>
            </w:pPr>
            <w:r>
              <w:rPr>
                <w:rFonts w:ascii="Times New Roman" w:hAnsi="Times New Roman" w:eastAsia="宋体" w:cs="Times New Roman"/>
                <w:sz w:val="18"/>
                <w:szCs w:val="22"/>
                <w:shd w:val="clear" w:color="auto" w:fill="FFFFFF"/>
              </w:rPr>
              <w:t>350</w:t>
            </w:r>
          </w:p>
        </w:tc>
      </w:tr>
    </w:tbl>
    <w:p>
      <w:pPr>
        <w:keepNext/>
        <w:keepLines/>
        <w:spacing w:before="120" w:after="120" w:line="415" w:lineRule="auto"/>
        <w:jc w:val="left"/>
        <w:outlineLvl w:val="1"/>
        <w:rPr>
          <w:rFonts w:ascii="Times New Roman" w:hAnsi="Times New Roman" w:eastAsia="宋体" w:cs="Times New Roman"/>
          <w:b/>
          <w:bCs/>
          <w:sz w:val="30"/>
          <w:szCs w:val="32"/>
        </w:rPr>
      </w:pPr>
      <w:bookmarkStart w:id="59" w:name="_Toc76386138"/>
      <w:r>
        <w:rPr>
          <w:rFonts w:hint="eastAsia" w:ascii="Times New Roman" w:hAnsi="Times New Roman" w:eastAsia="宋体" w:cs="Times New Roman"/>
          <w:b/>
          <w:bCs/>
          <w:sz w:val="30"/>
          <w:szCs w:val="32"/>
        </w:rPr>
        <w:t>7.2与国外相关标准的对比</w:t>
      </w:r>
      <w:bookmarkEnd w:id="59"/>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与美国、欧盟、德国、日本、世界银行等国家或地区及国际组织的排放标准进行比较，如表7-4和表7-5所示。</w:t>
      </w:r>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总体来看，本标准中 pH 值与其他国家、地区及国际组织的排放限值相当，色度宽于新加坡，生化需氧量、氨氮、总氮和氯化物基本相当或略宽，化学需氧量、悬浮物和总磷略严。</w:t>
      </w:r>
    </w:p>
    <w:p>
      <w:pPr>
        <w:jc w:val="center"/>
        <w:rPr>
          <w:rFonts w:ascii="Times New Roman" w:hAnsi="Times New Roman" w:eastAsia="宋体" w:cs="Times New Roman"/>
          <w:b/>
          <w:bCs/>
          <w:sz w:val="18"/>
          <w:szCs w:val="32"/>
        </w:rPr>
      </w:pPr>
      <w:r>
        <w:rPr>
          <w:rFonts w:ascii="Times New Roman" w:hAnsi="Times New Roman" w:eastAsia="宋体" w:cs="Times New Roman"/>
          <w:b/>
          <w:bCs/>
          <w:sz w:val="18"/>
          <w:szCs w:val="32"/>
        </w:rPr>
        <w:t>表</w:t>
      </w:r>
      <w:r>
        <w:rPr>
          <w:rFonts w:hint="eastAsia" w:ascii="Times New Roman" w:hAnsi="Times New Roman" w:eastAsia="宋体" w:cs="Times New Roman"/>
          <w:b/>
          <w:bCs/>
          <w:sz w:val="18"/>
          <w:szCs w:val="32"/>
        </w:rPr>
        <w:t xml:space="preserve">7-4 </w:t>
      </w:r>
      <w:r>
        <w:rPr>
          <w:rFonts w:ascii="Times New Roman" w:hAnsi="Times New Roman" w:eastAsia="宋体" w:cs="Times New Roman"/>
          <w:b/>
          <w:bCs/>
          <w:sz w:val="18"/>
          <w:szCs w:val="32"/>
        </w:rPr>
        <w:t>国外</w:t>
      </w:r>
      <w:r>
        <w:rPr>
          <w:rFonts w:hint="eastAsia" w:ascii="Times New Roman" w:hAnsi="Times New Roman" w:eastAsia="宋体" w:cs="Times New Roman"/>
          <w:b/>
          <w:bCs/>
          <w:sz w:val="18"/>
          <w:szCs w:val="32"/>
        </w:rPr>
        <w:t>相关排放标准</w:t>
      </w:r>
    </w:p>
    <w:tbl>
      <w:tblPr>
        <w:tblStyle w:val="25"/>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55"/>
        <w:gridCol w:w="1466"/>
        <w:gridCol w:w="940"/>
        <w:gridCol w:w="759"/>
        <w:gridCol w:w="1075"/>
        <w:gridCol w:w="1075"/>
        <w:gridCol w:w="1076"/>
        <w:gridCol w:w="107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5" w:hRule="atLeast"/>
        </w:trPr>
        <w:tc>
          <w:tcPr>
            <w:tcW w:w="776" w:type="pct"/>
            <w:shd w:val="clear" w:color="auto" w:fill="auto"/>
            <w:vAlign w:val="center"/>
          </w:tcPr>
          <w:p>
            <w:pPr>
              <w:jc w:val="center"/>
              <w:rPr>
                <w:rFonts w:ascii="Times New Roman" w:hAnsi="Times New Roman" w:eastAsia="宋体" w:cs="Times New Roman"/>
                <w:b/>
                <w:kern w:val="0"/>
                <w:sz w:val="18"/>
                <w:szCs w:val="22"/>
              </w:rPr>
            </w:pPr>
            <w:r>
              <w:rPr>
                <w:rFonts w:hint="eastAsia" w:ascii="Times New Roman" w:hAnsi="Times New Roman" w:eastAsia="宋体" w:cs="Times New Roman"/>
                <w:b/>
                <w:kern w:val="0"/>
                <w:sz w:val="18"/>
                <w:szCs w:val="22"/>
              </w:rPr>
              <w:t>相关标准</w:t>
            </w:r>
          </w:p>
        </w:tc>
        <w:tc>
          <w:tcPr>
            <w:tcW w:w="1017" w:type="pct"/>
            <w:shd w:val="clear" w:color="auto" w:fill="auto"/>
            <w:vAlign w:val="center"/>
          </w:tcPr>
          <w:p>
            <w:pPr>
              <w:jc w:val="center"/>
              <w:rPr>
                <w:rFonts w:ascii="Times New Roman" w:hAnsi="Times New Roman" w:eastAsia="宋体" w:cs="Times New Roman"/>
                <w:b/>
                <w:kern w:val="0"/>
                <w:sz w:val="18"/>
                <w:szCs w:val="22"/>
              </w:rPr>
            </w:pPr>
            <w:r>
              <w:rPr>
                <w:rFonts w:hint="eastAsia" w:ascii="Times New Roman" w:hAnsi="Times New Roman" w:eastAsia="宋体" w:cs="Times New Roman"/>
                <w:b/>
                <w:kern w:val="0"/>
                <w:sz w:val="18"/>
                <w:szCs w:val="22"/>
              </w:rPr>
              <w:t>执行标准</w:t>
            </w:r>
          </w:p>
        </w:tc>
        <w:tc>
          <w:tcPr>
            <w:tcW w:w="595" w:type="pct"/>
            <w:shd w:val="clear" w:color="auto" w:fill="auto"/>
            <w:vAlign w:val="center"/>
          </w:tcPr>
          <w:p>
            <w:pPr>
              <w:jc w:val="center"/>
              <w:rPr>
                <w:rFonts w:ascii="Times New Roman" w:hAnsi="Times New Roman" w:eastAsia="宋体" w:cs="Times New Roman"/>
                <w:b/>
                <w:kern w:val="0"/>
                <w:sz w:val="18"/>
                <w:szCs w:val="22"/>
              </w:rPr>
            </w:pPr>
            <w:r>
              <w:rPr>
                <w:rFonts w:ascii="Times New Roman" w:hAnsi="Times New Roman" w:eastAsia="宋体" w:cs="Times New Roman"/>
                <w:b/>
                <w:kern w:val="0"/>
                <w:sz w:val="18"/>
                <w:szCs w:val="22"/>
              </w:rPr>
              <w:t>pH</w:t>
            </w:r>
            <w:r>
              <w:rPr>
                <w:rFonts w:hint="eastAsia" w:ascii="Times New Roman" w:hAnsi="Times New Roman" w:eastAsia="宋体" w:cs="Times New Roman"/>
                <w:b/>
                <w:kern w:val="0"/>
                <w:sz w:val="18"/>
                <w:szCs w:val="22"/>
              </w:rPr>
              <w:t>值</w:t>
            </w:r>
          </w:p>
        </w:tc>
        <w:tc>
          <w:tcPr>
            <w:tcW w:w="519" w:type="pct"/>
            <w:shd w:val="clear" w:color="auto" w:fill="auto"/>
            <w:vAlign w:val="center"/>
          </w:tcPr>
          <w:p>
            <w:pPr>
              <w:jc w:val="center"/>
              <w:rPr>
                <w:rFonts w:ascii="Times New Roman" w:hAnsi="Times New Roman" w:eastAsia="宋体" w:cs="Times New Roman"/>
                <w:b/>
                <w:kern w:val="0"/>
                <w:sz w:val="18"/>
                <w:szCs w:val="22"/>
              </w:rPr>
            </w:pPr>
            <w:r>
              <w:rPr>
                <w:rFonts w:hint="eastAsia" w:ascii="Times New Roman" w:hAnsi="Times New Roman" w:eastAsia="宋体" w:cs="Times New Roman"/>
                <w:b/>
                <w:kern w:val="0"/>
                <w:sz w:val="18"/>
                <w:szCs w:val="22"/>
              </w:rPr>
              <w:t>色度（倍）</w:t>
            </w:r>
          </w:p>
        </w:tc>
        <w:tc>
          <w:tcPr>
            <w:tcW w:w="601" w:type="pct"/>
            <w:shd w:val="clear" w:color="auto" w:fill="auto"/>
            <w:vAlign w:val="center"/>
          </w:tcPr>
          <w:p>
            <w:pPr>
              <w:jc w:val="center"/>
              <w:rPr>
                <w:rFonts w:ascii="Times New Roman" w:hAnsi="Times New Roman" w:eastAsia="宋体" w:cs="Times New Roman"/>
                <w:b/>
                <w:kern w:val="0"/>
                <w:sz w:val="18"/>
                <w:szCs w:val="22"/>
              </w:rPr>
            </w:pPr>
            <w:r>
              <w:rPr>
                <w:rFonts w:ascii="Times New Roman" w:hAnsi="Times New Roman" w:eastAsia="宋体" w:cs="Times New Roman"/>
                <w:b/>
                <w:kern w:val="0"/>
                <w:sz w:val="18"/>
                <w:szCs w:val="22"/>
              </w:rPr>
              <w:t>COD</w:t>
            </w:r>
            <w:r>
              <w:rPr>
                <w:rFonts w:ascii="Times New Roman" w:hAnsi="Times New Roman" w:eastAsia="宋体" w:cs="Times New Roman"/>
                <w:b/>
                <w:kern w:val="0"/>
                <w:sz w:val="18"/>
                <w:szCs w:val="22"/>
                <w:vertAlign w:val="subscript"/>
              </w:rPr>
              <w:t>Cr</w:t>
            </w:r>
            <w:r>
              <w:rPr>
                <w:rFonts w:hint="eastAsia" w:ascii="Times New Roman" w:hAnsi="Times New Roman" w:eastAsia="宋体" w:cs="Times New Roman"/>
                <w:b/>
                <w:kern w:val="0"/>
                <w:sz w:val="18"/>
                <w:szCs w:val="22"/>
              </w:rPr>
              <w:t>（</w:t>
            </w:r>
            <w:r>
              <w:rPr>
                <w:rFonts w:ascii="Times New Roman" w:hAnsi="Times New Roman" w:eastAsia="宋体" w:cs="Times New Roman"/>
                <w:b/>
                <w:kern w:val="0"/>
                <w:sz w:val="18"/>
                <w:szCs w:val="22"/>
              </w:rPr>
              <w:t>mg/L</w:t>
            </w:r>
            <w:r>
              <w:rPr>
                <w:rFonts w:hint="eastAsia" w:ascii="Times New Roman" w:hAnsi="Times New Roman" w:eastAsia="宋体" w:cs="Times New Roman"/>
                <w:b/>
                <w:kern w:val="0"/>
                <w:sz w:val="18"/>
                <w:szCs w:val="22"/>
              </w:rPr>
              <w:t>）</w:t>
            </w:r>
          </w:p>
        </w:tc>
        <w:tc>
          <w:tcPr>
            <w:tcW w:w="548" w:type="pct"/>
            <w:shd w:val="clear" w:color="auto" w:fill="auto"/>
            <w:vAlign w:val="center"/>
          </w:tcPr>
          <w:p>
            <w:pPr>
              <w:jc w:val="center"/>
              <w:rPr>
                <w:rFonts w:ascii="Times New Roman" w:hAnsi="Times New Roman" w:eastAsia="宋体" w:cs="Times New Roman"/>
                <w:b/>
                <w:kern w:val="0"/>
                <w:sz w:val="18"/>
                <w:szCs w:val="22"/>
              </w:rPr>
            </w:pPr>
            <w:r>
              <w:rPr>
                <w:rFonts w:ascii="Times New Roman" w:hAnsi="Times New Roman" w:eastAsia="宋体" w:cs="Times New Roman"/>
                <w:b/>
                <w:kern w:val="0"/>
                <w:sz w:val="18"/>
                <w:szCs w:val="22"/>
              </w:rPr>
              <w:t>NH</w:t>
            </w:r>
            <w:r>
              <w:rPr>
                <w:rFonts w:ascii="Times New Roman" w:hAnsi="Times New Roman" w:eastAsia="宋体" w:cs="Times New Roman"/>
                <w:b/>
                <w:kern w:val="0"/>
                <w:sz w:val="18"/>
                <w:szCs w:val="22"/>
                <w:vertAlign w:val="subscript"/>
              </w:rPr>
              <w:t>3</w:t>
            </w:r>
            <w:r>
              <w:rPr>
                <w:rFonts w:ascii="Times New Roman" w:hAnsi="Times New Roman" w:eastAsia="宋体" w:cs="Times New Roman"/>
                <w:b/>
                <w:kern w:val="0"/>
                <w:sz w:val="18"/>
                <w:szCs w:val="22"/>
              </w:rPr>
              <w:t>-N</w:t>
            </w:r>
            <w:r>
              <w:rPr>
                <w:rFonts w:hint="eastAsia" w:ascii="Times New Roman" w:hAnsi="Times New Roman" w:eastAsia="宋体" w:cs="Times New Roman"/>
                <w:b/>
                <w:kern w:val="0"/>
                <w:sz w:val="18"/>
                <w:szCs w:val="22"/>
              </w:rPr>
              <w:t>（</w:t>
            </w:r>
            <w:r>
              <w:rPr>
                <w:rFonts w:ascii="Times New Roman" w:hAnsi="Times New Roman" w:eastAsia="宋体" w:cs="Times New Roman"/>
                <w:b/>
                <w:kern w:val="0"/>
                <w:sz w:val="18"/>
                <w:szCs w:val="22"/>
              </w:rPr>
              <w:t>mg/L</w:t>
            </w:r>
            <w:r>
              <w:rPr>
                <w:rFonts w:hint="eastAsia" w:ascii="Times New Roman" w:hAnsi="Times New Roman" w:eastAsia="宋体" w:cs="Times New Roman"/>
                <w:b/>
                <w:kern w:val="0"/>
                <w:sz w:val="18"/>
                <w:szCs w:val="22"/>
              </w:rPr>
              <w:t>）</w:t>
            </w:r>
          </w:p>
        </w:tc>
        <w:tc>
          <w:tcPr>
            <w:tcW w:w="548" w:type="pct"/>
            <w:shd w:val="clear" w:color="auto" w:fill="auto"/>
            <w:vAlign w:val="center"/>
          </w:tcPr>
          <w:p>
            <w:pPr>
              <w:jc w:val="center"/>
              <w:rPr>
                <w:rFonts w:ascii="Times New Roman" w:hAnsi="Times New Roman" w:eastAsia="宋体" w:cs="Times New Roman"/>
                <w:b/>
                <w:kern w:val="0"/>
                <w:sz w:val="18"/>
                <w:szCs w:val="22"/>
              </w:rPr>
            </w:pPr>
            <w:r>
              <w:rPr>
                <w:rFonts w:ascii="Times New Roman" w:hAnsi="Times New Roman" w:eastAsia="宋体" w:cs="Times New Roman"/>
                <w:b/>
                <w:kern w:val="0"/>
                <w:sz w:val="18"/>
                <w:szCs w:val="22"/>
              </w:rPr>
              <w:t>TN</w:t>
            </w:r>
            <w:r>
              <w:rPr>
                <w:rFonts w:hint="eastAsia" w:ascii="Times New Roman" w:hAnsi="Times New Roman" w:eastAsia="宋体" w:cs="Times New Roman"/>
                <w:b/>
                <w:kern w:val="0"/>
                <w:sz w:val="18"/>
                <w:szCs w:val="22"/>
              </w:rPr>
              <w:t>（</w:t>
            </w:r>
            <w:r>
              <w:rPr>
                <w:rFonts w:ascii="Times New Roman" w:hAnsi="Times New Roman" w:eastAsia="宋体" w:cs="Times New Roman"/>
                <w:b/>
                <w:kern w:val="0"/>
                <w:sz w:val="18"/>
                <w:szCs w:val="22"/>
              </w:rPr>
              <w:t>mg/L</w:t>
            </w:r>
            <w:r>
              <w:rPr>
                <w:rFonts w:hint="eastAsia" w:ascii="Times New Roman" w:hAnsi="Times New Roman" w:eastAsia="宋体" w:cs="Times New Roman"/>
                <w:b/>
                <w:kern w:val="0"/>
                <w:sz w:val="18"/>
                <w:szCs w:val="22"/>
              </w:rPr>
              <w:t>）</w:t>
            </w:r>
          </w:p>
        </w:tc>
        <w:tc>
          <w:tcPr>
            <w:tcW w:w="395" w:type="pct"/>
            <w:shd w:val="clear" w:color="auto" w:fill="auto"/>
            <w:vAlign w:val="center"/>
          </w:tcPr>
          <w:p>
            <w:pPr>
              <w:jc w:val="center"/>
              <w:rPr>
                <w:rFonts w:ascii="Times New Roman" w:hAnsi="Times New Roman" w:eastAsia="宋体" w:cs="Times New Roman"/>
                <w:b/>
                <w:kern w:val="0"/>
                <w:sz w:val="18"/>
                <w:szCs w:val="22"/>
              </w:rPr>
            </w:pPr>
            <w:r>
              <w:rPr>
                <w:rFonts w:ascii="Times New Roman" w:hAnsi="Times New Roman" w:eastAsia="宋体" w:cs="Times New Roman"/>
                <w:b/>
                <w:kern w:val="0"/>
                <w:sz w:val="18"/>
                <w:szCs w:val="22"/>
              </w:rPr>
              <w:t>TP</w:t>
            </w:r>
            <w:r>
              <w:rPr>
                <w:rFonts w:hint="eastAsia" w:ascii="Times New Roman" w:hAnsi="Times New Roman" w:eastAsia="宋体" w:cs="Times New Roman"/>
                <w:b/>
                <w:kern w:val="0"/>
                <w:sz w:val="18"/>
                <w:szCs w:val="22"/>
              </w:rPr>
              <w:t>（</w:t>
            </w:r>
            <w:r>
              <w:rPr>
                <w:rFonts w:ascii="Times New Roman" w:hAnsi="Times New Roman" w:eastAsia="宋体" w:cs="Times New Roman"/>
                <w:b/>
                <w:kern w:val="0"/>
                <w:sz w:val="18"/>
                <w:szCs w:val="22"/>
              </w:rPr>
              <w:t>mg/L</w:t>
            </w:r>
            <w:r>
              <w:rPr>
                <w:rFonts w:hint="eastAsia" w:ascii="Times New Roman" w:hAnsi="Times New Roman" w:eastAsia="宋体" w:cs="Times New Roman"/>
                <w:b/>
                <w:kern w:val="0"/>
                <w:sz w:val="18"/>
                <w:szCs w:val="22"/>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7" w:hRule="atLeast"/>
        </w:trPr>
        <w:tc>
          <w:tcPr>
            <w:tcW w:w="776" w:type="pct"/>
            <w:vMerge w:val="restar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美国</w:t>
            </w:r>
          </w:p>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单位kg/t产品</w:t>
            </w:r>
          </w:p>
        </w:tc>
        <w:tc>
          <w:tcPr>
            <w:tcW w:w="1017"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水果、蔬菜罐头</w:t>
            </w:r>
          </w:p>
        </w:tc>
        <w:tc>
          <w:tcPr>
            <w:tcW w:w="595" w:type="pct"/>
            <w:shd w:val="clear" w:color="auto" w:fill="auto"/>
            <w:vAlign w:val="center"/>
          </w:tcPr>
          <w:p>
            <w:pPr>
              <w:jc w:val="center"/>
              <w:rPr>
                <w:rFonts w:ascii="Times New Roman" w:hAnsi="Times New Roman" w:eastAsia="宋体" w:cs="Times New Roman"/>
                <w:kern w:val="0"/>
                <w:sz w:val="18"/>
                <w:szCs w:val="22"/>
              </w:rPr>
            </w:pPr>
            <w:r>
              <w:rPr>
                <w:rFonts w:ascii="Times New Roman" w:hAnsi="Times New Roman" w:eastAsia="宋体" w:cs="Times New Roman"/>
                <w:kern w:val="0"/>
                <w:sz w:val="18"/>
                <w:szCs w:val="22"/>
              </w:rPr>
              <w:t>6.5~9.5</w:t>
            </w:r>
          </w:p>
        </w:tc>
        <w:tc>
          <w:tcPr>
            <w:tcW w:w="519" w:type="pct"/>
            <w:shd w:val="clear" w:color="auto" w:fill="auto"/>
            <w:vAlign w:val="center"/>
          </w:tcPr>
          <w:p>
            <w:pPr>
              <w:jc w:val="center"/>
              <w:rPr>
                <w:rFonts w:ascii="Times New Roman" w:hAnsi="Times New Roman" w:eastAsia="宋体" w:cs="Times New Roman"/>
                <w:kern w:val="0"/>
                <w:sz w:val="18"/>
                <w:szCs w:val="22"/>
              </w:rPr>
            </w:pPr>
          </w:p>
        </w:tc>
        <w:tc>
          <w:tcPr>
            <w:tcW w:w="601" w:type="pct"/>
            <w:shd w:val="clear" w:color="auto" w:fill="auto"/>
            <w:vAlign w:val="center"/>
          </w:tcPr>
          <w:p>
            <w:pPr>
              <w:jc w:val="center"/>
              <w:rPr>
                <w:rFonts w:ascii="Times New Roman" w:hAnsi="Times New Roman" w:eastAsia="宋体" w:cs="Times New Roman"/>
                <w:kern w:val="0"/>
                <w:sz w:val="18"/>
                <w:szCs w:val="22"/>
              </w:rPr>
            </w:pPr>
          </w:p>
        </w:tc>
        <w:tc>
          <w:tcPr>
            <w:tcW w:w="548" w:type="pct"/>
            <w:shd w:val="clear" w:color="auto" w:fill="auto"/>
            <w:vAlign w:val="center"/>
          </w:tcPr>
          <w:p>
            <w:pPr>
              <w:jc w:val="center"/>
              <w:rPr>
                <w:rFonts w:ascii="Times New Roman" w:hAnsi="Times New Roman" w:eastAsia="宋体" w:cs="Times New Roman"/>
                <w:kern w:val="0"/>
                <w:sz w:val="18"/>
                <w:szCs w:val="22"/>
              </w:rPr>
            </w:pPr>
          </w:p>
        </w:tc>
        <w:tc>
          <w:tcPr>
            <w:tcW w:w="548" w:type="pct"/>
            <w:shd w:val="clear" w:color="auto" w:fill="auto"/>
            <w:vAlign w:val="center"/>
          </w:tcPr>
          <w:p>
            <w:pPr>
              <w:jc w:val="center"/>
              <w:rPr>
                <w:rFonts w:ascii="Times New Roman" w:hAnsi="Times New Roman" w:eastAsia="宋体" w:cs="Times New Roman"/>
                <w:kern w:val="0"/>
                <w:sz w:val="18"/>
                <w:szCs w:val="22"/>
              </w:rPr>
            </w:pPr>
          </w:p>
        </w:tc>
        <w:tc>
          <w:tcPr>
            <w:tcW w:w="395" w:type="pct"/>
            <w:shd w:val="clear" w:color="auto" w:fill="auto"/>
            <w:vAlign w:val="center"/>
          </w:tcPr>
          <w:p>
            <w:pPr>
              <w:jc w:val="center"/>
              <w:rPr>
                <w:rFonts w:ascii="Times New Roman" w:hAnsi="Times New Roman" w:eastAsia="宋体" w:cs="Times New Roman"/>
                <w:kern w:val="0"/>
                <w:sz w:val="18"/>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1" w:hRule="atLeast"/>
        </w:trPr>
        <w:tc>
          <w:tcPr>
            <w:tcW w:w="776" w:type="pct"/>
            <w:vMerge w:val="continue"/>
            <w:vAlign w:val="center"/>
          </w:tcPr>
          <w:p>
            <w:pPr>
              <w:jc w:val="center"/>
              <w:rPr>
                <w:rFonts w:ascii="Times New Roman" w:hAnsi="Times New Roman" w:eastAsia="宋体" w:cs="Times New Roman"/>
                <w:kern w:val="0"/>
                <w:sz w:val="18"/>
                <w:szCs w:val="22"/>
              </w:rPr>
            </w:pPr>
          </w:p>
        </w:tc>
        <w:tc>
          <w:tcPr>
            <w:tcW w:w="1017"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水产品罐头</w:t>
            </w:r>
          </w:p>
        </w:tc>
        <w:tc>
          <w:tcPr>
            <w:tcW w:w="595" w:type="pct"/>
            <w:shd w:val="clear" w:color="auto" w:fill="auto"/>
            <w:vAlign w:val="center"/>
          </w:tcPr>
          <w:p>
            <w:pPr>
              <w:jc w:val="center"/>
              <w:rPr>
                <w:rFonts w:ascii="Times New Roman" w:hAnsi="Times New Roman" w:eastAsia="宋体" w:cs="Times New Roman"/>
                <w:kern w:val="0"/>
                <w:sz w:val="18"/>
                <w:szCs w:val="22"/>
              </w:rPr>
            </w:pPr>
            <w:r>
              <w:rPr>
                <w:rFonts w:ascii="Times New Roman" w:hAnsi="Times New Roman" w:eastAsia="宋体" w:cs="Times New Roman"/>
                <w:kern w:val="0"/>
                <w:sz w:val="18"/>
                <w:szCs w:val="22"/>
              </w:rPr>
              <w:t>6~9</w:t>
            </w:r>
          </w:p>
        </w:tc>
        <w:tc>
          <w:tcPr>
            <w:tcW w:w="519" w:type="pct"/>
            <w:shd w:val="clear" w:color="auto" w:fill="auto"/>
            <w:vAlign w:val="center"/>
          </w:tcPr>
          <w:p>
            <w:pPr>
              <w:jc w:val="center"/>
              <w:rPr>
                <w:rFonts w:ascii="Times New Roman" w:hAnsi="Times New Roman" w:eastAsia="宋体" w:cs="Times New Roman"/>
                <w:kern w:val="0"/>
                <w:sz w:val="18"/>
                <w:szCs w:val="22"/>
              </w:rPr>
            </w:pPr>
          </w:p>
        </w:tc>
        <w:tc>
          <w:tcPr>
            <w:tcW w:w="601" w:type="pct"/>
            <w:shd w:val="clear" w:color="auto" w:fill="auto"/>
            <w:vAlign w:val="center"/>
          </w:tcPr>
          <w:p>
            <w:pPr>
              <w:jc w:val="center"/>
              <w:rPr>
                <w:rFonts w:ascii="Times New Roman" w:hAnsi="Times New Roman" w:eastAsia="宋体" w:cs="Times New Roman"/>
                <w:kern w:val="0"/>
                <w:sz w:val="18"/>
                <w:szCs w:val="22"/>
              </w:rPr>
            </w:pPr>
          </w:p>
        </w:tc>
        <w:tc>
          <w:tcPr>
            <w:tcW w:w="548" w:type="pct"/>
            <w:shd w:val="clear" w:color="auto" w:fill="auto"/>
            <w:vAlign w:val="center"/>
          </w:tcPr>
          <w:p>
            <w:pPr>
              <w:jc w:val="center"/>
              <w:rPr>
                <w:rFonts w:ascii="Times New Roman" w:hAnsi="Times New Roman" w:eastAsia="宋体" w:cs="Times New Roman"/>
                <w:kern w:val="0"/>
                <w:sz w:val="18"/>
                <w:szCs w:val="22"/>
              </w:rPr>
            </w:pPr>
          </w:p>
        </w:tc>
        <w:tc>
          <w:tcPr>
            <w:tcW w:w="548" w:type="pct"/>
            <w:shd w:val="clear" w:color="auto" w:fill="auto"/>
            <w:vAlign w:val="center"/>
          </w:tcPr>
          <w:p>
            <w:pPr>
              <w:jc w:val="center"/>
              <w:rPr>
                <w:rFonts w:ascii="Times New Roman" w:hAnsi="Times New Roman" w:eastAsia="宋体" w:cs="Times New Roman"/>
                <w:kern w:val="0"/>
                <w:sz w:val="18"/>
                <w:szCs w:val="22"/>
              </w:rPr>
            </w:pPr>
          </w:p>
        </w:tc>
        <w:tc>
          <w:tcPr>
            <w:tcW w:w="395" w:type="pct"/>
            <w:shd w:val="clear" w:color="auto" w:fill="auto"/>
            <w:vAlign w:val="center"/>
          </w:tcPr>
          <w:p>
            <w:pPr>
              <w:jc w:val="center"/>
              <w:rPr>
                <w:rFonts w:ascii="Times New Roman" w:hAnsi="Times New Roman" w:eastAsia="宋体" w:cs="Times New Roman"/>
                <w:kern w:val="0"/>
                <w:sz w:val="18"/>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776" w:type="pct"/>
            <w:vMerge w:val="continue"/>
            <w:vAlign w:val="center"/>
          </w:tcPr>
          <w:p>
            <w:pPr>
              <w:jc w:val="center"/>
              <w:rPr>
                <w:rFonts w:ascii="Times New Roman" w:hAnsi="Times New Roman" w:eastAsia="宋体" w:cs="Times New Roman"/>
                <w:kern w:val="0"/>
                <w:sz w:val="18"/>
                <w:szCs w:val="22"/>
              </w:rPr>
            </w:pPr>
          </w:p>
        </w:tc>
        <w:tc>
          <w:tcPr>
            <w:tcW w:w="1017"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肉类罐头</w:t>
            </w:r>
          </w:p>
        </w:tc>
        <w:tc>
          <w:tcPr>
            <w:tcW w:w="595" w:type="pct"/>
            <w:shd w:val="clear" w:color="auto" w:fill="auto"/>
            <w:vAlign w:val="center"/>
          </w:tcPr>
          <w:p>
            <w:pPr>
              <w:jc w:val="center"/>
              <w:rPr>
                <w:rFonts w:ascii="Times New Roman" w:hAnsi="Times New Roman" w:eastAsia="宋体" w:cs="Times New Roman"/>
                <w:kern w:val="0"/>
                <w:sz w:val="18"/>
                <w:szCs w:val="22"/>
              </w:rPr>
            </w:pPr>
          </w:p>
        </w:tc>
        <w:tc>
          <w:tcPr>
            <w:tcW w:w="519" w:type="pct"/>
            <w:shd w:val="clear" w:color="auto" w:fill="auto"/>
            <w:vAlign w:val="center"/>
          </w:tcPr>
          <w:p>
            <w:pPr>
              <w:jc w:val="center"/>
              <w:rPr>
                <w:rFonts w:ascii="Times New Roman" w:hAnsi="Times New Roman" w:eastAsia="宋体" w:cs="Times New Roman"/>
                <w:kern w:val="0"/>
                <w:sz w:val="18"/>
                <w:szCs w:val="22"/>
              </w:rPr>
            </w:pPr>
          </w:p>
        </w:tc>
        <w:tc>
          <w:tcPr>
            <w:tcW w:w="601" w:type="pct"/>
            <w:shd w:val="clear" w:color="auto" w:fill="auto"/>
            <w:vAlign w:val="center"/>
          </w:tcPr>
          <w:p>
            <w:pPr>
              <w:jc w:val="center"/>
              <w:rPr>
                <w:rFonts w:ascii="Times New Roman" w:hAnsi="Times New Roman" w:eastAsia="宋体" w:cs="Times New Roman"/>
                <w:kern w:val="0"/>
                <w:sz w:val="18"/>
                <w:szCs w:val="22"/>
              </w:rPr>
            </w:pPr>
          </w:p>
        </w:tc>
        <w:tc>
          <w:tcPr>
            <w:tcW w:w="548" w:type="pct"/>
            <w:shd w:val="clear" w:color="auto" w:fill="auto"/>
            <w:vAlign w:val="center"/>
          </w:tcPr>
          <w:p>
            <w:pPr>
              <w:jc w:val="center"/>
              <w:rPr>
                <w:rFonts w:ascii="Times New Roman" w:hAnsi="Times New Roman" w:eastAsia="宋体" w:cs="Times New Roman"/>
                <w:kern w:val="0"/>
                <w:sz w:val="18"/>
                <w:szCs w:val="22"/>
              </w:rPr>
            </w:pPr>
            <w:r>
              <w:rPr>
                <w:rFonts w:ascii="Times New Roman" w:hAnsi="Times New Roman" w:eastAsia="宋体" w:cs="Times New Roman"/>
                <w:kern w:val="0"/>
                <w:sz w:val="18"/>
                <w:szCs w:val="22"/>
              </w:rPr>
              <w:t>8mg/L</w:t>
            </w:r>
          </w:p>
        </w:tc>
        <w:tc>
          <w:tcPr>
            <w:tcW w:w="548" w:type="pct"/>
            <w:shd w:val="clear" w:color="auto" w:fill="auto"/>
            <w:vAlign w:val="center"/>
          </w:tcPr>
          <w:p>
            <w:pPr>
              <w:jc w:val="center"/>
              <w:rPr>
                <w:rFonts w:ascii="Times New Roman" w:hAnsi="Times New Roman" w:eastAsia="宋体" w:cs="Times New Roman"/>
                <w:kern w:val="0"/>
                <w:sz w:val="18"/>
                <w:szCs w:val="22"/>
              </w:rPr>
            </w:pPr>
            <w:r>
              <w:rPr>
                <w:rFonts w:ascii="Times New Roman" w:hAnsi="Times New Roman" w:eastAsia="宋体" w:cs="Times New Roman"/>
                <w:kern w:val="0"/>
                <w:sz w:val="18"/>
                <w:szCs w:val="22"/>
              </w:rPr>
              <w:t>194mg/L</w:t>
            </w:r>
          </w:p>
        </w:tc>
        <w:tc>
          <w:tcPr>
            <w:tcW w:w="395" w:type="pct"/>
            <w:shd w:val="clear" w:color="auto" w:fill="auto"/>
            <w:vAlign w:val="center"/>
          </w:tcPr>
          <w:p>
            <w:pPr>
              <w:jc w:val="center"/>
              <w:rPr>
                <w:rFonts w:ascii="Times New Roman" w:hAnsi="Times New Roman" w:eastAsia="宋体" w:cs="Times New Roman"/>
                <w:kern w:val="0"/>
                <w:sz w:val="18"/>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3" w:hRule="atLeast"/>
        </w:trPr>
        <w:tc>
          <w:tcPr>
            <w:tcW w:w="776" w:type="pct"/>
            <w:vMerge w:val="restar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德国</w:t>
            </w:r>
          </w:p>
        </w:tc>
        <w:tc>
          <w:tcPr>
            <w:tcW w:w="1017"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水产品罐头</w:t>
            </w:r>
          </w:p>
        </w:tc>
        <w:tc>
          <w:tcPr>
            <w:tcW w:w="595" w:type="pct"/>
            <w:shd w:val="clear" w:color="auto" w:fill="auto"/>
            <w:vAlign w:val="center"/>
          </w:tcPr>
          <w:p>
            <w:pPr>
              <w:jc w:val="center"/>
              <w:rPr>
                <w:rFonts w:ascii="Times New Roman" w:hAnsi="Times New Roman" w:eastAsia="宋体" w:cs="Times New Roman"/>
                <w:kern w:val="0"/>
                <w:sz w:val="18"/>
                <w:szCs w:val="22"/>
              </w:rPr>
            </w:pPr>
          </w:p>
        </w:tc>
        <w:tc>
          <w:tcPr>
            <w:tcW w:w="519" w:type="pct"/>
            <w:shd w:val="clear" w:color="auto" w:fill="auto"/>
            <w:vAlign w:val="center"/>
          </w:tcPr>
          <w:p>
            <w:pPr>
              <w:jc w:val="center"/>
              <w:rPr>
                <w:rFonts w:ascii="Times New Roman" w:hAnsi="Times New Roman" w:eastAsia="宋体" w:cs="Times New Roman"/>
                <w:kern w:val="0"/>
                <w:sz w:val="18"/>
                <w:szCs w:val="22"/>
              </w:rPr>
            </w:pPr>
          </w:p>
        </w:tc>
        <w:tc>
          <w:tcPr>
            <w:tcW w:w="601" w:type="pct"/>
            <w:shd w:val="clear" w:color="auto" w:fill="auto"/>
            <w:vAlign w:val="center"/>
          </w:tcPr>
          <w:p>
            <w:pPr>
              <w:jc w:val="center"/>
              <w:rPr>
                <w:rFonts w:ascii="Times New Roman" w:hAnsi="Times New Roman" w:eastAsia="宋体" w:cs="Times New Roman"/>
                <w:kern w:val="0"/>
                <w:sz w:val="18"/>
                <w:szCs w:val="22"/>
              </w:rPr>
            </w:pPr>
            <w:r>
              <w:rPr>
                <w:rFonts w:ascii="Times New Roman" w:hAnsi="Times New Roman" w:eastAsia="宋体" w:cs="Times New Roman"/>
                <w:kern w:val="0"/>
                <w:sz w:val="18"/>
                <w:szCs w:val="22"/>
              </w:rPr>
              <w:t>110</w:t>
            </w:r>
          </w:p>
        </w:tc>
        <w:tc>
          <w:tcPr>
            <w:tcW w:w="548" w:type="pct"/>
            <w:shd w:val="clear" w:color="auto" w:fill="auto"/>
            <w:vAlign w:val="center"/>
          </w:tcPr>
          <w:p>
            <w:pPr>
              <w:jc w:val="center"/>
              <w:rPr>
                <w:rFonts w:ascii="Times New Roman" w:hAnsi="Times New Roman" w:eastAsia="宋体" w:cs="Times New Roman"/>
                <w:kern w:val="0"/>
                <w:sz w:val="18"/>
                <w:szCs w:val="22"/>
              </w:rPr>
            </w:pPr>
            <w:r>
              <w:rPr>
                <w:rFonts w:ascii="Times New Roman" w:hAnsi="Times New Roman" w:eastAsia="宋体" w:cs="Times New Roman"/>
                <w:kern w:val="0"/>
                <w:sz w:val="18"/>
                <w:szCs w:val="22"/>
              </w:rPr>
              <w:t>10</w:t>
            </w:r>
          </w:p>
        </w:tc>
        <w:tc>
          <w:tcPr>
            <w:tcW w:w="548" w:type="pct"/>
            <w:shd w:val="clear" w:color="auto" w:fill="auto"/>
            <w:vAlign w:val="center"/>
          </w:tcPr>
          <w:p>
            <w:pPr>
              <w:jc w:val="center"/>
              <w:rPr>
                <w:rFonts w:ascii="Times New Roman" w:hAnsi="Times New Roman" w:eastAsia="宋体" w:cs="Times New Roman"/>
                <w:kern w:val="0"/>
                <w:sz w:val="18"/>
                <w:szCs w:val="22"/>
              </w:rPr>
            </w:pPr>
            <w:r>
              <w:rPr>
                <w:rFonts w:ascii="Times New Roman" w:hAnsi="Times New Roman" w:eastAsia="宋体" w:cs="Times New Roman"/>
                <w:kern w:val="0"/>
                <w:sz w:val="18"/>
                <w:szCs w:val="22"/>
              </w:rPr>
              <w:t>25</w:t>
            </w:r>
          </w:p>
        </w:tc>
        <w:tc>
          <w:tcPr>
            <w:tcW w:w="395" w:type="pct"/>
            <w:shd w:val="clear" w:color="auto" w:fill="auto"/>
            <w:vAlign w:val="center"/>
          </w:tcPr>
          <w:p>
            <w:pPr>
              <w:jc w:val="center"/>
              <w:rPr>
                <w:rFonts w:ascii="Times New Roman" w:hAnsi="Times New Roman" w:eastAsia="宋体" w:cs="Times New Roman"/>
                <w:kern w:val="0"/>
                <w:sz w:val="18"/>
                <w:szCs w:val="22"/>
              </w:rPr>
            </w:pPr>
            <w:r>
              <w:rPr>
                <w:rFonts w:ascii="Times New Roman" w:hAnsi="Times New Roman" w:eastAsia="宋体" w:cs="Times New Roman"/>
                <w:kern w:val="0"/>
                <w:sz w:val="18"/>
                <w:szCs w:val="22"/>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1" w:hRule="atLeast"/>
        </w:trPr>
        <w:tc>
          <w:tcPr>
            <w:tcW w:w="776" w:type="pct"/>
            <w:vMerge w:val="continue"/>
            <w:vAlign w:val="center"/>
          </w:tcPr>
          <w:p>
            <w:pPr>
              <w:jc w:val="center"/>
              <w:rPr>
                <w:rFonts w:ascii="Times New Roman" w:hAnsi="Times New Roman" w:eastAsia="宋体" w:cs="Times New Roman"/>
                <w:kern w:val="0"/>
                <w:sz w:val="18"/>
                <w:szCs w:val="22"/>
              </w:rPr>
            </w:pPr>
          </w:p>
        </w:tc>
        <w:tc>
          <w:tcPr>
            <w:tcW w:w="1017"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乳制品制造</w:t>
            </w:r>
          </w:p>
        </w:tc>
        <w:tc>
          <w:tcPr>
            <w:tcW w:w="595" w:type="pct"/>
            <w:shd w:val="clear" w:color="auto" w:fill="auto"/>
            <w:vAlign w:val="center"/>
          </w:tcPr>
          <w:p>
            <w:pPr>
              <w:jc w:val="center"/>
              <w:rPr>
                <w:rFonts w:ascii="Times New Roman" w:hAnsi="Times New Roman" w:eastAsia="宋体" w:cs="Times New Roman"/>
                <w:kern w:val="0"/>
                <w:sz w:val="18"/>
                <w:szCs w:val="22"/>
              </w:rPr>
            </w:pPr>
          </w:p>
        </w:tc>
        <w:tc>
          <w:tcPr>
            <w:tcW w:w="519" w:type="pct"/>
            <w:shd w:val="clear" w:color="auto" w:fill="auto"/>
            <w:vAlign w:val="center"/>
          </w:tcPr>
          <w:p>
            <w:pPr>
              <w:jc w:val="center"/>
              <w:rPr>
                <w:rFonts w:ascii="Times New Roman" w:hAnsi="Times New Roman" w:eastAsia="宋体" w:cs="Times New Roman"/>
                <w:kern w:val="0"/>
                <w:sz w:val="18"/>
                <w:szCs w:val="22"/>
              </w:rPr>
            </w:pPr>
          </w:p>
        </w:tc>
        <w:tc>
          <w:tcPr>
            <w:tcW w:w="601" w:type="pct"/>
            <w:shd w:val="clear" w:color="auto" w:fill="auto"/>
            <w:vAlign w:val="center"/>
          </w:tcPr>
          <w:p>
            <w:pPr>
              <w:jc w:val="center"/>
              <w:rPr>
                <w:rFonts w:ascii="Times New Roman" w:hAnsi="Times New Roman" w:eastAsia="宋体" w:cs="Times New Roman"/>
                <w:kern w:val="0"/>
                <w:sz w:val="18"/>
                <w:szCs w:val="22"/>
              </w:rPr>
            </w:pPr>
            <w:r>
              <w:rPr>
                <w:rFonts w:ascii="Times New Roman" w:hAnsi="Times New Roman" w:eastAsia="宋体" w:cs="Times New Roman"/>
                <w:kern w:val="0"/>
                <w:sz w:val="18"/>
                <w:szCs w:val="22"/>
              </w:rPr>
              <w:t>110</w:t>
            </w:r>
          </w:p>
        </w:tc>
        <w:tc>
          <w:tcPr>
            <w:tcW w:w="548" w:type="pct"/>
            <w:shd w:val="clear" w:color="auto" w:fill="auto"/>
            <w:vAlign w:val="center"/>
          </w:tcPr>
          <w:p>
            <w:pPr>
              <w:jc w:val="center"/>
              <w:rPr>
                <w:rFonts w:ascii="Times New Roman" w:hAnsi="Times New Roman" w:eastAsia="宋体" w:cs="Times New Roman"/>
                <w:kern w:val="0"/>
                <w:sz w:val="18"/>
                <w:szCs w:val="22"/>
              </w:rPr>
            </w:pPr>
            <w:r>
              <w:rPr>
                <w:rFonts w:ascii="Times New Roman" w:hAnsi="Times New Roman" w:eastAsia="宋体" w:cs="Times New Roman"/>
                <w:kern w:val="0"/>
                <w:sz w:val="18"/>
                <w:szCs w:val="22"/>
              </w:rPr>
              <w:t>10</w:t>
            </w:r>
          </w:p>
        </w:tc>
        <w:tc>
          <w:tcPr>
            <w:tcW w:w="548" w:type="pct"/>
            <w:shd w:val="clear" w:color="auto" w:fill="auto"/>
            <w:vAlign w:val="center"/>
          </w:tcPr>
          <w:p>
            <w:pPr>
              <w:jc w:val="center"/>
              <w:rPr>
                <w:rFonts w:ascii="Times New Roman" w:hAnsi="Times New Roman" w:eastAsia="宋体" w:cs="Times New Roman"/>
                <w:kern w:val="0"/>
                <w:sz w:val="18"/>
                <w:szCs w:val="22"/>
              </w:rPr>
            </w:pPr>
            <w:r>
              <w:rPr>
                <w:rFonts w:ascii="Times New Roman" w:hAnsi="Times New Roman" w:eastAsia="宋体" w:cs="Times New Roman"/>
                <w:kern w:val="0"/>
                <w:sz w:val="18"/>
                <w:szCs w:val="22"/>
              </w:rPr>
              <w:t>18</w:t>
            </w:r>
          </w:p>
        </w:tc>
        <w:tc>
          <w:tcPr>
            <w:tcW w:w="395" w:type="pct"/>
            <w:shd w:val="clear" w:color="auto" w:fill="auto"/>
            <w:vAlign w:val="center"/>
          </w:tcPr>
          <w:p>
            <w:pPr>
              <w:jc w:val="center"/>
              <w:rPr>
                <w:rFonts w:ascii="Times New Roman" w:hAnsi="Times New Roman" w:eastAsia="宋体" w:cs="Times New Roman"/>
                <w:kern w:val="0"/>
                <w:sz w:val="18"/>
                <w:szCs w:val="22"/>
              </w:rPr>
            </w:pPr>
            <w:r>
              <w:rPr>
                <w:rFonts w:ascii="Times New Roman" w:hAnsi="Times New Roman" w:eastAsia="宋体" w:cs="Times New Roman"/>
                <w:kern w:val="0"/>
                <w:sz w:val="18"/>
                <w:szCs w:val="22"/>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4" w:hRule="atLeast"/>
        </w:trPr>
        <w:tc>
          <w:tcPr>
            <w:tcW w:w="776"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欧盟</w:t>
            </w:r>
          </w:p>
        </w:tc>
        <w:tc>
          <w:tcPr>
            <w:tcW w:w="1017"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食品工业</w:t>
            </w:r>
          </w:p>
        </w:tc>
        <w:tc>
          <w:tcPr>
            <w:tcW w:w="595" w:type="pct"/>
            <w:shd w:val="clear" w:color="auto" w:fill="auto"/>
            <w:vAlign w:val="center"/>
          </w:tcPr>
          <w:p>
            <w:pPr>
              <w:jc w:val="center"/>
              <w:rPr>
                <w:rFonts w:ascii="Times New Roman" w:hAnsi="Times New Roman" w:eastAsia="宋体" w:cs="Times New Roman"/>
                <w:kern w:val="0"/>
                <w:sz w:val="18"/>
                <w:szCs w:val="22"/>
              </w:rPr>
            </w:pPr>
            <w:r>
              <w:rPr>
                <w:rFonts w:ascii="Times New Roman" w:hAnsi="Times New Roman" w:eastAsia="宋体" w:cs="Times New Roman"/>
                <w:kern w:val="0"/>
                <w:sz w:val="18"/>
                <w:szCs w:val="22"/>
              </w:rPr>
              <w:t>6~9</w:t>
            </w:r>
          </w:p>
        </w:tc>
        <w:tc>
          <w:tcPr>
            <w:tcW w:w="519" w:type="pct"/>
            <w:shd w:val="clear" w:color="auto" w:fill="auto"/>
            <w:vAlign w:val="center"/>
          </w:tcPr>
          <w:p>
            <w:pPr>
              <w:jc w:val="center"/>
              <w:rPr>
                <w:rFonts w:ascii="Times New Roman" w:hAnsi="Times New Roman" w:eastAsia="宋体" w:cs="Times New Roman"/>
                <w:kern w:val="0"/>
                <w:sz w:val="18"/>
                <w:szCs w:val="22"/>
              </w:rPr>
            </w:pPr>
          </w:p>
        </w:tc>
        <w:tc>
          <w:tcPr>
            <w:tcW w:w="601" w:type="pct"/>
            <w:shd w:val="clear" w:color="auto" w:fill="auto"/>
            <w:vAlign w:val="center"/>
          </w:tcPr>
          <w:p>
            <w:pPr>
              <w:jc w:val="center"/>
              <w:rPr>
                <w:rFonts w:ascii="Times New Roman" w:hAnsi="Times New Roman" w:eastAsia="宋体" w:cs="Times New Roman"/>
                <w:kern w:val="0"/>
                <w:sz w:val="18"/>
                <w:szCs w:val="22"/>
              </w:rPr>
            </w:pPr>
            <w:r>
              <w:rPr>
                <w:rFonts w:ascii="Times New Roman" w:hAnsi="Times New Roman" w:eastAsia="宋体" w:cs="Times New Roman"/>
                <w:kern w:val="0"/>
                <w:sz w:val="18"/>
                <w:szCs w:val="22"/>
              </w:rPr>
              <w:t>125</w:t>
            </w:r>
          </w:p>
        </w:tc>
        <w:tc>
          <w:tcPr>
            <w:tcW w:w="548" w:type="pct"/>
            <w:shd w:val="clear" w:color="auto" w:fill="auto"/>
            <w:vAlign w:val="center"/>
          </w:tcPr>
          <w:p>
            <w:pPr>
              <w:jc w:val="center"/>
              <w:rPr>
                <w:rFonts w:ascii="Times New Roman" w:hAnsi="Times New Roman" w:eastAsia="宋体" w:cs="Times New Roman"/>
                <w:kern w:val="0"/>
                <w:sz w:val="18"/>
                <w:szCs w:val="22"/>
              </w:rPr>
            </w:pPr>
          </w:p>
        </w:tc>
        <w:tc>
          <w:tcPr>
            <w:tcW w:w="548" w:type="pct"/>
            <w:shd w:val="clear" w:color="auto" w:fill="auto"/>
            <w:vAlign w:val="center"/>
          </w:tcPr>
          <w:p>
            <w:pPr>
              <w:jc w:val="center"/>
              <w:rPr>
                <w:rFonts w:ascii="Times New Roman" w:hAnsi="Times New Roman" w:eastAsia="宋体" w:cs="Times New Roman"/>
                <w:kern w:val="0"/>
                <w:sz w:val="18"/>
                <w:szCs w:val="22"/>
              </w:rPr>
            </w:pPr>
            <w:r>
              <w:rPr>
                <w:rFonts w:ascii="Times New Roman" w:hAnsi="Times New Roman" w:eastAsia="宋体" w:cs="Times New Roman"/>
                <w:kern w:val="0"/>
                <w:sz w:val="18"/>
                <w:szCs w:val="22"/>
              </w:rPr>
              <w:t>10</w:t>
            </w:r>
          </w:p>
        </w:tc>
        <w:tc>
          <w:tcPr>
            <w:tcW w:w="395" w:type="pct"/>
            <w:shd w:val="clear" w:color="auto" w:fill="auto"/>
            <w:vAlign w:val="center"/>
          </w:tcPr>
          <w:p>
            <w:pPr>
              <w:jc w:val="center"/>
              <w:rPr>
                <w:rFonts w:ascii="Times New Roman" w:hAnsi="Times New Roman" w:eastAsia="宋体" w:cs="Times New Roman"/>
                <w:kern w:val="0"/>
                <w:sz w:val="18"/>
                <w:szCs w:val="22"/>
              </w:rPr>
            </w:pPr>
            <w:r>
              <w:rPr>
                <w:rFonts w:ascii="Times New Roman" w:hAnsi="Times New Roman" w:eastAsia="宋体" w:cs="Times New Roman"/>
                <w:kern w:val="0"/>
                <w:sz w:val="18"/>
                <w:szCs w:val="22"/>
              </w:rPr>
              <w:t>0.4-5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6" w:hRule="atLeast"/>
        </w:trPr>
        <w:tc>
          <w:tcPr>
            <w:tcW w:w="776"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日本</w:t>
            </w:r>
          </w:p>
        </w:tc>
        <w:tc>
          <w:tcPr>
            <w:tcW w:w="1017"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污水排放标准</w:t>
            </w:r>
          </w:p>
        </w:tc>
        <w:tc>
          <w:tcPr>
            <w:tcW w:w="595" w:type="pct"/>
            <w:shd w:val="clear" w:color="auto" w:fill="auto"/>
            <w:vAlign w:val="center"/>
          </w:tcPr>
          <w:p>
            <w:pPr>
              <w:jc w:val="center"/>
              <w:rPr>
                <w:rFonts w:ascii="Times New Roman" w:hAnsi="Times New Roman" w:eastAsia="宋体" w:cs="Times New Roman"/>
                <w:kern w:val="0"/>
                <w:sz w:val="18"/>
                <w:szCs w:val="22"/>
              </w:rPr>
            </w:pPr>
            <w:r>
              <w:rPr>
                <w:rFonts w:ascii="Times New Roman" w:hAnsi="Times New Roman" w:eastAsia="宋体" w:cs="Times New Roman"/>
                <w:kern w:val="0"/>
                <w:sz w:val="18"/>
                <w:szCs w:val="22"/>
              </w:rPr>
              <w:t>5.8-8.6</w:t>
            </w:r>
          </w:p>
        </w:tc>
        <w:tc>
          <w:tcPr>
            <w:tcW w:w="519" w:type="pct"/>
            <w:shd w:val="clear" w:color="auto" w:fill="auto"/>
            <w:vAlign w:val="center"/>
          </w:tcPr>
          <w:p>
            <w:pPr>
              <w:jc w:val="center"/>
              <w:rPr>
                <w:rFonts w:ascii="Times New Roman" w:hAnsi="Times New Roman" w:eastAsia="宋体" w:cs="Times New Roman"/>
                <w:kern w:val="0"/>
                <w:sz w:val="18"/>
                <w:szCs w:val="22"/>
              </w:rPr>
            </w:pPr>
          </w:p>
        </w:tc>
        <w:tc>
          <w:tcPr>
            <w:tcW w:w="601" w:type="pct"/>
            <w:shd w:val="clear" w:color="auto" w:fill="auto"/>
            <w:vAlign w:val="center"/>
          </w:tcPr>
          <w:p>
            <w:pPr>
              <w:jc w:val="center"/>
              <w:rPr>
                <w:rFonts w:ascii="Times New Roman" w:hAnsi="Times New Roman" w:eastAsia="宋体" w:cs="Times New Roman"/>
                <w:kern w:val="0"/>
                <w:sz w:val="18"/>
                <w:szCs w:val="22"/>
              </w:rPr>
            </w:pPr>
            <w:r>
              <w:rPr>
                <w:rFonts w:ascii="Times New Roman" w:hAnsi="Times New Roman" w:eastAsia="宋体" w:cs="Times New Roman"/>
                <w:kern w:val="0"/>
                <w:sz w:val="18"/>
                <w:szCs w:val="22"/>
              </w:rPr>
              <w:t>120</w:t>
            </w:r>
          </w:p>
        </w:tc>
        <w:tc>
          <w:tcPr>
            <w:tcW w:w="548" w:type="pct"/>
            <w:shd w:val="clear" w:color="auto" w:fill="auto"/>
            <w:vAlign w:val="center"/>
          </w:tcPr>
          <w:p>
            <w:pPr>
              <w:jc w:val="center"/>
              <w:rPr>
                <w:rFonts w:ascii="Times New Roman" w:hAnsi="Times New Roman" w:eastAsia="宋体" w:cs="Times New Roman"/>
                <w:kern w:val="0"/>
                <w:sz w:val="18"/>
                <w:szCs w:val="22"/>
              </w:rPr>
            </w:pPr>
          </w:p>
        </w:tc>
        <w:tc>
          <w:tcPr>
            <w:tcW w:w="548" w:type="pct"/>
            <w:shd w:val="clear" w:color="auto" w:fill="auto"/>
            <w:vAlign w:val="center"/>
          </w:tcPr>
          <w:p>
            <w:pPr>
              <w:jc w:val="center"/>
              <w:rPr>
                <w:rFonts w:ascii="Times New Roman" w:hAnsi="Times New Roman" w:eastAsia="宋体" w:cs="Times New Roman"/>
                <w:kern w:val="0"/>
                <w:sz w:val="18"/>
                <w:szCs w:val="22"/>
              </w:rPr>
            </w:pPr>
            <w:r>
              <w:rPr>
                <w:rFonts w:ascii="Times New Roman" w:hAnsi="Times New Roman" w:eastAsia="宋体" w:cs="Times New Roman"/>
                <w:kern w:val="0"/>
                <w:sz w:val="18"/>
                <w:szCs w:val="22"/>
              </w:rPr>
              <w:t>60</w:t>
            </w:r>
          </w:p>
        </w:tc>
        <w:tc>
          <w:tcPr>
            <w:tcW w:w="395" w:type="pct"/>
            <w:shd w:val="clear" w:color="auto" w:fill="auto"/>
            <w:vAlign w:val="center"/>
          </w:tcPr>
          <w:p>
            <w:pPr>
              <w:jc w:val="center"/>
              <w:rPr>
                <w:rFonts w:ascii="Times New Roman" w:hAnsi="Times New Roman" w:eastAsia="宋体" w:cs="Times New Roman"/>
                <w:kern w:val="0"/>
                <w:sz w:val="18"/>
                <w:szCs w:val="22"/>
              </w:rPr>
            </w:pPr>
            <w:r>
              <w:rPr>
                <w:rFonts w:ascii="Times New Roman" w:hAnsi="Times New Roman" w:eastAsia="宋体" w:cs="Times New Roman"/>
                <w:kern w:val="0"/>
                <w:sz w:val="18"/>
                <w:szCs w:val="22"/>
              </w:rPr>
              <w:t>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776"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世界银行</w:t>
            </w:r>
          </w:p>
        </w:tc>
        <w:tc>
          <w:tcPr>
            <w:tcW w:w="1017"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食品工业</w:t>
            </w:r>
          </w:p>
        </w:tc>
        <w:tc>
          <w:tcPr>
            <w:tcW w:w="595" w:type="pct"/>
            <w:shd w:val="clear" w:color="auto" w:fill="auto"/>
            <w:vAlign w:val="center"/>
          </w:tcPr>
          <w:p>
            <w:pPr>
              <w:jc w:val="center"/>
              <w:rPr>
                <w:rFonts w:ascii="Times New Roman" w:hAnsi="Times New Roman" w:eastAsia="宋体" w:cs="Times New Roman"/>
                <w:kern w:val="0"/>
                <w:sz w:val="18"/>
                <w:szCs w:val="22"/>
              </w:rPr>
            </w:pPr>
            <w:r>
              <w:rPr>
                <w:rFonts w:ascii="Times New Roman" w:hAnsi="Times New Roman" w:eastAsia="宋体" w:cs="Times New Roman"/>
                <w:kern w:val="0"/>
                <w:sz w:val="18"/>
                <w:szCs w:val="22"/>
              </w:rPr>
              <w:t>6~9</w:t>
            </w:r>
          </w:p>
        </w:tc>
        <w:tc>
          <w:tcPr>
            <w:tcW w:w="519" w:type="pct"/>
            <w:shd w:val="clear" w:color="auto" w:fill="auto"/>
            <w:vAlign w:val="center"/>
          </w:tcPr>
          <w:p>
            <w:pPr>
              <w:jc w:val="center"/>
              <w:rPr>
                <w:rFonts w:ascii="Times New Roman" w:hAnsi="Times New Roman" w:eastAsia="宋体" w:cs="Times New Roman"/>
                <w:kern w:val="0"/>
                <w:sz w:val="18"/>
                <w:szCs w:val="22"/>
              </w:rPr>
            </w:pPr>
          </w:p>
        </w:tc>
        <w:tc>
          <w:tcPr>
            <w:tcW w:w="601" w:type="pct"/>
            <w:shd w:val="clear" w:color="auto" w:fill="auto"/>
            <w:vAlign w:val="center"/>
          </w:tcPr>
          <w:p>
            <w:pPr>
              <w:jc w:val="center"/>
              <w:rPr>
                <w:rFonts w:ascii="Times New Roman" w:hAnsi="Times New Roman" w:eastAsia="宋体" w:cs="Times New Roman"/>
                <w:kern w:val="0"/>
                <w:sz w:val="18"/>
                <w:szCs w:val="22"/>
              </w:rPr>
            </w:pPr>
            <w:r>
              <w:rPr>
                <w:rFonts w:ascii="Times New Roman" w:hAnsi="Times New Roman" w:eastAsia="宋体" w:cs="Times New Roman"/>
                <w:kern w:val="0"/>
                <w:sz w:val="18"/>
                <w:szCs w:val="22"/>
              </w:rPr>
              <w:t>250</w:t>
            </w:r>
          </w:p>
        </w:tc>
        <w:tc>
          <w:tcPr>
            <w:tcW w:w="548" w:type="pct"/>
            <w:shd w:val="clear" w:color="auto" w:fill="auto"/>
            <w:vAlign w:val="center"/>
          </w:tcPr>
          <w:p>
            <w:pPr>
              <w:jc w:val="center"/>
              <w:rPr>
                <w:rFonts w:ascii="Times New Roman" w:hAnsi="Times New Roman" w:eastAsia="宋体" w:cs="Times New Roman"/>
                <w:kern w:val="0"/>
                <w:sz w:val="18"/>
                <w:szCs w:val="22"/>
              </w:rPr>
            </w:pPr>
          </w:p>
        </w:tc>
        <w:tc>
          <w:tcPr>
            <w:tcW w:w="548" w:type="pct"/>
            <w:shd w:val="clear" w:color="auto" w:fill="auto"/>
            <w:vAlign w:val="center"/>
          </w:tcPr>
          <w:p>
            <w:pPr>
              <w:jc w:val="center"/>
              <w:rPr>
                <w:rFonts w:ascii="Times New Roman" w:hAnsi="Times New Roman" w:eastAsia="宋体" w:cs="Times New Roman"/>
                <w:kern w:val="0"/>
                <w:sz w:val="18"/>
                <w:szCs w:val="22"/>
              </w:rPr>
            </w:pPr>
            <w:r>
              <w:rPr>
                <w:rFonts w:ascii="Times New Roman" w:hAnsi="Times New Roman" w:eastAsia="宋体" w:cs="Times New Roman"/>
                <w:kern w:val="0"/>
                <w:sz w:val="18"/>
                <w:szCs w:val="22"/>
              </w:rPr>
              <w:t>10</w:t>
            </w:r>
          </w:p>
        </w:tc>
        <w:tc>
          <w:tcPr>
            <w:tcW w:w="395" w:type="pct"/>
            <w:shd w:val="clear" w:color="auto" w:fill="auto"/>
            <w:vAlign w:val="center"/>
          </w:tcPr>
          <w:p>
            <w:pPr>
              <w:jc w:val="center"/>
              <w:rPr>
                <w:rFonts w:ascii="Times New Roman" w:hAnsi="Times New Roman" w:eastAsia="宋体" w:cs="Times New Roman"/>
                <w:kern w:val="0"/>
                <w:sz w:val="18"/>
                <w:szCs w:val="22"/>
              </w:rPr>
            </w:pPr>
            <w:r>
              <w:rPr>
                <w:rFonts w:ascii="Times New Roman" w:hAnsi="Times New Roman" w:eastAsia="宋体" w:cs="Times New Roman"/>
                <w:kern w:val="0"/>
                <w:sz w:val="18"/>
                <w:szCs w:val="22"/>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4" w:hRule="atLeast"/>
        </w:trPr>
        <w:tc>
          <w:tcPr>
            <w:tcW w:w="776"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新加坡</w:t>
            </w:r>
          </w:p>
        </w:tc>
        <w:tc>
          <w:tcPr>
            <w:tcW w:w="1017"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综合排放标准</w:t>
            </w:r>
          </w:p>
        </w:tc>
        <w:tc>
          <w:tcPr>
            <w:tcW w:w="595" w:type="pct"/>
            <w:shd w:val="clear" w:color="auto" w:fill="auto"/>
            <w:vAlign w:val="center"/>
          </w:tcPr>
          <w:p>
            <w:pPr>
              <w:jc w:val="center"/>
              <w:rPr>
                <w:rFonts w:ascii="Times New Roman" w:hAnsi="Times New Roman" w:eastAsia="宋体" w:cs="Times New Roman"/>
                <w:kern w:val="0"/>
                <w:sz w:val="18"/>
                <w:szCs w:val="22"/>
              </w:rPr>
            </w:pPr>
            <w:r>
              <w:rPr>
                <w:rFonts w:ascii="Times New Roman" w:hAnsi="Times New Roman" w:eastAsia="宋体" w:cs="Times New Roman"/>
                <w:kern w:val="0"/>
                <w:sz w:val="18"/>
                <w:szCs w:val="22"/>
              </w:rPr>
              <w:t>6~9</w:t>
            </w:r>
          </w:p>
        </w:tc>
        <w:tc>
          <w:tcPr>
            <w:tcW w:w="519" w:type="pct"/>
            <w:shd w:val="clear" w:color="auto" w:fill="auto"/>
            <w:vAlign w:val="center"/>
          </w:tcPr>
          <w:p>
            <w:pPr>
              <w:jc w:val="center"/>
              <w:rPr>
                <w:rFonts w:ascii="Times New Roman" w:hAnsi="Times New Roman" w:eastAsia="宋体" w:cs="Times New Roman"/>
                <w:kern w:val="0"/>
                <w:sz w:val="18"/>
                <w:szCs w:val="22"/>
              </w:rPr>
            </w:pPr>
            <w:r>
              <w:rPr>
                <w:rFonts w:ascii="Times New Roman" w:hAnsi="Times New Roman" w:eastAsia="宋体" w:cs="Times New Roman"/>
                <w:kern w:val="0"/>
                <w:sz w:val="18"/>
                <w:szCs w:val="22"/>
              </w:rPr>
              <w:t>7</w:t>
            </w:r>
          </w:p>
        </w:tc>
        <w:tc>
          <w:tcPr>
            <w:tcW w:w="601" w:type="pct"/>
            <w:shd w:val="clear" w:color="auto" w:fill="auto"/>
            <w:vAlign w:val="center"/>
          </w:tcPr>
          <w:p>
            <w:pPr>
              <w:jc w:val="center"/>
              <w:rPr>
                <w:rFonts w:ascii="Times New Roman" w:hAnsi="Times New Roman" w:eastAsia="宋体" w:cs="Times New Roman"/>
                <w:kern w:val="0"/>
                <w:sz w:val="18"/>
                <w:szCs w:val="22"/>
              </w:rPr>
            </w:pPr>
            <w:r>
              <w:rPr>
                <w:rFonts w:ascii="Times New Roman" w:hAnsi="Times New Roman" w:eastAsia="宋体" w:cs="Times New Roman"/>
                <w:kern w:val="0"/>
                <w:sz w:val="18"/>
                <w:szCs w:val="22"/>
              </w:rPr>
              <w:t>100</w:t>
            </w:r>
          </w:p>
        </w:tc>
        <w:tc>
          <w:tcPr>
            <w:tcW w:w="548" w:type="pct"/>
            <w:shd w:val="clear" w:color="auto" w:fill="auto"/>
            <w:vAlign w:val="center"/>
          </w:tcPr>
          <w:p>
            <w:pPr>
              <w:jc w:val="center"/>
              <w:rPr>
                <w:rFonts w:ascii="Times New Roman" w:hAnsi="Times New Roman" w:eastAsia="宋体" w:cs="Times New Roman"/>
                <w:kern w:val="0"/>
                <w:sz w:val="18"/>
                <w:szCs w:val="22"/>
              </w:rPr>
            </w:pPr>
          </w:p>
        </w:tc>
        <w:tc>
          <w:tcPr>
            <w:tcW w:w="548" w:type="pct"/>
            <w:shd w:val="clear" w:color="auto" w:fill="auto"/>
            <w:vAlign w:val="center"/>
          </w:tcPr>
          <w:p>
            <w:pPr>
              <w:jc w:val="center"/>
              <w:rPr>
                <w:rFonts w:ascii="Times New Roman" w:hAnsi="Times New Roman" w:eastAsia="宋体" w:cs="Times New Roman"/>
                <w:kern w:val="0"/>
                <w:sz w:val="18"/>
                <w:szCs w:val="22"/>
              </w:rPr>
            </w:pPr>
          </w:p>
        </w:tc>
        <w:tc>
          <w:tcPr>
            <w:tcW w:w="395" w:type="pct"/>
            <w:shd w:val="clear" w:color="auto" w:fill="auto"/>
            <w:vAlign w:val="center"/>
          </w:tcPr>
          <w:p>
            <w:pPr>
              <w:jc w:val="center"/>
              <w:rPr>
                <w:rFonts w:ascii="Times New Roman" w:hAnsi="Times New Roman" w:eastAsia="宋体" w:cs="Times New Roman"/>
                <w:kern w:val="0"/>
                <w:sz w:val="18"/>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6" w:hRule="atLeast"/>
        </w:trPr>
        <w:tc>
          <w:tcPr>
            <w:tcW w:w="776" w:type="pct"/>
            <w:vMerge w:val="restar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b/>
                <w:kern w:val="0"/>
                <w:sz w:val="18"/>
                <w:szCs w:val="22"/>
              </w:rPr>
              <w:t>本标准</w:t>
            </w:r>
          </w:p>
        </w:tc>
        <w:tc>
          <w:tcPr>
            <w:tcW w:w="1017"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现有企业</w:t>
            </w:r>
          </w:p>
        </w:tc>
        <w:tc>
          <w:tcPr>
            <w:tcW w:w="595" w:type="pct"/>
            <w:shd w:val="clear" w:color="auto" w:fill="auto"/>
            <w:vAlign w:val="center"/>
          </w:tcPr>
          <w:p>
            <w:pPr>
              <w:jc w:val="center"/>
              <w:rPr>
                <w:rFonts w:ascii="Times New Roman" w:hAnsi="Times New Roman" w:eastAsia="宋体" w:cs="Times New Roman"/>
                <w:kern w:val="0"/>
                <w:sz w:val="18"/>
                <w:szCs w:val="22"/>
              </w:rPr>
            </w:pPr>
            <w:r>
              <w:rPr>
                <w:rFonts w:ascii="Times New Roman" w:hAnsi="Times New Roman" w:eastAsia="宋体" w:cs="Times New Roman"/>
                <w:kern w:val="0"/>
                <w:sz w:val="18"/>
                <w:szCs w:val="22"/>
              </w:rPr>
              <w:t>6~9</w:t>
            </w:r>
          </w:p>
        </w:tc>
        <w:tc>
          <w:tcPr>
            <w:tcW w:w="519"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50</w:t>
            </w:r>
          </w:p>
        </w:tc>
        <w:tc>
          <w:tcPr>
            <w:tcW w:w="601" w:type="pct"/>
            <w:shd w:val="clear" w:color="auto" w:fill="auto"/>
            <w:vAlign w:val="center"/>
          </w:tcPr>
          <w:p>
            <w:pPr>
              <w:jc w:val="center"/>
              <w:rPr>
                <w:rFonts w:ascii="Times New Roman" w:hAnsi="Times New Roman" w:eastAsia="宋体" w:cs="Times New Roman"/>
                <w:kern w:val="0"/>
                <w:sz w:val="18"/>
                <w:szCs w:val="22"/>
              </w:rPr>
            </w:pPr>
            <w:r>
              <w:rPr>
                <w:rFonts w:ascii="Times New Roman" w:hAnsi="Times New Roman" w:eastAsia="宋体" w:cs="Times New Roman"/>
                <w:kern w:val="0"/>
                <w:sz w:val="18"/>
                <w:szCs w:val="22"/>
              </w:rPr>
              <w:t>100</w:t>
            </w:r>
          </w:p>
        </w:tc>
        <w:tc>
          <w:tcPr>
            <w:tcW w:w="548" w:type="pct"/>
            <w:shd w:val="clear" w:color="auto" w:fill="auto"/>
            <w:vAlign w:val="center"/>
          </w:tcPr>
          <w:p>
            <w:pPr>
              <w:jc w:val="center"/>
              <w:rPr>
                <w:rFonts w:ascii="Times New Roman" w:hAnsi="Times New Roman" w:eastAsia="宋体" w:cs="Times New Roman"/>
                <w:kern w:val="0"/>
                <w:sz w:val="18"/>
                <w:szCs w:val="22"/>
              </w:rPr>
            </w:pPr>
            <w:r>
              <w:rPr>
                <w:rFonts w:ascii="Times New Roman" w:hAnsi="Times New Roman" w:eastAsia="宋体" w:cs="Times New Roman"/>
                <w:kern w:val="0"/>
                <w:sz w:val="18"/>
                <w:szCs w:val="22"/>
              </w:rPr>
              <w:t>15</w:t>
            </w:r>
          </w:p>
        </w:tc>
        <w:tc>
          <w:tcPr>
            <w:tcW w:w="548" w:type="pct"/>
            <w:shd w:val="clear" w:color="auto" w:fill="auto"/>
            <w:vAlign w:val="center"/>
          </w:tcPr>
          <w:p>
            <w:pPr>
              <w:jc w:val="center"/>
              <w:rPr>
                <w:rFonts w:ascii="Times New Roman" w:hAnsi="Times New Roman" w:eastAsia="宋体" w:cs="Times New Roman"/>
                <w:kern w:val="0"/>
                <w:sz w:val="18"/>
                <w:szCs w:val="22"/>
              </w:rPr>
            </w:pPr>
            <w:r>
              <w:rPr>
                <w:rFonts w:ascii="Times New Roman" w:hAnsi="Times New Roman" w:eastAsia="宋体" w:cs="Times New Roman"/>
                <w:kern w:val="0"/>
                <w:sz w:val="18"/>
                <w:szCs w:val="22"/>
              </w:rPr>
              <w:t>45</w:t>
            </w:r>
          </w:p>
        </w:tc>
        <w:tc>
          <w:tcPr>
            <w:tcW w:w="395" w:type="pct"/>
            <w:shd w:val="clear" w:color="auto" w:fill="auto"/>
            <w:vAlign w:val="center"/>
          </w:tcPr>
          <w:p>
            <w:pPr>
              <w:jc w:val="center"/>
              <w:rPr>
                <w:rFonts w:ascii="Times New Roman" w:hAnsi="Times New Roman" w:eastAsia="宋体" w:cs="Times New Roman"/>
                <w:kern w:val="0"/>
                <w:sz w:val="18"/>
                <w:szCs w:val="22"/>
              </w:rPr>
            </w:pPr>
            <w:r>
              <w:rPr>
                <w:rFonts w:ascii="Times New Roman" w:hAnsi="Times New Roman" w:eastAsia="宋体" w:cs="Times New Roman"/>
                <w:kern w:val="0"/>
                <w:sz w:val="18"/>
                <w:szCs w:val="22"/>
              </w:rPr>
              <w:t>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9" w:hRule="atLeast"/>
        </w:trPr>
        <w:tc>
          <w:tcPr>
            <w:tcW w:w="776" w:type="pct"/>
            <w:vMerge w:val="continue"/>
            <w:shd w:val="clear" w:color="auto" w:fill="auto"/>
            <w:vAlign w:val="center"/>
          </w:tcPr>
          <w:p>
            <w:pPr>
              <w:jc w:val="center"/>
              <w:rPr>
                <w:rFonts w:ascii="Times New Roman" w:hAnsi="Times New Roman" w:eastAsia="宋体" w:cs="Times New Roman"/>
                <w:kern w:val="0"/>
                <w:sz w:val="18"/>
                <w:szCs w:val="22"/>
              </w:rPr>
            </w:pPr>
          </w:p>
        </w:tc>
        <w:tc>
          <w:tcPr>
            <w:tcW w:w="1017"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新建企业</w:t>
            </w:r>
          </w:p>
        </w:tc>
        <w:tc>
          <w:tcPr>
            <w:tcW w:w="595" w:type="pct"/>
            <w:shd w:val="clear" w:color="auto" w:fill="auto"/>
            <w:vAlign w:val="center"/>
          </w:tcPr>
          <w:p>
            <w:pPr>
              <w:jc w:val="center"/>
              <w:rPr>
                <w:rFonts w:ascii="Times New Roman" w:hAnsi="Times New Roman" w:eastAsia="宋体" w:cs="Times New Roman"/>
                <w:kern w:val="0"/>
                <w:sz w:val="18"/>
                <w:szCs w:val="22"/>
              </w:rPr>
            </w:pPr>
            <w:r>
              <w:rPr>
                <w:rFonts w:ascii="Times New Roman" w:hAnsi="Times New Roman" w:eastAsia="宋体" w:cs="Times New Roman"/>
                <w:kern w:val="0"/>
                <w:sz w:val="18"/>
                <w:szCs w:val="22"/>
              </w:rPr>
              <w:t>6~9</w:t>
            </w:r>
          </w:p>
        </w:tc>
        <w:tc>
          <w:tcPr>
            <w:tcW w:w="519" w:type="pct"/>
            <w:shd w:val="clear" w:color="auto" w:fill="auto"/>
            <w:vAlign w:val="center"/>
          </w:tcPr>
          <w:p>
            <w:pPr>
              <w:jc w:val="center"/>
              <w:rPr>
                <w:rFonts w:ascii="Times New Roman" w:hAnsi="Times New Roman" w:eastAsia="宋体" w:cs="Times New Roman"/>
                <w:kern w:val="0"/>
                <w:sz w:val="18"/>
                <w:szCs w:val="22"/>
              </w:rPr>
            </w:pPr>
            <w:r>
              <w:rPr>
                <w:rFonts w:hint="eastAsia" w:ascii="Times New Roman" w:hAnsi="Times New Roman" w:eastAsia="宋体" w:cs="Times New Roman"/>
                <w:kern w:val="0"/>
                <w:sz w:val="18"/>
                <w:szCs w:val="22"/>
              </w:rPr>
              <w:t>30</w:t>
            </w:r>
          </w:p>
        </w:tc>
        <w:tc>
          <w:tcPr>
            <w:tcW w:w="601" w:type="pct"/>
            <w:shd w:val="clear" w:color="auto" w:fill="auto"/>
            <w:vAlign w:val="center"/>
          </w:tcPr>
          <w:p>
            <w:pPr>
              <w:jc w:val="center"/>
              <w:rPr>
                <w:rFonts w:ascii="Times New Roman" w:hAnsi="Times New Roman" w:eastAsia="宋体" w:cs="Times New Roman"/>
                <w:kern w:val="0"/>
                <w:sz w:val="18"/>
                <w:szCs w:val="22"/>
              </w:rPr>
            </w:pPr>
            <w:r>
              <w:rPr>
                <w:rFonts w:ascii="Times New Roman" w:hAnsi="Times New Roman" w:eastAsia="宋体" w:cs="Times New Roman"/>
                <w:kern w:val="0"/>
                <w:sz w:val="18"/>
                <w:szCs w:val="22"/>
              </w:rPr>
              <w:t>60</w:t>
            </w:r>
          </w:p>
        </w:tc>
        <w:tc>
          <w:tcPr>
            <w:tcW w:w="548" w:type="pct"/>
            <w:shd w:val="clear" w:color="auto" w:fill="auto"/>
            <w:vAlign w:val="center"/>
          </w:tcPr>
          <w:p>
            <w:pPr>
              <w:jc w:val="center"/>
              <w:rPr>
                <w:rFonts w:ascii="Times New Roman" w:hAnsi="Times New Roman" w:eastAsia="宋体" w:cs="Times New Roman"/>
                <w:kern w:val="0"/>
                <w:sz w:val="18"/>
                <w:szCs w:val="22"/>
              </w:rPr>
            </w:pPr>
            <w:r>
              <w:rPr>
                <w:rFonts w:ascii="Times New Roman" w:hAnsi="Times New Roman" w:eastAsia="宋体" w:cs="Times New Roman"/>
                <w:kern w:val="0"/>
                <w:sz w:val="18"/>
                <w:szCs w:val="22"/>
              </w:rPr>
              <w:t>10</w:t>
            </w:r>
          </w:p>
        </w:tc>
        <w:tc>
          <w:tcPr>
            <w:tcW w:w="548" w:type="pct"/>
            <w:shd w:val="clear" w:color="auto" w:fill="auto"/>
            <w:vAlign w:val="center"/>
          </w:tcPr>
          <w:p>
            <w:pPr>
              <w:jc w:val="center"/>
              <w:rPr>
                <w:rFonts w:ascii="Times New Roman" w:hAnsi="Times New Roman" w:eastAsia="宋体" w:cs="Times New Roman"/>
                <w:kern w:val="0"/>
                <w:sz w:val="18"/>
                <w:szCs w:val="22"/>
              </w:rPr>
            </w:pPr>
            <w:r>
              <w:rPr>
                <w:rFonts w:ascii="Times New Roman" w:hAnsi="Times New Roman" w:eastAsia="宋体" w:cs="Times New Roman"/>
                <w:kern w:val="0"/>
                <w:sz w:val="18"/>
                <w:szCs w:val="22"/>
              </w:rPr>
              <w:t>20</w:t>
            </w:r>
          </w:p>
        </w:tc>
        <w:tc>
          <w:tcPr>
            <w:tcW w:w="395" w:type="pct"/>
            <w:shd w:val="clear" w:color="auto" w:fill="auto"/>
            <w:vAlign w:val="center"/>
          </w:tcPr>
          <w:p>
            <w:pPr>
              <w:jc w:val="center"/>
              <w:rPr>
                <w:rFonts w:ascii="Times New Roman" w:hAnsi="Times New Roman" w:eastAsia="宋体" w:cs="Times New Roman"/>
                <w:kern w:val="0"/>
                <w:sz w:val="18"/>
                <w:szCs w:val="22"/>
              </w:rPr>
            </w:pPr>
            <w:r>
              <w:rPr>
                <w:rFonts w:ascii="Times New Roman" w:hAnsi="Times New Roman" w:eastAsia="宋体" w:cs="Times New Roman"/>
                <w:kern w:val="0"/>
                <w:sz w:val="18"/>
                <w:szCs w:val="22"/>
              </w:rPr>
              <w:t>0.5</w:t>
            </w:r>
          </w:p>
        </w:tc>
      </w:tr>
    </w:tbl>
    <w:p>
      <w:pPr>
        <w:jc w:val="center"/>
        <w:rPr>
          <w:rFonts w:ascii="Times New Roman" w:hAnsi="Times New Roman" w:eastAsia="宋体" w:cs="Times New Roman"/>
          <w:b/>
          <w:bCs/>
          <w:sz w:val="18"/>
          <w:szCs w:val="32"/>
        </w:rPr>
      </w:pPr>
    </w:p>
    <w:p>
      <w:pPr>
        <w:jc w:val="center"/>
        <w:rPr>
          <w:rFonts w:ascii="Times New Roman" w:hAnsi="Times New Roman" w:eastAsia="宋体" w:cs="Times New Roman"/>
          <w:b/>
          <w:bCs/>
          <w:sz w:val="18"/>
          <w:szCs w:val="32"/>
        </w:rPr>
      </w:pPr>
      <w:r>
        <w:rPr>
          <w:rFonts w:ascii="Times New Roman" w:hAnsi="Times New Roman" w:eastAsia="宋体" w:cs="Times New Roman"/>
          <w:b/>
          <w:bCs/>
          <w:sz w:val="18"/>
          <w:szCs w:val="32"/>
        </w:rPr>
        <w:t>表</w:t>
      </w:r>
      <w:r>
        <w:rPr>
          <w:rFonts w:hint="eastAsia" w:ascii="Times New Roman" w:hAnsi="Times New Roman" w:eastAsia="宋体" w:cs="Times New Roman"/>
          <w:b/>
          <w:bCs/>
          <w:sz w:val="18"/>
          <w:szCs w:val="32"/>
        </w:rPr>
        <w:t xml:space="preserve">7-5 </w:t>
      </w:r>
      <w:r>
        <w:rPr>
          <w:rFonts w:ascii="Times New Roman" w:hAnsi="Times New Roman" w:eastAsia="宋体" w:cs="Times New Roman"/>
          <w:b/>
          <w:bCs/>
          <w:sz w:val="18"/>
          <w:szCs w:val="32"/>
        </w:rPr>
        <w:t>国外</w:t>
      </w:r>
      <w:r>
        <w:rPr>
          <w:rFonts w:hint="eastAsia" w:ascii="Times New Roman" w:hAnsi="Times New Roman" w:eastAsia="宋体" w:cs="Times New Roman"/>
          <w:b/>
          <w:bCs/>
          <w:sz w:val="18"/>
          <w:szCs w:val="32"/>
        </w:rPr>
        <w:t>氯化物排放标准</w:t>
      </w:r>
    </w:p>
    <w:tbl>
      <w:tblPr>
        <w:tblStyle w:val="25"/>
        <w:tblW w:w="5000" w:type="pct"/>
        <w:tblInd w:w="0" w:type="dxa"/>
        <w:tblLayout w:type="autofit"/>
        <w:tblCellMar>
          <w:top w:w="0" w:type="dxa"/>
          <w:left w:w="108" w:type="dxa"/>
          <w:bottom w:w="0" w:type="dxa"/>
          <w:right w:w="108" w:type="dxa"/>
        </w:tblCellMar>
      </w:tblPr>
      <w:tblGrid>
        <w:gridCol w:w="960"/>
        <w:gridCol w:w="1133"/>
        <w:gridCol w:w="1560"/>
        <w:gridCol w:w="4869"/>
      </w:tblGrid>
      <w:tr>
        <w:tblPrEx>
          <w:tblCellMar>
            <w:top w:w="0" w:type="dxa"/>
            <w:left w:w="108" w:type="dxa"/>
            <w:bottom w:w="0" w:type="dxa"/>
            <w:right w:w="108" w:type="dxa"/>
          </w:tblCellMar>
        </w:tblPrEx>
        <w:tc>
          <w:tcPr>
            <w:tcW w:w="563"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b/>
                <w:sz w:val="18"/>
                <w:szCs w:val="22"/>
              </w:rPr>
            </w:pPr>
            <w:r>
              <w:rPr>
                <w:rFonts w:hint="eastAsia" w:ascii="Times New Roman" w:hAnsi="Times New Roman" w:eastAsia="宋体" w:cs="Times New Roman"/>
                <w:b/>
                <w:sz w:val="18"/>
                <w:szCs w:val="22"/>
              </w:rPr>
              <w:t>国家</w:t>
            </w:r>
          </w:p>
        </w:tc>
        <w:tc>
          <w:tcPr>
            <w:tcW w:w="665"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b/>
                <w:sz w:val="18"/>
                <w:szCs w:val="22"/>
              </w:rPr>
            </w:pPr>
            <w:r>
              <w:rPr>
                <w:rFonts w:hint="eastAsia" w:ascii="Times New Roman" w:hAnsi="Times New Roman" w:eastAsia="宋体" w:cs="Times New Roman"/>
                <w:b/>
                <w:sz w:val="18"/>
                <w:szCs w:val="22"/>
              </w:rPr>
              <w:t>排放去向</w:t>
            </w:r>
          </w:p>
        </w:tc>
        <w:tc>
          <w:tcPr>
            <w:tcW w:w="915"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b/>
                <w:sz w:val="18"/>
                <w:szCs w:val="22"/>
              </w:rPr>
            </w:pPr>
            <w:r>
              <w:rPr>
                <w:rFonts w:hint="eastAsia" w:ascii="Times New Roman" w:hAnsi="Times New Roman" w:eastAsia="宋体" w:cs="Times New Roman"/>
                <w:b/>
                <w:sz w:val="18"/>
                <w:szCs w:val="22"/>
              </w:rPr>
              <w:t>排放限值</w:t>
            </w:r>
          </w:p>
        </w:tc>
        <w:tc>
          <w:tcPr>
            <w:tcW w:w="2857" w:type="pct"/>
            <w:tcBorders>
              <w:top w:val="single" w:color="auto" w:sz="4" w:space="0"/>
              <w:left w:val="single" w:color="auto" w:sz="4" w:space="0"/>
              <w:bottom w:val="single" w:color="auto" w:sz="4" w:space="0"/>
              <w:right w:val="single" w:color="auto" w:sz="4" w:space="0"/>
            </w:tcBorders>
          </w:tcPr>
          <w:p>
            <w:pPr>
              <w:jc w:val="center"/>
              <w:rPr>
                <w:rFonts w:ascii="Times New Roman" w:hAnsi="Times New Roman" w:eastAsia="宋体" w:cs="Times New Roman"/>
                <w:b/>
                <w:sz w:val="18"/>
                <w:szCs w:val="22"/>
              </w:rPr>
            </w:pPr>
            <w:r>
              <w:rPr>
                <w:rFonts w:hint="eastAsia" w:ascii="Times New Roman" w:hAnsi="Times New Roman" w:eastAsia="宋体" w:cs="Times New Roman"/>
                <w:b/>
                <w:sz w:val="18"/>
                <w:szCs w:val="22"/>
              </w:rPr>
              <w:t>文献</w:t>
            </w:r>
          </w:p>
        </w:tc>
      </w:tr>
      <w:tr>
        <w:tblPrEx>
          <w:tblCellMar>
            <w:top w:w="0" w:type="dxa"/>
            <w:left w:w="108" w:type="dxa"/>
            <w:bottom w:w="0" w:type="dxa"/>
            <w:right w:w="108" w:type="dxa"/>
          </w:tblCellMar>
        </w:tblPrEx>
        <w:tc>
          <w:tcPr>
            <w:tcW w:w="563"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美国</w:t>
            </w:r>
          </w:p>
        </w:tc>
        <w:tc>
          <w:tcPr>
            <w:tcW w:w="665"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w:t>
            </w:r>
          </w:p>
        </w:tc>
        <w:tc>
          <w:tcPr>
            <w:tcW w:w="915"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rPr>
            </w:pPr>
            <w:r>
              <w:rPr>
                <w:rFonts w:hint="eastAsia" w:ascii="宋体" w:hAnsi="宋体" w:eastAsia="宋体" w:cs="Times New Roman"/>
                <w:sz w:val="18"/>
                <w:szCs w:val="22"/>
              </w:rPr>
              <w:t>≤</w:t>
            </w:r>
            <w:r>
              <w:rPr>
                <w:rFonts w:hint="eastAsia" w:ascii="Times New Roman" w:hAnsi="Times New Roman" w:eastAsia="宋体" w:cs="Times New Roman"/>
                <w:sz w:val="18"/>
                <w:szCs w:val="22"/>
              </w:rPr>
              <w:t>400</w:t>
            </w:r>
            <w:r>
              <w:rPr>
                <w:rFonts w:ascii="Times New Roman" w:hAnsi="Times New Roman" w:eastAsia="宋体" w:cs="Times New Roman"/>
                <w:sz w:val="18"/>
                <w:szCs w:val="22"/>
              </w:rPr>
              <w:t>mg/L</w:t>
            </w:r>
          </w:p>
        </w:tc>
        <w:tc>
          <w:tcPr>
            <w:tcW w:w="2857" w:type="pct"/>
            <w:tcBorders>
              <w:top w:val="single" w:color="auto" w:sz="4" w:space="0"/>
              <w:left w:val="single" w:color="auto" w:sz="4" w:space="0"/>
              <w:bottom w:val="single" w:color="auto" w:sz="4" w:space="0"/>
              <w:right w:val="single" w:color="auto" w:sz="4" w:space="0"/>
            </w:tcBorders>
          </w:tcPr>
          <w:p>
            <w:pPr>
              <w:jc w:val="center"/>
              <w:rPr>
                <w:rFonts w:ascii="宋体" w:hAnsi="宋体" w:eastAsia="宋体" w:cs="Times New Roman"/>
                <w:sz w:val="18"/>
                <w:szCs w:val="22"/>
              </w:rPr>
            </w:pPr>
            <w:r>
              <w:rPr>
                <w:rFonts w:hint="eastAsia" w:ascii="宋体" w:hAnsi="宋体" w:eastAsia="宋体" w:cs="Times New Roman"/>
                <w:sz w:val="18"/>
                <w:szCs w:val="22"/>
              </w:rPr>
              <w:t>Handbook of Environmental Control</w:t>
            </w:r>
          </w:p>
        </w:tc>
      </w:tr>
      <w:tr>
        <w:tblPrEx>
          <w:tblCellMar>
            <w:top w:w="0" w:type="dxa"/>
            <w:left w:w="108" w:type="dxa"/>
            <w:bottom w:w="0" w:type="dxa"/>
            <w:right w:w="108" w:type="dxa"/>
          </w:tblCellMar>
        </w:tblPrEx>
        <w:trPr>
          <w:trHeight w:val="491" w:hRule="atLeast"/>
        </w:trPr>
        <w:tc>
          <w:tcPr>
            <w:tcW w:w="563" w:type="pct"/>
            <w:vMerge w:val="restar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新加坡</w:t>
            </w:r>
          </w:p>
        </w:tc>
        <w:tc>
          <w:tcPr>
            <w:tcW w:w="665"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公共下水道</w:t>
            </w:r>
          </w:p>
        </w:tc>
        <w:tc>
          <w:tcPr>
            <w:tcW w:w="915"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rPr>
            </w:pPr>
            <w:r>
              <w:rPr>
                <w:rFonts w:hint="eastAsia" w:ascii="宋体" w:hAnsi="宋体" w:eastAsia="宋体" w:cs="Times New Roman"/>
                <w:sz w:val="18"/>
                <w:szCs w:val="22"/>
              </w:rPr>
              <w:t>≤</w:t>
            </w:r>
            <w:r>
              <w:rPr>
                <w:rFonts w:hint="eastAsia" w:ascii="Times New Roman" w:hAnsi="Times New Roman" w:eastAsia="宋体" w:cs="Times New Roman"/>
                <w:sz w:val="18"/>
                <w:szCs w:val="22"/>
              </w:rPr>
              <w:t>1000</w:t>
            </w:r>
            <w:r>
              <w:rPr>
                <w:rFonts w:ascii="Times New Roman" w:hAnsi="Times New Roman" w:eastAsia="宋体" w:cs="Times New Roman"/>
                <w:sz w:val="18"/>
                <w:szCs w:val="22"/>
              </w:rPr>
              <w:t>mg/L</w:t>
            </w:r>
          </w:p>
        </w:tc>
        <w:tc>
          <w:tcPr>
            <w:tcW w:w="2857" w:type="pct"/>
            <w:vMerge w:val="restart"/>
            <w:tcBorders>
              <w:top w:val="single" w:color="auto" w:sz="4" w:space="0"/>
              <w:left w:val="single" w:color="auto" w:sz="4" w:space="0"/>
              <w:bottom w:val="single" w:color="auto" w:sz="4" w:space="0"/>
              <w:right w:val="single" w:color="auto" w:sz="4" w:space="0"/>
            </w:tcBorders>
            <w:vAlign w:val="center"/>
          </w:tcPr>
          <w:p>
            <w:pPr>
              <w:jc w:val="center"/>
              <w:rPr>
                <w:rFonts w:ascii="宋体" w:hAnsi="宋体" w:eastAsia="宋体" w:cs="Times New Roman"/>
                <w:sz w:val="18"/>
                <w:szCs w:val="22"/>
              </w:rPr>
            </w:pPr>
            <w:r>
              <w:rPr>
                <w:rFonts w:hint="eastAsia" w:ascii="宋体" w:hAnsi="宋体" w:eastAsia="宋体" w:cs="Times New Roman"/>
                <w:sz w:val="18"/>
                <w:szCs w:val="22"/>
              </w:rPr>
              <w:t>Draft Guidelines for Assessing Industrial Environmental Impact and the sitting of Industry</w:t>
            </w:r>
          </w:p>
        </w:tc>
      </w:tr>
      <w:tr>
        <w:tblPrEx>
          <w:tblCellMar>
            <w:top w:w="0" w:type="dxa"/>
            <w:left w:w="108" w:type="dxa"/>
            <w:bottom w:w="0" w:type="dxa"/>
            <w:right w:w="108" w:type="dxa"/>
          </w:tblCellMar>
        </w:tblPrEx>
        <w:tc>
          <w:tcPr>
            <w:tcW w:w="563" w:type="pct"/>
            <w:vMerge w:val="continue"/>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rPr>
            </w:pPr>
          </w:p>
        </w:tc>
        <w:tc>
          <w:tcPr>
            <w:tcW w:w="665"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非控制水源</w:t>
            </w:r>
          </w:p>
        </w:tc>
        <w:tc>
          <w:tcPr>
            <w:tcW w:w="915"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rPr>
            </w:pPr>
            <w:r>
              <w:rPr>
                <w:rFonts w:hint="eastAsia" w:ascii="宋体" w:hAnsi="宋体" w:eastAsia="宋体" w:cs="Times New Roman"/>
                <w:sz w:val="18"/>
                <w:szCs w:val="22"/>
              </w:rPr>
              <w:t>≤</w:t>
            </w:r>
            <w:r>
              <w:rPr>
                <w:rFonts w:hint="eastAsia" w:ascii="Times New Roman" w:hAnsi="Times New Roman" w:eastAsia="宋体" w:cs="Times New Roman"/>
                <w:sz w:val="18"/>
                <w:szCs w:val="22"/>
              </w:rPr>
              <w:t>600</w:t>
            </w:r>
            <w:r>
              <w:rPr>
                <w:rFonts w:ascii="Times New Roman" w:hAnsi="Times New Roman" w:eastAsia="宋体" w:cs="Times New Roman"/>
                <w:sz w:val="18"/>
                <w:szCs w:val="22"/>
              </w:rPr>
              <w:t>mg/L</w:t>
            </w:r>
          </w:p>
        </w:tc>
        <w:tc>
          <w:tcPr>
            <w:tcW w:w="2857" w:type="pct"/>
            <w:vMerge w:val="continue"/>
            <w:tcBorders>
              <w:top w:val="single" w:color="auto" w:sz="4" w:space="0"/>
              <w:left w:val="single" w:color="auto" w:sz="4" w:space="0"/>
              <w:bottom w:val="single" w:color="auto" w:sz="4" w:space="0"/>
              <w:right w:val="single" w:color="auto" w:sz="4" w:space="0"/>
            </w:tcBorders>
          </w:tcPr>
          <w:p>
            <w:pPr>
              <w:jc w:val="center"/>
              <w:rPr>
                <w:rFonts w:ascii="宋体" w:hAnsi="宋体" w:eastAsia="宋体" w:cs="Times New Roman"/>
                <w:sz w:val="18"/>
                <w:szCs w:val="22"/>
              </w:rPr>
            </w:pPr>
          </w:p>
        </w:tc>
      </w:tr>
      <w:tr>
        <w:tblPrEx>
          <w:tblCellMar>
            <w:top w:w="0" w:type="dxa"/>
            <w:left w:w="108" w:type="dxa"/>
            <w:bottom w:w="0" w:type="dxa"/>
            <w:right w:w="108" w:type="dxa"/>
          </w:tblCellMar>
        </w:tblPrEx>
        <w:tc>
          <w:tcPr>
            <w:tcW w:w="563" w:type="pct"/>
            <w:vMerge w:val="continue"/>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rPr>
            </w:pPr>
          </w:p>
        </w:tc>
        <w:tc>
          <w:tcPr>
            <w:tcW w:w="665"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控制水源</w:t>
            </w:r>
          </w:p>
        </w:tc>
        <w:tc>
          <w:tcPr>
            <w:tcW w:w="915"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rPr>
            </w:pPr>
            <w:r>
              <w:rPr>
                <w:rFonts w:hint="eastAsia" w:ascii="宋体" w:hAnsi="宋体" w:eastAsia="宋体" w:cs="Times New Roman"/>
                <w:sz w:val="18"/>
                <w:szCs w:val="22"/>
              </w:rPr>
              <w:t>≤</w:t>
            </w:r>
            <w:r>
              <w:rPr>
                <w:rFonts w:hint="eastAsia" w:ascii="Times New Roman" w:hAnsi="Times New Roman" w:eastAsia="宋体" w:cs="Times New Roman"/>
                <w:sz w:val="18"/>
                <w:szCs w:val="22"/>
              </w:rPr>
              <w:t>400</w:t>
            </w:r>
            <w:r>
              <w:rPr>
                <w:rFonts w:ascii="Times New Roman" w:hAnsi="Times New Roman" w:eastAsia="宋体" w:cs="Times New Roman"/>
                <w:sz w:val="18"/>
                <w:szCs w:val="22"/>
              </w:rPr>
              <w:t>mg/L</w:t>
            </w:r>
          </w:p>
        </w:tc>
        <w:tc>
          <w:tcPr>
            <w:tcW w:w="2857" w:type="pct"/>
            <w:vMerge w:val="continue"/>
            <w:tcBorders>
              <w:top w:val="single" w:color="auto" w:sz="4" w:space="0"/>
              <w:left w:val="single" w:color="auto" w:sz="4" w:space="0"/>
              <w:bottom w:val="single" w:color="auto" w:sz="4" w:space="0"/>
              <w:right w:val="single" w:color="auto" w:sz="4" w:space="0"/>
            </w:tcBorders>
          </w:tcPr>
          <w:p>
            <w:pPr>
              <w:jc w:val="center"/>
              <w:rPr>
                <w:rFonts w:ascii="宋体" w:hAnsi="宋体" w:eastAsia="宋体" w:cs="Times New Roman"/>
                <w:sz w:val="18"/>
                <w:szCs w:val="22"/>
              </w:rPr>
            </w:pPr>
          </w:p>
        </w:tc>
      </w:tr>
      <w:tr>
        <w:tblPrEx>
          <w:tblCellMar>
            <w:top w:w="0" w:type="dxa"/>
            <w:left w:w="108" w:type="dxa"/>
            <w:bottom w:w="0" w:type="dxa"/>
            <w:right w:w="108" w:type="dxa"/>
          </w:tblCellMar>
        </w:tblPrEx>
        <w:tc>
          <w:tcPr>
            <w:tcW w:w="563" w:type="pct"/>
            <w:vMerge w:val="restar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波兰</w:t>
            </w:r>
          </w:p>
        </w:tc>
        <w:tc>
          <w:tcPr>
            <w:tcW w:w="665"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河道</w:t>
            </w:r>
          </w:p>
        </w:tc>
        <w:tc>
          <w:tcPr>
            <w:tcW w:w="915"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rPr>
            </w:pPr>
            <w:r>
              <w:rPr>
                <w:rFonts w:hint="eastAsia" w:ascii="宋体" w:hAnsi="宋体" w:eastAsia="宋体" w:cs="Times New Roman"/>
                <w:sz w:val="18"/>
                <w:szCs w:val="22"/>
              </w:rPr>
              <w:t>≤</w:t>
            </w:r>
            <w:r>
              <w:rPr>
                <w:rFonts w:hint="eastAsia" w:ascii="Times New Roman" w:hAnsi="Times New Roman" w:eastAsia="宋体" w:cs="Times New Roman"/>
                <w:sz w:val="18"/>
                <w:szCs w:val="22"/>
              </w:rPr>
              <w:t>250</w:t>
            </w:r>
            <w:r>
              <w:rPr>
                <w:rFonts w:ascii="Times New Roman" w:hAnsi="Times New Roman" w:eastAsia="宋体" w:cs="Times New Roman"/>
                <w:sz w:val="18"/>
                <w:szCs w:val="22"/>
              </w:rPr>
              <w:t>mg/L</w:t>
            </w:r>
          </w:p>
        </w:tc>
        <w:tc>
          <w:tcPr>
            <w:tcW w:w="2857" w:type="pct"/>
            <w:vMerge w:val="restart"/>
            <w:tcBorders>
              <w:top w:val="single" w:color="auto" w:sz="4" w:space="0"/>
              <w:left w:val="single" w:color="auto" w:sz="4" w:space="0"/>
              <w:bottom w:val="single" w:color="auto" w:sz="4" w:space="0"/>
              <w:right w:val="single" w:color="auto" w:sz="4" w:space="0"/>
            </w:tcBorders>
            <w:vAlign w:val="center"/>
          </w:tcPr>
          <w:p>
            <w:pPr>
              <w:jc w:val="center"/>
              <w:rPr>
                <w:rFonts w:ascii="宋体" w:hAnsi="宋体" w:eastAsia="宋体" w:cs="Times New Roman"/>
                <w:sz w:val="18"/>
                <w:szCs w:val="22"/>
              </w:rPr>
            </w:pPr>
            <w:r>
              <w:rPr>
                <w:rFonts w:hint="eastAsia" w:ascii="宋体" w:hAnsi="宋体" w:eastAsia="宋体" w:cs="Times New Roman"/>
                <w:sz w:val="18"/>
                <w:szCs w:val="22"/>
              </w:rPr>
              <w:t>轻工业污染及其防治</w:t>
            </w:r>
          </w:p>
        </w:tc>
      </w:tr>
      <w:tr>
        <w:tblPrEx>
          <w:tblCellMar>
            <w:top w:w="0" w:type="dxa"/>
            <w:left w:w="108" w:type="dxa"/>
            <w:bottom w:w="0" w:type="dxa"/>
            <w:right w:w="108" w:type="dxa"/>
          </w:tblCellMar>
        </w:tblPrEx>
        <w:tc>
          <w:tcPr>
            <w:tcW w:w="563" w:type="pct"/>
            <w:vMerge w:val="continue"/>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rPr>
            </w:pPr>
          </w:p>
        </w:tc>
        <w:tc>
          <w:tcPr>
            <w:tcW w:w="665"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城市下水道</w:t>
            </w:r>
          </w:p>
        </w:tc>
        <w:tc>
          <w:tcPr>
            <w:tcW w:w="915"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rPr>
            </w:pPr>
            <w:r>
              <w:rPr>
                <w:rFonts w:hint="eastAsia" w:ascii="宋体" w:hAnsi="宋体" w:eastAsia="宋体" w:cs="Times New Roman"/>
                <w:sz w:val="18"/>
                <w:szCs w:val="22"/>
              </w:rPr>
              <w:t>≤</w:t>
            </w:r>
            <w:r>
              <w:rPr>
                <w:rFonts w:hint="eastAsia" w:ascii="Times New Roman" w:hAnsi="Times New Roman" w:eastAsia="宋体" w:cs="Times New Roman"/>
                <w:sz w:val="18"/>
                <w:szCs w:val="22"/>
              </w:rPr>
              <w:t>350</w:t>
            </w:r>
            <w:r>
              <w:rPr>
                <w:rFonts w:ascii="Times New Roman" w:hAnsi="Times New Roman" w:eastAsia="宋体" w:cs="Times New Roman"/>
                <w:sz w:val="18"/>
                <w:szCs w:val="22"/>
              </w:rPr>
              <w:t>mg/L</w:t>
            </w:r>
          </w:p>
        </w:tc>
        <w:tc>
          <w:tcPr>
            <w:tcW w:w="2857" w:type="pct"/>
            <w:vMerge w:val="continue"/>
            <w:tcBorders>
              <w:top w:val="single" w:color="auto" w:sz="4" w:space="0"/>
              <w:left w:val="single" w:color="auto" w:sz="4" w:space="0"/>
              <w:bottom w:val="single" w:color="auto" w:sz="4" w:space="0"/>
              <w:right w:val="single" w:color="auto" w:sz="4" w:space="0"/>
            </w:tcBorders>
          </w:tcPr>
          <w:p>
            <w:pPr>
              <w:jc w:val="center"/>
              <w:rPr>
                <w:rFonts w:ascii="宋体" w:hAnsi="宋体" w:eastAsia="宋体" w:cs="Times New Roman"/>
                <w:sz w:val="18"/>
                <w:szCs w:val="22"/>
              </w:rPr>
            </w:pPr>
          </w:p>
        </w:tc>
      </w:tr>
      <w:tr>
        <w:tblPrEx>
          <w:tblCellMar>
            <w:top w:w="0" w:type="dxa"/>
            <w:left w:w="108" w:type="dxa"/>
            <w:bottom w:w="0" w:type="dxa"/>
            <w:right w:w="108" w:type="dxa"/>
          </w:tblCellMar>
        </w:tblPrEx>
        <w:tc>
          <w:tcPr>
            <w:tcW w:w="563"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意大利</w:t>
            </w:r>
          </w:p>
        </w:tc>
        <w:tc>
          <w:tcPr>
            <w:tcW w:w="665"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地表水</w:t>
            </w:r>
          </w:p>
        </w:tc>
        <w:tc>
          <w:tcPr>
            <w:tcW w:w="915"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rPr>
            </w:pPr>
            <w:r>
              <w:rPr>
                <w:rFonts w:hint="eastAsia" w:ascii="宋体" w:hAnsi="宋体" w:eastAsia="宋体" w:cs="Times New Roman"/>
                <w:sz w:val="18"/>
                <w:szCs w:val="22"/>
              </w:rPr>
              <w:t>≤</w:t>
            </w:r>
            <w:r>
              <w:rPr>
                <w:rFonts w:hint="eastAsia" w:ascii="Times New Roman" w:hAnsi="Times New Roman" w:eastAsia="宋体" w:cs="Times New Roman"/>
                <w:sz w:val="18"/>
                <w:szCs w:val="22"/>
              </w:rPr>
              <w:t>1200</w:t>
            </w:r>
            <w:r>
              <w:rPr>
                <w:rFonts w:ascii="Times New Roman" w:hAnsi="Times New Roman" w:eastAsia="宋体" w:cs="Times New Roman"/>
                <w:sz w:val="18"/>
                <w:szCs w:val="22"/>
              </w:rPr>
              <w:t>mg/L</w:t>
            </w:r>
          </w:p>
        </w:tc>
        <w:tc>
          <w:tcPr>
            <w:tcW w:w="2857" w:type="pct"/>
            <w:vMerge w:val="restart"/>
            <w:tcBorders>
              <w:top w:val="single" w:color="auto" w:sz="4" w:space="0"/>
              <w:left w:val="single" w:color="auto" w:sz="4" w:space="0"/>
              <w:bottom w:val="single" w:color="auto" w:sz="4" w:space="0"/>
              <w:right w:val="single" w:color="auto" w:sz="4" w:space="0"/>
            </w:tcBorders>
            <w:vAlign w:val="center"/>
          </w:tcPr>
          <w:p>
            <w:pPr>
              <w:jc w:val="center"/>
              <w:rPr>
                <w:rFonts w:ascii="宋体" w:hAnsi="宋体" w:eastAsia="宋体" w:cs="Times New Roman"/>
                <w:sz w:val="18"/>
                <w:szCs w:val="22"/>
              </w:rPr>
            </w:pPr>
            <w:r>
              <w:rPr>
                <w:rFonts w:hint="eastAsia" w:ascii="宋体" w:hAnsi="宋体" w:eastAsia="宋体" w:cs="Times New Roman"/>
                <w:sz w:val="18"/>
                <w:szCs w:val="22"/>
              </w:rPr>
              <w:t>Draft Guidelines for Assessing Industrial Environmental Impact and the sitting of Industry</w:t>
            </w:r>
          </w:p>
        </w:tc>
      </w:tr>
      <w:tr>
        <w:tblPrEx>
          <w:tblCellMar>
            <w:top w:w="0" w:type="dxa"/>
            <w:left w:w="108" w:type="dxa"/>
            <w:bottom w:w="0" w:type="dxa"/>
            <w:right w:w="108" w:type="dxa"/>
          </w:tblCellMar>
        </w:tblPrEx>
        <w:tc>
          <w:tcPr>
            <w:tcW w:w="563"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瑞典</w:t>
            </w:r>
          </w:p>
        </w:tc>
        <w:tc>
          <w:tcPr>
            <w:tcW w:w="665"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城市下水道</w:t>
            </w:r>
          </w:p>
        </w:tc>
        <w:tc>
          <w:tcPr>
            <w:tcW w:w="915"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rPr>
            </w:pPr>
            <w:r>
              <w:rPr>
                <w:rFonts w:hint="eastAsia" w:ascii="宋体" w:hAnsi="宋体" w:eastAsia="宋体" w:cs="Times New Roman"/>
                <w:sz w:val="18"/>
                <w:szCs w:val="22"/>
              </w:rPr>
              <w:t>≤</w:t>
            </w:r>
            <w:r>
              <w:rPr>
                <w:rFonts w:hint="eastAsia" w:ascii="Times New Roman" w:hAnsi="Times New Roman" w:eastAsia="宋体" w:cs="Times New Roman"/>
                <w:sz w:val="18"/>
                <w:szCs w:val="22"/>
              </w:rPr>
              <w:t>300</w:t>
            </w:r>
            <w:r>
              <w:rPr>
                <w:rFonts w:ascii="Times New Roman" w:hAnsi="Times New Roman" w:eastAsia="宋体" w:cs="Times New Roman"/>
                <w:sz w:val="18"/>
                <w:szCs w:val="22"/>
              </w:rPr>
              <w:t>mg/L</w:t>
            </w:r>
          </w:p>
        </w:tc>
        <w:tc>
          <w:tcPr>
            <w:tcW w:w="2857" w:type="pct"/>
            <w:vMerge w:val="continue"/>
            <w:tcBorders>
              <w:top w:val="single" w:color="auto" w:sz="4" w:space="0"/>
              <w:left w:val="single" w:color="auto" w:sz="4" w:space="0"/>
              <w:bottom w:val="single" w:color="auto" w:sz="4" w:space="0"/>
              <w:right w:val="single" w:color="auto" w:sz="4" w:space="0"/>
            </w:tcBorders>
          </w:tcPr>
          <w:p>
            <w:pPr>
              <w:jc w:val="center"/>
              <w:rPr>
                <w:rFonts w:ascii="宋体" w:hAnsi="宋体" w:eastAsia="宋体" w:cs="Times New Roman"/>
                <w:sz w:val="18"/>
                <w:szCs w:val="22"/>
              </w:rPr>
            </w:pPr>
          </w:p>
        </w:tc>
      </w:tr>
      <w:tr>
        <w:tblPrEx>
          <w:tblCellMar>
            <w:top w:w="0" w:type="dxa"/>
            <w:left w:w="108" w:type="dxa"/>
            <w:bottom w:w="0" w:type="dxa"/>
            <w:right w:w="108" w:type="dxa"/>
          </w:tblCellMar>
        </w:tblPrEx>
        <w:tc>
          <w:tcPr>
            <w:tcW w:w="563"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荷兰</w:t>
            </w:r>
          </w:p>
        </w:tc>
        <w:tc>
          <w:tcPr>
            <w:tcW w:w="665"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w:t>
            </w:r>
          </w:p>
        </w:tc>
        <w:tc>
          <w:tcPr>
            <w:tcW w:w="915"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rPr>
            </w:pPr>
            <w:r>
              <w:rPr>
                <w:rFonts w:hint="eastAsia" w:ascii="宋体" w:hAnsi="宋体" w:eastAsia="宋体" w:cs="Times New Roman"/>
                <w:sz w:val="18"/>
                <w:szCs w:val="22"/>
              </w:rPr>
              <w:t>≤</w:t>
            </w:r>
            <w:r>
              <w:rPr>
                <w:rFonts w:hint="eastAsia" w:ascii="Times New Roman" w:hAnsi="Times New Roman" w:eastAsia="宋体" w:cs="Times New Roman"/>
                <w:sz w:val="18"/>
                <w:szCs w:val="22"/>
              </w:rPr>
              <w:t>200</w:t>
            </w:r>
            <w:r>
              <w:rPr>
                <w:rFonts w:ascii="Times New Roman" w:hAnsi="Times New Roman" w:eastAsia="宋体" w:cs="Times New Roman"/>
                <w:sz w:val="18"/>
                <w:szCs w:val="22"/>
              </w:rPr>
              <w:t>~</w:t>
            </w:r>
            <w:r>
              <w:rPr>
                <w:rFonts w:hint="eastAsia" w:ascii="Times New Roman" w:hAnsi="Times New Roman" w:eastAsia="宋体" w:cs="Times New Roman"/>
                <w:sz w:val="18"/>
                <w:szCs w:val="22"/>
              </w:rPr>
              <w:t>400</w:t>
            </w:r>
            <w:r>
              <w:rPr>
                <w:rFonts w:ascii="Times New Roman" w:hAnsi="Times New Roman" w:eastAsia="宋体" w:cs="Times New Roman"/>
                <w:sz w:val="18"/>
                <w:szCs w:val="22"/>
              </w:rPr>
              <w:t>mg/L</w:t>
            </w:r>
          </w:p>
        </w:tc>
        <w:tc>
          <w:tcPr>
            <w:tcW w:w="2857" w:type="pct"/>
            <w:vMerge w:val="restart"/>
            <w:tcBorders>
              <w:top w:val="single" w:color="auto" w:sz="4" w:space="0"/>
              <w:left w:val="single" w:color="auto" w:sz="4" w:space="0"/>
              <w:bottom w:val="single" w:color="auto" w:sz="4" w:space="0"/>
              <w:right w:val="single" w:color="auto" w:sz="4" w:space="0"/>
            </w:tcBorders>
            <w:vAlign w:val="center"/>
          </w:tcPr>
          <w:p>
            <w:pPr>
              <w:jc w:val="center"/>
              <w:rPr>
                <w:rFonts w:ascii="宋体" w:hAnsi="宋体" w:eastAsia="宋体" w:cs="Times New Roman"/>
                <w:sz w:val="18"/>
                <w:szCs w:val="22"/>
              </w:rPr>
            </w:pPr>
            <w:r>
              <w:rPr>
                <w:rFonts w:hint="eastAsia" w:ascii="宋体" w:hAnsi="宋体" w:eastAsia="宋体" w:cs="Times New Roman"/>
                <w:sz w:val="18"/>
                <w:szCs w:val="22"/>
              </w:rPr>
              <w:t>湖北省府河流域氯化物排放标准制定的研究</w:t>
            </w:r>
          </w:p>
        </w:tc>
      </w:tr>
      <w:tr>
        <w:tblPrEx>
          <w:tblCellMar>
            <w:top w:w="0" w:type="dxa"/>
            <w:left w:w="108" w:type="dxa"/>
            <w:bottom w:w="0" w:type="dxa"/>
            <w:right w:w="108" w:type="dxa"/>
          </w:tblCellMar>
        </w:tblPrEx>
        <w:tc>
          <w:tcPr>
            <w:tcW w:w="563"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印度</w:t>
            </w:r>
          </w:p>
        </w:tc>
        <w:tc>
          <w:tcPr>
            <w:tcW w:w="665"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w:t>
            </w:r>
          </w:p>
        </w:tc>
        <w:tc>
          <w:tcPr>
            <w:tcW w:w="915"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rPr>
            </w:pPr>
            <w:r>
              <w:rPr>
                <w:rFonts w:hint="eastAsia" w:ascii="宋体" w:hAnsi="宋体" w:eastAsia="宋体" w:cs="Times New Roman"/>
                <w:sz w:val="18"/>
                <w:szCs w:val="22"/>
              </w:rPr>
              <w:t>≤</w:t>
            </w:r>
            <w:r>
              <w:rPr>
                <w:rFonts w:hint="eastAsia" w:ascii="Times New Roman" w:hAnsi="Times New Roman" w:eastAsia="宋体" w:cs="Times New Roman"/>
                <w:sz w:val="18"/>
                <w:szCs w:val="22"/>
              </w:rPr>
              <w:t>1000</w:t>
            </w:r>
            <w:r>
              <w:rPr>
                <w:rFonts w:ascii="Times New Roman" w:hAnsi="Times New Roman" w:eastAsia="宋体" w:cs="Times New Roman"/>
                <w:sz w:val="18"/>
                <w:szCs w:val="22"/>
              </w:rPr>
              <w:t>mg/L</w:t>
            </w:r>
          </w:p>
        </w:tc>
        <w:tc>
          <w:tcPr>
            <w:tcW w:w="2857" w:type="pct"/>
            <w:vMerge w:val="continue"/>
            <w:tcBorders>
              <w:top w:val="single" w:color="auto" w:sz="4" w:space="0"/>
              <w:left w:val="single" w:color="auto" w:sz="4" w:space="0"/>
              <w:bottom w:val="single" w:color="auto" w:sz="4" w:space="0"/>
              <w:right w:val="single" w:color="auto" w:sz="4" w:space="0"/>
            </w:tcBorders>
          </w:tcPr>
          <w:p>
            <w:pPr>
              <w:jc w:val="center"/>
              <w:rPr>
                <w:rFonts w:ascii="宋体" w:hAnsi="宋体" w:eastAsia="宋体" w:cs="Times New Roman"/>
                <w:sz w:val="18"/>
                <w:szCs w:val="22"/>
              </w:rPr>
            </w:pPr>
          </w:p>
        </w:tc>
      </w:tr>
      <w:tr>
        <w:tblPrEx>
          <w:tblCellMar>
            <w:top w:w="0" w:type="dxa"/>
            <w:left w:w="108" w:type="dxa"/>
            <w:bottom w:w="0" w:type="dxa"/>
            <w:right w:w="108" w:type="dxa"/>
          </w:tblCellMar>
        </w:tblPrEx>
        <w:tc>
          <w:tcPr>
            <w:tcW w:w="563"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日本</w:t>
            </w:r>
          </w:p>
        </w:tc>
        <w:tc>
          <w:tcPr>
            <w:tcW w:w="665"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w:t>
            </w:r>
          </w:p>
        </w:tc>
        <w:tc>
          <w:tcPr>
            <w:tcW w:w="915"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rPr>
            </w:pPr>
            <w:r>
              <w:rPr>
                <w:rFonts w:hint="eastAsia" w:ascii="宋体" w:hAnsi="宋体" w:eastAsia="宋体" w:cs="Times New Roman"/>
                <w:sz w:val="18"/>
                <w:szCs w:val="22"/>
              </w:rPr>
              <w:t>≤</w:t>
            </w:r>
            <w:r>
              <w:rPr>
                <w:rFonts w:hint="eastAsia" w:ascii="Times New Roman" w:hAnsi="Times New Roman" w:eastAsia="宋体" w:cs="Times New Roman"/>
                <w:sz w:val="18"/>
                <w:szCs w:val="22"/>
              </w:rPr>
              <w:t>400</w:t>
            </w:r>
            <w:r>
              <w:rPr>
                <w:rFonts w:ascii="Times New Roman" w:hAnsi="Times New Roman" w:eastAsia="宋体" w:cs="Times New Roman"/>
                <w:sz w:val="18"/>
                <w:szCs w:val="22"/>
              </w:rPr>
              <w:t>mg/L</w:t>
            </w:r>
          </w:p>
        </w:tc>
        <w:tc>
          <w:tcPr>
            <w:tcW w:w="2857" w:type="pct"/>
            <w:vMerge w:val="continue"/>
            <w:tcBorders>
              <w:top w:val="single" w:color="auto" w:sz="4" w:space="0"/>
              <w:left w:val="single" w:color="auto" w:sz="4" w:space="0"/>
              <w:bottom w:val="single" w:color="auto" w:sz="4" w:space="0"/>
              <w:right w:val="single" w:color="auto" w:sz="4" w:space="0"/>
            </w:tcBorders>
          </w:tcPr>
          <w:p>
            <w:pPr>
              <w:jc w:val="center"/>
              <w:rPr>
                <w:rFonts w:ascii="宋体" w:hAnsi="宋体" w:eastAsia="宋体" w:cs="Times New Roman"/>
                <w:sz w:val="18"/>
                <w:szCs w:val="22"/>
              </w:rPr>
            </w:pPr>
          </w:p>
        </w:tc>
      </w:tr>
    </w:tbl>
    <w:p>
      <w:pPr>
        <w:keepNext/>
        <w:keepLines/>
        <w:spacing w:before="240" w:after="240" w:line="578" w:lineRule="auto"/>
        <w:jc w:val="left"/>
        <w:outlineLvl w:val="0"/>
        <w:rPr>
          <w:rFonts w:ascii="Times New Roman" w:hAnsi="Times New Roman" w:eastAsia="宋体" w:cs="Times New Roman"/>
          <w:b/>
          <w:bCs/>
          <w:kern w:val="44"/>
          <w:sz w:val="32"/>
          <w:szCs w:val="44"/>
        </w:rPr>
      </w:pPr>
      <w:bookmarkStart w:id="60" w:name="_Toc76386139"/>
      <w:r>
        <w:rPr>
          <w:rFonts w:hint="eastAsia" w:ascii="Times New Roman" w:hAnsi="Times New Roman" w:eastAsia="宋体" w:cs="Times New Roman"/>
          <w:b/>
          <w:bCs/>
          <w:kern w:val="44"/>
          <w:sz w:val="32"/>
          <w:szCs w:val="44"/>
        </w:rPr>
        <w:t>8标准实施效益分析</w:t>
      </w:r>
      <w:bookmarkEnd w:id="60"/>
    </w:p>
    <w:p>
      <w:pPr>
        <w:keepNext/>
        <w:keepLines/>
        <w:spacing w:before="120" w:after="120" w:line="415" w:lineRule="auto"/>
        <w:jc w:val="left"/>
        <w:outlineLvl w:val="1"/>
        <w:rPr>
          <w:rFonts w:ascii="Times New Roman" w:hAnsi="Times New Roman" w:eastAsia="宋体" w:cs="Times New Roman"/>
          <w:b/>
          <w:bCs/>
          <w:sz w:val="30"/>
          <w:szCs w:val="32"/>
        </w:rPr>
      </w:pPr>
      <w:bookmarkStart w:id="61" w:name="_Toc76386140"/>
      <w:r>
        <w:rPr>
          <w:rFonts w:hint="eastAsia" w:ascii="Times New Roman" w:hAnsi="Times New Roman" w:eastAsia="宋体" w:cs="Times New Roman"/>
          <w:b/>
          <w:bCs/>
          <w:sz w:val="30"/>
          <w:szCs w:val="32"/>
        </w:rPr>
        <w:t>8.1实施本标准的环境效益</w:t>
      </w:r>
      <w:bookmarkEnd w:id="61"/>
    </w:p>
    <w:p>
      <w:pPr>
        <w:spacing w:line="440" w:lineRule="exact"/>
        <w:ind w:firstLine="420" w:firstLineChars="200"/>
        <w:jc w:val="left"/>
        <w:rPr>
          <w:rFonts w:ascii="Times New Roman" w:hAnsi="Times New Roman" w:eastAsia="宋体" w:cs="Times New Roman"/>
          <w:szCs w:val="22"/>
        </w:rPr>
      </w:pPr>
      <w:r>
        <w:rPr>
          <w:rFonts w:hint="eastAsia" w:ascii="Times New Roman" w:hAnsi="Times New Roman" w:eastAsia="宋体" w:cs="Times New Roman"/>
          <w:szCs w:val="22"/>
        </w:rPr>
        <w:t>四川省现有167家涉及蔬菜盐渍加工生产企业，目前执行《污水综合排放标准》（GB 8978-1996）中排放限值。《四川省泡菜工业水污染物排放标准》实施后，将大量减少企业排入环境水体的污染物，经测算，将减排化学需氧量42.68吨/年、氨氮10.67吨/年、总氮减排20吨/年，预计有20%的企业建设脱盐处理设施，40%的企业对原污水处理设施进行提标改造。</w:t>
      </w:r>
      <w:r>
        <w:rPr>
          <w:rFonts w:hint="eastAsia" w:ascii="Times New Roman" w:hAnsi="Times New Roman" w:eastAsia="宋体" w:cs="Times New Roman"/>
          <w:szCs w:val="22"/>
          <w:lang w:eastAsia="zh-CN"/>
        </w:rPr>
        <w:t>实施本标准可提高企业环保意识，</w:t>
      </w:r>
      <w:r>
        <w:rPr>
          <w:rFonts w:hint="eastAsia" w:ascii="Times New Roman" w:hAnsi="Times New Roman" w:eastAsia="宋体" w:cs="Times New Roman"/>
          <w:szCs w:val="22"/>
        </w:rPr>
        <w:t>引导行业污染治理技术</w:t>
      </w:r>
      <w:r>
        <w:rPr>
          <w:rFonts w:hint="eastAsia" w:ascii="Times New Roman" w:hAnsi="Times New Roman" w:eastAsia="宋体" w:cs="Times New Roman"/>
          <w:szCs w:val="22"/>
          <w:lang w:eastAsia="zh-CN"/>
        </w:rPr>
        <w:t>进步</w:t>
      </w:r>
      <w:r>
        <w:rPr>
          <w:rFonts w:hint="eastAsia" w:ascii="Times New Roman" w:hAnsi="Times New Roman" w:eastAsia="宋体" w:cs="Times New Roman"/>
          <w:szCs w:val="22"/>
        </w:rPr>
        <w:t>、减少行业污染排放</w:t>
      </w:r>
      <w:r>
        <w:rPr>
          <w:rFonts w:hint="eastAsia" w:ascii="Times New Roman" w:hAnsi="Times New Roman" w:eastAsia="宋体" w:cs="Times New Roman"/>
          <w:szCs w:val="22"/>
          <w:lang w:eastAsia="zh-CN"/>
        </w:rPr>
        <w:t>，</w:t>
      </w:r>
      <w:r>
        <w:rPr>
          <w:rFonts w:hint="eastAsia" w:ascii="Times New Roman" w:hAnsi="Times New Roman" w:eastAsia="宋体" w:cs="Times New Roman"/>
          <w:szCs w:val="22"/>
        </w:rPr>
        <w:t>从而优化产业结构，促进产业升级，培育壮大特色产业，促进农业增产增效，推动四川省农副产品加工业发展，提高农民收入，助推全省脱贫攻坚工作。</w:t>
      </w:r>
    </w:p>
    <w:p>
      <w:pPr>
        <w:keepNext/>
        <w:keepLines/>
        <w:spacing w:before="120" w:after="120" w:line="415" w:lineRule="auto"/>
        <w:jc w:val="left"/>
        <w:outlineLvl w:val="1"/>
        <w:rPr>
          <w:rFonts w:ascii="Times New Roman" w:hAnsi="Times New Roman" w:eastAsia="宋体" w:cs="Times New Roman"/>
          <w:b/>
          <w:bCs/>
          <w:sz w:val="30"/>
          <w:szCs w:val="32"/>
        </w:rPr>
      </w:pPr>
      <w:bookmarkStart w:id="62" w:name="_Toc76386141"/>
      <w:r>
        <w:rPr>
          <w:rFonts w:hint="eastAsia" w:ascii="Times New Roman" w:hAnsi="Times New Roman" w:eastAsia="宋体" w:cs="Times New Roman"/>
          <w:b/>
          <w:bCs/>
          <w:sz w:val="30"/>
          <w:szCs w:val="32"/>
        </w:rPr>
        <w:t>8.2实施本标准的成本分析</w:t>
      </w:r>
      <w:bookmarkEnd w:id="62"/>
    </w:p>
    <w:p>
      <w:pPr>
        <w:spacing w:line="440" w:lineRule="exact"/>
        <w:ind w:firstLine="420" w:firstLineChars="200"/>
        <w:jc w:val="left"/>
        <w:rPr>
          <w:rFonts w:ascii="Times New Roman" w:hAnsi="Times New Roman" w:eastAsia="宋体" w:cs="Times New Roman"/>
          <w:szCs w:val="22"/>
        </w:rPr>
      </w:pPr>
      <w:r>
        <w:rPr>
          <w:rFonts w:ascii="Times New Roman" w:hAnsi="Times New Roman" w:eastAsia="宋体" w:cs="Times New Roman"/>
          <w:szCs w:val="22"/>
        </w:rPr>
        <w:t>泡菜</w:t>
      </w:r>
      <w:r>
        <w:rPr>
          <w:rFonts w:hint="eastAsia" w:ascii="Times New Roman" w:hAnsi="Times New Roman" w:eastAsia="宋体" w:cs="Times New Roman"/>
          <w:szCs w:val="22"/>
        </w:rPr>
        <w:t>工业</w:t>
      </w:r>
      <w:r>
        <w:rPr>
          <w:rFonts w:ascii="Times New Roman" w:hAnsi="Times New Roman" w:eastAsia="宋体" w:cs="Times New Roman"/>
          <w:szCs w:val="22"/>
        </w:rPr>
        <w:t>企业的污染治理的具体资金投入可从一般污染物处理工程和氯化物处理工程两方面的建设和运行成本进行分析。</w:t>
      </w:r>
    </w:p>
    <w:p>
      <w:pPr>
        <w:spacing w:line="440" w:lineRule="exact"/>
        <w:ind w:firstLine="420" w:firstLineChars="200"/>
        <w:jc w:val="left"/>
        <w:rPr>
          <w:rFonts w:ascii="Times New Roman" w:hAnsi="Times New Roman" w:eastAsia="宋体" w:cs="Times New Roman"/>
          <w:szCs w:val="22"/>
        </w:rPr>
      </w:pPr>
      <w:r>
        <w:rPr>
          <w:rFonts w:ascii="Times New Roman" w:hAnsi="Times New Roman" w:eastAsia="宋体" w:cs="Times New Roman"/>
          <w:szCs w:val="22"/>
        </w:rPr>
        <w:t>（1）一般污染物处理工程经济分析</w:t>
      </w:r>
    </w:p>
    <w:p>
      <w:pPr>
        <w:spacing w:line="440" w:lineRule="exact"/>
        <w:ind w:firstLine="420" w:firstLineChars="200"/>
        <w:rPr>
          <w:rFonts w:ascii="Times New Roman" w:hAnsi="Times New Roman" w:eastAsia="宋体" w:cs="Times New Roman"/>
          <w:szCs w:val="22"/>
        </w:rPr>
      </w:pPr>
      <w:r>
        <w:rPr>
          <w:rFonts w:ascii="Times New Roman" w:hAnsi="Times New Roman" w:eastAsia="宋体" w:cs="Times New Roman"/>
          <w:szCs w:val="22"/>
        </w:rPr>
        <w:t>泡菜生产废水属于高有机物、高氮磷、高盐度废水，一般污染物处理工程主要是处理废水中的有机物和氮磷物质。据调研，现目前，泡菜</w:t>
      </w:r>
      <w:r>
        <w:rPr>
          <w:rFonts w:hint="eastAsia" w:ascii="Times New Roman" w:hAnsi="Times New Roman" w:eastAsia="宋体" w:cs="Times New Roman"/>
          <w:szCs w:val="22"/>
        </w:rPr>
        <w:t>工业</w:t>
      </w:r>
      <w:r>
        <w:rPr>
          <w:rFonts w:ascii="Times New Roman" w:hAnsi="Times New Roman" w:eastAsia="宋体" w:cs="Times New Roman"/>
          <w:szCs w:val="22"/>
        </w:rPr>
        <w:t>企业针对有机物和氮磷物质去除运用较多是好氧+厌氧组合工艺，如：UASB+ A/O+曝气生物滤池处理工艺、IC反应器+SBR+植物氧化塘处理工艺等。根据工艺和处理规模以及排放标准的不同（有些直接排放有些排放进下一级污水处理厂）该部分工程投资一般控制在0.5万元/（t•d）~2.0万元/（t•d）之间，运行费用2元/m</w:t>
      </w:r>
      <w:r>
        <w:rPr>
          <w:rFonts w:ascii="Times New Roman" w:hAnsi="Times New Roman" w:eastAsia="宋体" w:cs="Times New Roman"/>
          <w:szCs w:val="22"/>
          <w:vertAlign w:val="superscript"/>
        </w:rPr>
        <w:t>3</w:t>
      </w:r>
      <w:r>
        <w:rPr>
          <w:rFonts w:ascii="Times New Roman" w:hAnsi="Times New Roman" w:eastAsia="宋体" w:cs="Times New Roman"/>
          <w:szCs w:val="22"/>
        </w:rPr>
        <w:t>~</w:t>
      </w:r>
      <w:r>
        <w:rPr>
          <w:rFonts w:hint="eastAsia" w:ascii="Times New Roman" w:hAnsi="Times New Roman" w:eastAsia="宋体" w:cs="Times New Roman"/>
          <w:szCs w:val="22"/>
        </w:rPr>
        <w:t>5</w:t>
      </w:r>
      <w:r>
        <w:rPr>
          <w:rFonts w:ascii="Times New Roman" w:hAnsi="Times New Roman" w:eastAsia="宋体" w:cs="Times New Roman"/>
          <w:szCs w:val="22"/>
        </w:rPr>
        <w:t>元/m</w:t>
      </w:r>
      <w:r>
        <w:rPr>
          <w:rFonts w:ascii="Times New Roman" w:hAnsi="Times New Roman" w:eastAsia="宋体" w:cs="Times New Roman"/>
          <w:szCs w:val="22"/>
          <w:vertAlign w:val="superscript"/>
        </w:rPr>
        <w:t>3</w:t>
      </w:r>
      <w:r>
        <w:rPr>
          <w:rFonts w:ascii="Times New Roman" w:hAnsi="Times New Roman" w:eastAsia="宋体" w:cs="Times New Roman"/>
          <w:szCs w:val="22"/>
        </w:rPr>
        <w:t>。</w:t>
      </w:r>
    </w:p>
    <w:p>
      <w:pPr>
        <w:spacing w:line="440" w:lineRule="exact"/>
        <w:ind w:firstLine="420" w:firstLineChars="200"/>
        <w:jc w:val="left"/>
        <w:rPr>
          <w:rFonts w:ascii="Times New Roman" w:hAnsi="Times New Roman" w:eastAsia="宋体" w:cs="Times New Roman"/>
          <w:szCs w:val="22"/>
        </w:rPr>
      </w:pPr>
      <w:r>
        <w:rPr>
          <w:rFonts w:ascii="Times New Roman" w:hAnsi="Times New Roman" w:eastAsia="宋体" w:cs="Times New Roman"/>
          <w:szCs w:val="22"/>
        </w:rPr>
        <w:t>（2）氯化物处理工程经济分析</w:t>
      </w:r>
    </w:p>
    <w:p>
      <w:pPr>
        <w:spacing w:line="440" w:lineRule="exact"/>
        <w:ind w:firstLine="420" w:firstLineChars="200"/>
        <w:jc w:val="left"/>
        <w:rPr>
          <w:rFonts w:ascii="Times New Roman" w:hAnsi="Times New Roman" w:eastAsia="宋体" w:cs="Times New Roman"/>
          <w:szCs w:val="22"/>
        </w:rPr>
      </w:pPr>
      <w:r>
        <w:rPr>
          <w:rFonts w:ascii="Times New Roman" w:hAnsi="Times New Roman" w:eastAsia="宋体" w:cs="Times New Roman"/>
          <w:szCs w:val="22"/>
        </w:rPr>
        <w:t>现目前，少有泡菜</w:t>
      </w:r>
      <w:r>
        <w:rPr>
          <w:rFonts w:hint="eastAsia" w:ascii="Times New Roman" w:hAnsi="Times New Roman" w:eastAsia="宋体" w:cs="Times New Roman"/>
          <w:szCs w:val="22"/>
        </w:rPr>
        <w:t>工业</w:t>
      </w:r>
      <w:r>
        <w:rPr>
          <w:rFonts w:ascii="Times New Roman" w:hAnsi="Times New Roman" w:eastAsia="宋体" w:cs="Times New Roman"/>
          <w:szCs w:val="22"/>
        </w:rPr>
        <w:t>企业装配有氯化物去除设备，据实地调研和参考其他高盐废水产生行业，废水脱盐工艺主要包括高盐废水深度浓缩工艺和末端废水蒸发结晶工艺两个部分。深度浓缩工艺主要有碟管式反渗透（DTRO）、电渗析（ED）、正渗透（FO）等，根据进水水质、水量以及出水水质的不同其工程投资一般为2万元/（t•d）~4万元/（t•d），运行费用为5元/m</w:t>
      </w:r>
      <w:r>
        <w:rPr>
          <w:rFonts w:ascii="Times New Roman" w:hAnsi="Times New Roman" w:eastAsia="宋体" w:cs="Times New Roman"/>
          <w:szCs w:val="22"/>
          <w:vertAlign w:val="superscript"/>
        </w:rPr>
        <w:t>3</w:t>
      </w:r>
      <w:r>
        <w:rPr>
          <w:rFonts w:ascii="Times New Roman" w:hAnsi="Times New Roman" w:eastAsia="宋体" w:cs="Times New Roman"/>
          <w:szCs w:val="22"/>
        </w:rPr>
        <w:t>~15元/ m</w:t>
      </w:r>
      <w:r>
        <w:rPr>
          <w:rFonts w:ascii="Times New Roman" w:hAnsi="Times New Roman" w:eastAsia="宋体" w:cs="Times New Roman"/>
          <w:szCs w:val="22"/>
          <w:vertAlign w:val="superscript"/>
        </w:rPr>
        <w:t>3</w:t>
      </w:r>
      <w:r>
        <w:rPr>
          <w:rFonts w:ascii="Times New Roman" w:hAnsi="Times New Roman" w:eastAsia="宋体" w:cs="Times New Roman"/>
          <w:szCs w:val="22"/>
        </w:rPr>
        <w:t>；末端废水蒸发结晶工艺主要有多效强制循环蒸发（MED）、机械蒸汽再压缩（MVR）、低温常压蒸发（NED）等，根据进水水质和水量的不同其工程投资一般为4万元/（t•d）~10万元/（t•d），运行费用为</w:t>
      </w:r>
      <w:r>
        <w:rPr>
          <w:rFonts w:hint="eastAsia" w:ascii="Times New Roman" w:hAnsi="Times New Roman" w:eastAsia="宋体" w:cs="Times New Roman"/>
          <w:szCs w:val="22"/>
        </w:rPr>
        <w:t>5</w:t>
      </w:r>
      <w:r>
        <w:rPr>
          <w:rFonts w:ascii="Times New Roman" w:hAnsi="Times New Roman" w:eastAsia="宋体" w:cs="Times New Roman"/>
          <w:szCs w:val="22"/>
        </w:rPr>
        <w:t>0元/m</w:t>
      </w:r>
      <w:r>
        <w:rPr>
          <w:rFonts w:ascii="Times New Roman" w:hAnsi="Times New Roman" w:eastAsia="宋体" w:cs="Times New Roman"/>
          <w:szCs w:val="22"/>
          <w:vertAlign w:val="superscript"/>
        </w:rPr>
        <w:t>3</w:t>
      </w:r>
      <w:r>
        <w:rPr>
          <w:rFonts w:ascii="Times New Roman" w:hAnsi="Times New Roman" w:eastAsia="宋体" w:cs="Times New Roman"/>
          <w:szCs w:val="22"/>
        </w:rPr>
        <w:t>~</w:t>
      </w:r>
      <w:r>
        <w:rPr>
          <w:rFonts w:hint="eastAsia" w:ascii="Times New Roman" w:hAnsi="Times New Roman" w:eastAsia="宋体" w:cs="Times New Roman"/>
          <w:szCs w:val="22"/>
        </w:rPr>
        <w:t>8</w:t>
      </w:r>
      <w:r>
        <w:rPr>
          <w:rFonts w:ascii="Times New Roman" w:hAnsi="Times New Roman" w:eastAsia="宋体" w:cs="Times New Roman"/>
          <w:szCs w:val="22"/>
        </w:rPr>
        <w:t>0元/ m</w:t>
      </w:r>
      <w:r>
        <w:rPr>
          <w:rFonts w:ascii="Times New Roman" w:hAnsi="Times New Roman" w:eastAsia="宋体" w:cs="Times New Roman"/>
          <w:szCs w:val="22"/>
          <w:vertAlign w:val="superscript"/>
        </w:rPr>
        <w:t>3</w:t>
      </w:r>
      <w:r>
        <w:rPr>
          <w:rFonts w:ascii="Times New Roman" w:hAnsi="Times New Roman" w:eastAsia="宋体" w:cs="Times New Roman"/>
          <w:szCs w:val="22"/>
        </w:rPr>
        <w:t>。</w:t>
      </w:r>
    </w:p>
    <w:p>
      <w:pPr>
        <w:jc w:val="center"/>
        <w:rPr>
          <w:rFonts w:ascii="Times New Roman" w:hAnsi="Times New Roman" w:eastAsia="宋体" w:cs="Times New Roman"/>
          <w:b/>
          <w:bCs/>
          <w:sz w:val="18"/>
          <w:szCs w:val="32"/>
        </w:rPr>
      </w:pPr>
      <w:r>
        <w:rPr>
          <w:rFonts w:ascii="Times New Roman" w:hAnsi="Times New Roman" w:eastAsia="宋体" w:cs="Times New Roman"/>
          <w:b/>
          <w:bCs/>
          <w:sz w:val="18"/>
          <w:szCs w:val="32"/>
        </w:rPr>
        <w:t>表</w:t>
      </w:r>
      <w:r>
        <w:rPr>
          <w:rFonts w:hint="eastAsia" w:ascii="Times New Roman" w:hAnsi="Times New Roman" w:eastAsia="宋体" w:cs="Times New Roman"/>
          <w:b/>
          <w:bCs/>
          <w:sz w:val="18"/>
          <w:szCs w:val="32"/>
        </w:rPr>
        <w:t>8</w:t>
      </w:r>
      <w:r>
        <w:rPr>
          <w:rFonts w:ascii="Times New Roman" w:hAnsi="Times New Roman" w:eastAsia="宋体" w:cs="Times New Roman"/>
          <w:b/>
          <w:bCs/>
          <w:sz w:val="18"/>
          <w:szCs w:val="32"/>
        </w:rPr>
        <w:t>-1泡菜</w:t>
      </w:r>
      <w:r>
        <w:rPr>
          <w:rFonts w:hint="eastAsia" w:ascii="Times New Roman" w:hAnsi="Times New Roman" w:eastAsia="宋体" w:cs="Times New Roman"/>
          <w:b/>
          <w:bCs/>
          <w:sz w:val="18"/>
          <w:szCs w:val="32"/>
        </w:rPr>
        <w:t>工业</w:t>
      </w:r>
      <w:r>
        <w:rPr>
          <w:rFonts w:ascii="Times New Roman" w:hAnsi="Times New Roman" w:eastAsia="宋体" w:cs="Times New Roman"/>
          <w:b/>
          <w:bCs/>
          <w:sz w:val="18"/>
          <w:szCs w:val="32"/>
        </w:rPr>
        <w:t>企业污染物治理经济分析</w:t>
      </w:r>
    </w:p>
    <w:tbl>
      <w:tblPr>
        <w:tblStyle w:val="25"/>
        <w:tblW w:w="5000" w:type="pct"/>
        <w:jc w:val="center"/>
        <w:tblLayout w:type="autofit"/>
        <w:tblCellMar>
          <w:top w:w="0" w:type="dxa"/>
          <w:left w:w="108" w:type="dxa"/>
          <w:bottom w:w="0" w:type="dxa"/>
          <w:right w:w="108" w:type="dxa"/>
        </w:tblCellMar>
      </w:tblPr>
      <w:tblGrid>
        <w:gridCol w:w="1669"/>
        <w:gridCol w:w="3542"/>
        <w:gridCol w:w="1844"/>
        <w:gridCol w:w="1467"/>
      </w:tblGrid>
      <w:tr>
        <w:tblPrEx>
          <w:tblCellMar>
            <w:top w:w="0" w:type="dxa"/>
            <w:left w:w="108" w:type="dxa"/>
            <w:bottom w:w="0" w:type="dxa"/>
            <w:right w:w="108" w:type="dxa"/>
          </w:tblCellMar>
        </w:tblPrEx>
        <w:trPr>
          <w:jc w:val="center"/>
        </w:trPr>
        <w:tc>
          <w:tcPr>
            <w:tcW w:w="979"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b/>
                <w:sz w:val="18"/>
                <w:szCs w:val="22"/>
              </w:rPr>
            </w:pPr>
            <w:r>
              <w:rPr>
                <w:rFonts w:ascii="Times New Roman" w:hAnsi="Times New Roman" w:eastAsia="宋体" w:cs="Times New Roman"/>
                <w:b/>
                <w:sz w:val="18"/>
                <w:szCs w:val="22"/>
              </w:rPr>
              <w:t>工段</w:t>
            </w:r>
          </w:p>
        </w:tc>
        <w:tc>
          <w:tcPr>
            <w:tcW w:w="2078"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b/>
                <w:sz w:val="18"/>
                <w:szCs w:val="22"/>
              </w:rPr>
            </w:pPr>
            <w:r>
              <w:rPr>
                <w:rFonts w:ascii="Times New Roman" w:hAnsi="Times New Roman" w:eastAsia="宋体" w:cs="Times New Roman"/>
                <w:b/>
                <w:sz w:val="18"/>
                <w:szCs w:val="22"/>
              </w:rPr>
              <w:t>工艺类型</w:t>
            </w:r>
          </w:p>
        </w:tc>
        <w:tc>
          <w:tcPr>
            <w:tcW w:w="1082"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b/>
                <w:sz w:val="18"/>
                <w:szCs w:val="22"/>
              </w:rPr>
            </w:pPr>
            <w:r>
              <w:rPr>
                <w:rFonts w:ascii="Times New Roman" w:hAnsi="Times New Roman" w:eastAsia="宋体" w:cs="Times New Roman"/>
                <w:b/>
                <w:sz w:val="18"/>
                <w:szCs w:val="22"/>
              </w:rPr>
              <w:t>工程投资费用</w:t>
            </w:r>
          </w:p>
          <w:p>
            <w:pPr>
              <w:jc w:val="center"/>
              <w:rPr>
                <w:rFonts w:ascii="Times New Roman" w:hAnsi="Times New Roman" w:eastAsia="宋体" w:cs="Times New Roman"/>
                <w:b/>
                <w:sz w:val="18"/>
                <w:szCs w:val="22"/>
              </w:rPr>
            </w:pPr>
            <w:r>
              <w:rPr>
                <w:rFonts w:ascii="Times New Roman" w:hAnsi="Times New Roman" w:eastAsia="宋体" w:cs="Times New Roman"/>
                <w:b/>
                <w:sz w:val="18"/>
                <w:szCs w:val="22"/>
              </w:rPr>
              <w:t>（万元/（t•d））</w:t>
            </w:r>
          </w:p>
        </w:tc>
        <w:tc>
          <w:tcPr>
            <w:tcW w:w="861"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b/>
                <w:sz w:val="18"/>
                <w:szCs w:val="22"/>
              </w:rPr>
            </w:pPr>
            <w:r>
              <w:rPr>
                <w:rFonts w:ascii="Times New Roman" w:hAnsi="Times New Roman" w:eastAsia="宋体" w:cs="Times New Roman"/>
                <w:b/>
                <w:sz w:val="18"/>
                <w:szCs w:val="22"/>
              </w:rPr>
              <w:t>运行费用</w:t>
            </w:r>
          </w:p>
          <w:p>
            <w:pPr>
              <w:jc w:val="center"/>
              <w:rPr>
                <w:rFonts w:ascii="Times New Roman" w:hAnsi="Times New Roman" w:eastAsia="宋体" w:cs="Times New Roman"/>
                <w:b/>
                <w:sz w:val="18"/>
                <w:szCs w:val="22"/>
              </w:rPr>
            </w:pPr>
            <w:r>
              <w:rPr>
                <w:rFonts w:hint="eastAsia" w:ascii="Times New Roman" w:hAnsi="Times New Roman" w:eastAsia="宋体" w:cs="Times New Roman"/>
                <w:b/>
                <w:sz w:val="18"/>
                <w:szCs w:val="22"/>
              </w:rPr>
              <w:t>（元/ m</w:t>
            </w:r>
            <w:r>
              <w:rPr>
                <w:rFonts w:hint="eastAsia" w:ascii="Times New Roman" w:hAnsi="Times New Roman" w:eastAsia="宋体" w:cs="Times New Roman"/>
                <w:b/>
                <w:sz w:val="18"/>
                <w:szCs w:val="22"/>
                <w:vertAlign w:val="superscript"/>
              </w:rPr>
              <w:t>3</w:t>
            </w:r>
            <w:r>
              <w:rPr>
                <w:rFonts w:hint="eastAsia" w:ascii="Times New Roman" w:hAnsi="Times New Roman" w:eastAsia="宋体" w:cs="Times New Roman"/>
                <w:b/>
                <w:sz w:val="18"/>
                <w:szCs w:val="22"/>
              </w:rPr>
              <w:t>）</w:t>
            </w:r>
          </w:p>
        </w:tc>
      </w:tr>
      <w:tr>
        <w:tblPrEx>
          <w:tblCellMar>
            <w:top w:w="0" w:type="dxa"/>
            <w:left w:w="108" w:type="dxa"/>
            <w:bottom w:w="0" w:type="dxa"/>
            <w:right w:w="108" w:type="dxa"/>
          </w:tblCellMar>
        </w:tblPrEx>
        <w:trPr>
          <w:jc w:val="center"/>
        </w:trPr>
        <w:tc>
          <w:tcPr>
            <w:tcW w:w="979"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生化处理</w:t>
            </w:r>
          </w:p>
        </w:tc>
        <w:tc>
          <w:tcPr>
            <w:tcW w:w="2078"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UASB+ A/O+曝气生物滤池、IC反应器+SBR+植物氧化塘处理工艺等</w:t>
            </w:r>
          </w:p>
        </w:tc>
        <w:tc>
          <w:tcPr>
            <w:tcW w:w="1082"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0.5~2</w:t>
            </w:r>
          </w:p>
        </w:tc>
        <w:tc>
          <w:tcPr>
            <w:tcW w:w="861"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2</w:t>
            </w:r>
            <w:r>
              <w:rPr>
                <w:rFonts w:ascii="Times New Roman" w:hAnsi="Times New Roman" w:eastAsia="宋体" w:cs="Times New Roman"/>
                <w:sz w:val="18"/>
                <w:szCs w:val="22"/>
              </w:rPr>
              <w:t>~</w:t>
            </w:r>
            <w:r>
              <w:rPr>
                <w:rFonts w:hint="eastAsia" w:ascii="Times New Roman" w:hAnsi="Times New Roman" w:eastAsia="宋体" w:cs="Times New Roman"/>
                <w:sz w:val="18"/>
                <w:szCs w:val="22"/>
              </w:rPr>
              <w:t>5</w:t>
            </w:r>
          </w:p>
        </w:tc>
      </w:tr>
      <w:tr>
        <w:tblPrEx>
          <w:tblCellMar>
            <w:top w:w="0" w:type="dxa"/>
            <w:left w:w="108" w:type="dxa"/>
            <w:bottom w:w="0" w:type="dxa"/>
            <w:right w:w="108" w:type="dxa"/>
          </w:tblCellMar>
        </w:tblPrEx>
        <w:trPr>
          <w:jc w:val="center"/>
        </w:trPr>
        <w:tc>
          <w:tcPr>
            <w:tcW w:w="979"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深度浓缩</w:t>
            </w:r>
          </w:p>
        </w:tc>
        <w:tc>
          <w:tcPr>
            <w:tcW w:w="2078"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有碟管式反渗透（DTRO）、电渗析（ED）、正渗透（FO）等</w:t>
            </w:r>
          </w:p>
        </w:tc>
        <w:tc>
          <w:tcPr>
            <w:tcW w:w="1082"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2~4</w:t>
            </w:r>
          </w:p>
        </w:tc>
        <w:tc>
          <w:tcPr>
            <w:tcW w:w="861"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5~15</w:t>
            </w:r>
          </w:p>
        </w:tc>
      </w:tr>
      <w:tr>
        <w:trPr>
          <w:jc w:val="center"/>
        </w:trPr>
        <w:tc>
          <w:tcPr>
            <w:tcW w:w="979"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末端废水蒸发结晶</w:t>
            </w:r>
          </w:p>
        </w:tc>
        <w:tc>
          <w:tcPr>
            <w:tcW w:w="2078"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多效强制循环蒸发（MED）、机械蒸汽再压缩（MVR）、低温常压蒸发（NED）等</w:t>
            </w:r>
          </w:p>
        </w:tc>
        <w:tc>
          <w:tcPr>
            <w:tcW w:w="1082"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4~10</w:t>
            </w:r>
          </w:p>
        </w:tc>
        <w:tc>
          <w:tcPr>
            <w:tcW w:w="861"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50~80</w:t>
            </w:r>
          </w:p>
        </w:tc>
      </w:tr>
      <w:tr>
        <w:tblPrEx>
          <w:tblCellMar>
            <w:top w:w="0" w:type="dxa"/>
            <w:left w:w="108" w:type="dxa"/>
            <w:bottom w:w="0" w:type="dxa"/>
            <w:right w:w="108" w:type="dxa"/>
          </w:tblCellMar>
        </w:tblPrEx>
        <w:trPr>
          <w:jc w:val="center"/>
        </w:trPr>
        <w:tc>
          <w:tcPr>
            <w:tcW w:w="3057" w:type="pct"/>
            <w:gridSpan w:val="2"/>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rPr>
            </w:pPr>
            <w:r>
              <w:rPr>
                <w:rFonts w:hint="eastAsia" w:ascii="Times New Roman" w:hAnsi="Times New Roman" w:eastAsia="宋体" w:cs="Times New Roman"/>
                <w:sz w:val="18"/>
                <w:szCs w:val="22"/>
              </w:rPr>
              <w:t>合计</w:t>
            </w:r>
          </w:p>
        </w:tc>
        <w:tc>
          <w:tcPr>
            <w:tcW w:w="1082"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6.5~16</w:t>
            </w:r>
          </w:p>
        </w:tc>
        <w:tc>
          <w:tcPr>
            <w:tcW w:w="861" w:type="pct"/>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 w:val="18"/>
                <w:szCs w:val="22"/>
              </w:rPr>
            </w:pPr>
            <w:r>
              <w:rPr>
                <w:rFonts w:ascii="Times New Roman" w:hAnsi="Times New Roman" w:eastAsia="宋体" w:cs="Times New Roman"/>
                <w:sz w:val="18"/>
                <w:szCs w:val="22"/>
              </w:rPr>
              <w:t>57~100</w:t>
            </w:r>
          </w:p>
        </w:tc>
      </w:tr>
    </w:tbl>
    <w:p>
      <w:pPr>
        <w:jc w:val="center"/>
        <w:rPr>
          <w:rFonts w:ascii="Times New Roman" w:hAnsi="Times New Roman" w:eastAsia="宋体" w:cs="Times New Roman"/>
          <w:b/>
          <w:bCs/>
          <w:sz w:val="18"/>
          <w:szCs w:val="32"/>
        </w:rPr>
      </w:pPr>
    </w:p>
    <w:p>
      <w:pPr>
        <w:topLinePunct/>
        <w:spacing w:line="600" w:lineRule="exact"/>
        <w:jc w:val="left"/>
        <w:rPr>
          <w:rFonts w:ascii="Times New Roman" w:hAnsi="Times New Roman" w:eastAsia="仿宋_GB2312"/>
          <w:sz w:val="32"/>
        </w:rPr>
      </w:pPr>
    </w:p>
    <w:p/>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方正书宋_GBK"/>
    <w:panose1 w:val="00000000000000000000"/>
    <w:charset w:val="00"/>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80000000" w:csb1="00000000"/>
  </w:font>
  <w:font w:name="Arial">
    <w:altName w:val="DejaVu Sans"/>
    <w:panose1 w:val="020B0604020202020204"/>
    <w:charset w:val="01"/>
    <w:family w:val="swiss"/>
    <w:pitch w:val="default"/>
    <w:sig w:usb0="E0002AFF" w:usb1="C0007843" w:usb2="00000009" w:usb3="00000000" w:csb0="400001FF" w:csb1="FFFF0000"/>
  </w:font>
  <w:font w:name="黑体">
    <w:altName w:val="方正黑体_GBK"/>
    <w:panose1 w:val="02010609060101010101"/>
    <w:charset w:val="86"/>
    <w:family w:val="auto"/>
    <w:pitch w:val="default"/>
    <w:sig w:usb0="800002BF" w:usb1="38CF7CFA" w:usb2="00000016" w:usb3="00000000" w:csb0="00040001" w:csb1="00000000"/>
  </w:font>
  <w:font w:name="Courier New">
    <w:altName w:val="DejaVu Sans"/>
    <w:panose1 w:val="02070309020205020404"/>
    <w:charset w:val="01"/>
    <w:family w:val="modern"/>
    <w:pitch w:val="default"/>
    <w:sig w:usb0="E0002AFF" w:usb1="C0007843" w:usb2="00000009" w:usb3="00000000" w:csb0="400001FF" w:csb1="FFFF0000"/>
  </w:font>
  <w:font w:name="Symbol">
    <w:panose1 w:val="02000609000000000000"/>
    <w:charset w:val="02"/>
    <w:family w:val="roman"/>
    <w:pitch w:val="default"/>
    <w:sig w:usb0="800000AF" w:usb1="4000204A" w:usb2="00000000" w:usb3="00000000" w:csb0="20000000" w:csb1="00000000"/>
  </w:font>
  <w:font w:name="Calibri">
    <w:altName w:val="DejaVu Sans"/>
    <w:panose1 w:val="020F0502020204030204"/>
    <w:charset w:val="00"/>
    <w:family w:val="swiss"/>
    <w:pitch w:val="default"/>
    <w:sig w:usb0="00000000" w:usb1="00000000" w:usb2="00000001" w:usb3="00000000" w:csb0="0000019F" w:csb1="00000000"/>
  </w:font>
  <w:font w:name="Cambria">
    <w:altName w:val="Noto Sans Syriac Eastern"/>
    <w:panose1 w:val="02040503050406030204"/>
    <w:charset w:val="00"/>
    <w:family w:val="roman"/>
    <w:pitch w:val="default"/>
    <w:sig w:usb0="00000000" w:usb1="00000000" w:usb2="02000000" w:usb3="00000000" w:csb0="0000019F" w:csb1="00000000"/>
  </w:font>
  <w:font w:name="等线">
    <w:altName w:val="汉仪中宋简"/>
    <w:panose1 w:val="02010600030101010101"/>
    <w:charset w:val="86"/>
    <w:family w:val="auto"/>
    <w:pitch w:val="default"/>
    <w:sig w:usb0="00000000" w:usb1="00000000" w:usb2="00000016" w:usb3="00000000" w:csb0="0004000F" w:csb1="00000000"/>
  </w:font>
  <w:font w:name="等线 Light">
    <w:altName w:val="汉仪中宋简"/>
    <w:panose1 w:val="02010600030101010101"/>
    <w:charset w:val="86"/>
    <w:family w:val="auto"/>
    <w:pitch w:val="default"/>
    <w:sig w:usb0="00000000" w:usb1="00000000" w:usb2="00000016" w:usb3="00000000" w:csb0="0004000F" w:csb1="00000000"/>
  </w:font>
  <w:font w:name="仿宋_GB2312">
    <w:altName w:val="方正仿宋_GBK"/>
    <w:panose1 w:val="00000000000000000000"/>
    <w:charset w:val="86"/>
    <w:family w:val="modern"/>
    <w:pitch w:val="default"/>
    <w:sig w:usb0="00000000" w:usb1="00000000" w:usb2="00000010" w:usb3="00000000" w:csb0="00040000" w:csb1="00000000"/>
  </w:font>
  <w:font w:name="方正书宋_GBK">
    <w:panose1 w:val="02000000000000000000"/>
    <w:charset w:val="86"/>
    <w:family w:val="auto"/>
    <w:pitch w:val="default"/>
    <w:sig w:usb0="00000001" w:usb1="08000000" w:usb2="00000000" w:usb3="00000000" w:csb0="00040000" w:csb1="00000000"/>
  </w:font>
  <w:font w:name="方正黑体_GBK">
    <w:panose1 w:val="02000000000000000000"/>
    <w:charset w:val="86"/>
    <w:family w:val="auto"/>
    <w:pitch w:val="default"/>
    <w:sig w:usb0="00000001" w:usb1="08000000" w:usb2="00000000" w:usb3="00000000" w:csb0="00040000" w:csb1="00000000"/>
  </w:font>
  <w:font w:name="DejaVu Sans">
    <w:panose1 w:val="020B0603030804020204"/>
    <w:charset w:val="00"/>
    <w:family w:val="auto"/>
    <w:pitch w:val="default"/>
    <w:sig w:usb0="E7006EFF" w:usb1="D200FDFF" w:usb2="0A246029" w:usb3="0400200C" w:csb0="600001FF" w:csb1="DFFF0000"/>
  </w:font>
  <w:font w:name="NanumGothic">
    <w:panose1 w:val="020D0604000000000000"/>
    <w:charset w:val="81"/>
    <w:family w:val="auto"/>
    <w:pitch w:val="default"/>
    <w:sig w:usb0="900002A7" w:usb1="29D7FCFB" w:usb2="00000010" w:usb3="00000000" w:csb0="00080001" w:csb1="00000000"/>
  </w:font>
  <w:font w:name="Noto Sans Syriac Eastern">
    <w:panose1 w:val="02040503050306020203"/>
    <w:charset w:val="86"/>
    <w:family w:val="auto"/>
    <w:pitch w:val="default"/>
    <w:sig w:usb0="00000000" w:usb1="00000000" w:usb2="00000080" w:usb3="00000000" w:csb0="203E0161" w:csb1="D7FF0000"/>
  </w:font>
  <w:font w:name="方正宋体S-超大字符集">
    <w:panose1 w:val="02000000000000000000"/>
    <w:charset w:val="86"/>
    <w:family w:val="auto"/>
    <w:pitch w:val="default"/>
    <w:sig w:usb0="00000001" w:usb1="08000000" w:usb2="00000000" w:usb3="00000000" w:csb0="00040000" w:csb1="00000000"/>
  </w:font>
  <w:font w:name="汉仪中宋简">
    <w:panose1 w:val="02010600000101010101"/>
    <w:charset w:val="86"/>
    <w:family w:val="auto"/>
    <w:pitch w:val="default"/>
    <w:sig w:usb0="00000001" w:usb1="080E0800" w:usb2="00000002" w:usb3="00000000" w:csb0="00040000" w:csb1="00000000"/>
  </w:font>
  <w:font w:name="方正仿宋_GBK">
    <w:panose1 w:val="02000000000000000000"/>
    <w:charset w:val="86"/>
    <w:family w:val="auto"/>
    <w:pitch w:val="default"/>
    <w:sig w:usb0="00000001" w:usb1="0800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rPr>
        <w:rFonts w:hint="eastAsia"/>
        <w:sz w:val="28"/>
        <w:szCs w:val="28"/>
      </w:rPr>
      <w:id w:val="12601450"/>
      <w:docPartObj>
        <w:docPartGallery w:val="autotext"/>
      </w:docPartObj>
    </w:sdtPr>
    <w:sdtEndPr>
      <w:rPr>
        <w:rFonts w:hint="eastAsia" w:ascii="宋体" w:hAnsi="宋体" w:eastAsia="宋体"/>
        <w:sz w:val="28"/>
        <w:szCs w:val="28"/>
      </w:rPr>
    </w:sdtEndPr>
    <w:sdtContent>
      <w:p>
        <w:pPr>
          <w:pStyle w:val="15"/>
          <w:ind w:left="210" w:leftChars="100" w:right="210" w:rightChars="100" w:firstLine="560"/>
          <w:jc w:val="right"/>
          <w:rPr>
            <w:rFonts w:ascii="宋体" w:hAnsi="宋体" w:eastAsia="宋体"/>
            <w:sz w:val="28"/>
            <w:szCs w:val="28"/>
          </w:rPr>
        </w:pP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rPr>
        <w:rFonts w:hint="eastAsia"/>
        <w:sz w:val="28"/>
        <w:szCs w:val="28"/>
      </w:rPr>
      <w:id w:val="12601453"/>
      <w:docPartObj>
        <w:docPartGallery w:val="autotext"/>
      </w:docPartObj>
    </w:sdtPr>
    <w:sdtEndPr>
      <w:rPr>
        <w:rFonts w:hint="eastAsia" w:ascii="宋体" w:hAnsi="宋体" w:eastAsia="宋体"/>
        <w:sz w:val="28"/>
        <w:szCs w:val="28"/>
      </w:rPr>
    </w:sdtEndPr>
    <w:sdtContent>
      <w:p>
        <w:pPr>
          <w:pStyle w:val="15"/>
          <w:ind w:left="210" w:leftChars="100" w:right="210" w:rightChars="100" w:firstLine="560"/>
          <w:jc w:val="center"/>
          <w:rPr>
            <w:rFonts w:ascii="宋体" w:hAnsi="宋体" w:eastAsia="宋体"/>
            <w:sz w:val="28"/>
            <w:szCs w:val="28"/>
          </w:rPr>
        </w:pPr>
        <w:r>
          <w:rPr>
            <w:rFonts w:hint="eastAsia" w:ascii="宋体" w:hAnsi="宋体" w:eastAsia="宋体"/>
            <w:sz w:val="28"/>
            <w:szCs w:val="28"/>
          </w:rPr>
          <w:t xml:space="preserve">— </w:t>
        </w:r>
        <w:sdt>
          <w:sdtPr>
            <w:rPr>
              <w:rFonts w:ascii="宋体" w:hAnsi="宋体" w:eastAsia="宋体"/>
              <w:sz w:val="28"/>
              <w:szCs w:val="28"/>
            </w:rPr>
            <w:id w:val="12601454"/>
            <w:docPartObj>
              <w:docPartGallery w:val="autotext"/>
            </w:docPartObj>
          </w:sdtPr>
          <w:sdtEndPr>
            <w:rPr>
              <w:rFonts w:ascii="宋体" w:hAnsi="宋体" w:eastAsia="宋体"/>
              <w:sz w:val="28"/>
              <w:szCs w:val="28"/>
            </w:rPr>
          </w:sdtEndPr>
          <w:sdtContent>
            <w:r>
              <w:rPr>
                <w:rFonts w:ascii="宋体" w:hAnsi="宋体" w:eastAsia="宋体"/>
                <w:sz w:val="28"/>
                <w:szCs w:val="28"/>
              </w:rPr>
              <w:fldChar w:fldCharType="begin"/>
            </w:r>
            <w:r>
              <w:rPr>
                <w:rFonts w:ascii="宋体" w:hAnsi="宋体" w:eastAsia="宋体"/>
                <w:sz w:val="28"/>
                <w:szCs w:val="28"/>
              </w:rPr>
              <w:instrText xml:space="preserve"> PAGE   \* MERGEFORMAT </w:instrText>
            </w:r>
            <w:r>
              <w:rPr>
                <w:rFonts w:ascii="宋体" w:hAnsi="宋体" w:eastAsia="宋体"/>
                <w:sz w:val="28"/>
                <w:szCs w:val="28"/>
              </w:rPr>
              <w:fldChar w:fldCharType="separate"/>
            </w:r>
            <w:r>
              <w:rPr>
                <w:rFonts w:ascii="宋体" w:hAnsi="宋体" w:eastAsia="宋体"/>
                <w:sz w:val="28"/>
                <w:szCs w:val="28"/>
                <w:lang w:val="zh-CN"/>
              </w:rPr>
              <w:t>35</w:t>
            </w:r>
            <w:r>
              <w:rPr>
                <w:rFonts w:ascii="宋体" w:hAnsi="宋体" w:eastAsia="宋体"/>
                <w:sz w:val="28"/>
                <w:szCs w:val="28"/>
              </w:rPr>
              <w:fldChar w:fldCharType="end"/>
            </w:r>
          </w:sdtContent>
        </w:sdt>
        <w:r>
          <w:rPr>
            <w:rFonts w:hint="eastAsia" w:ascii="宋体" w:hAnsi="宋体" w:eastAsia="宋体"/>
            <w:sz w:val="28"/>
            <w:szCs w:val="28"/>
          </w:rPr>
          <w:t xml:space="preserve"> —</w:t>
        </w:r>
      </w:p>
    </w:sdtContent>
  </w:sdt>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rPr>
        <w:rFonts w:hint="eastAsia"/>
        <w:sz w:val="28"/>
        <w:szCs w:val="28"/>
      </w:rPr>
      <w:id w:val="12601451"/>
      <w:docPartObj>
        <w:docPartGallery w:val="autotext"/>
      </w:docPartObj>
    </w:sdtPr>
    <w:sdtEndPr>
      <w:rPr>
        <w:rFonts w:hint="eastAsia" w:ascii="宋体" w:hAnsi="宋体" w:eastAsia="宋体"/>
        <w:sz w:val="28"/>
        <w:szCs w:val="28"/>
      </w:rPr>
    </w:sdtEndPr>
    <w:sdtContent>
      <w:p>
        <w:pPr>
          <w:pStyle w:val="15"/>
          <w:ind w:left="210" w:leftChars="100" w:right="210" w:rightChars="100"/>
          <w:jc w:val="center"/>
          <w:rPr>
            <w:rFonts w:ascii="宋体" w:hAnsi="宋体" w:eastAsia="宋体"/>
            <w:sz w:val="28"/>
            <w:szCs w:val="28"/>
          </w:rPr>
        </w:pPr>
        <w:r>
          <w:rPr>
            <w:rFonts w:hint="eastAsia" w:ascii="宋体" w:hAnsi="宋体" w:eastAsia="宋体"/>
            <w:sz w:val="28"/>
            <w:szCs w:val="28"/>
          </w:rPr>
          <w:t xml:space="preserve">— </w:t>
        </w:r>
        <w:sdt>
          <w:sdtPr>
            <w:rPr>
              <w:rFonts w:ascii="宋体" w:hAnsi="宋体" w:eastAsia="宋体"/>
              <w:sz w:val="28"/>
              <w:szCs w:val="28"/>
            </w:rPr>
            <w:id w:val="12601452"/>
            <w:docPartObj>
              <w:docPartGallery w:val="autotext"/>
            </w:docPartObj>
          </w:sdtPr>
          <w:sdtEndPr>
            <w:rPr>
              <w:rFonts w:ascii="宋体" w:hAnsi="宋体" w:eastAsia="宋体"/>
              <w:sz w:val="28"/>
              <w:szCs w:val="28"/>
            </w:rPr>
          </w:sdtEndPr>
          <w:sdtContent>
            <w:r>
              <w:rPr>
                <w:rFonts w:ascii="宋体" w:hAnsi="宋体" w:eastAsia="宋体"/>
                <w:sz w:val="28"/>
                <w:szCs w:val="28"/>
              </w:rPr>
              <w:fldChar w:fldCharType="begin"/>
            </w:r>
            <w:r>
              <w:rPr>
                <w:rFonts w:ascii="宋体" w:hAnsi="宋体" w:eastAsia="宋体"/>
                <w:sz w:val="28"/>
                <w:szCs w:val="28"/>
              </w:rPr>
              <w:instrText xml:space="preserve"> PAGE   \* MERGEFORMAT </w:instrText>
            </w:r>
            <w:r>
              <w:rPr>
                <w:rFonts w:ascii="宋体" w:hAnsi="宋体" w:eastAsia="宋体"/>
                <w:sz w:val="28"/>
                <w:szCs w:val="28"/>
              </w:rPr>
              <w:fldChar w:fldCharType="separate"/>
            </w:r>
            <w:r>
              <w:rPr>
                <w:rFonts w:ascii="宋体" w:hAnsi="宋体" w:eastAsia="宋体"/>
                <w:sz w:val="28"/>
                <w:szCs w:val="28"/>
                <w:lang w:val="zh-CN"/>
              </w:rPr>
              <w:t>40</w:t>
            </w:r>
            <w:r>
              <w:rPr>
                <w:rFonts w:ascii="宋体" w:hAnsi="宋体" w:eastAsia="宋体"/>
                <w:sz w:val="28"/>
                <w:szCs w:val="28"/>
              </w:rPr>
              <w:fldChar w:fldCharType="end"/>
            </w:r>
          </w:sdtContent>
        </w:sdt>
        <w:r>
          <w:rPr>
            <w:rFonts w:hint="eastAsia" w:ascii="宋体" w:hAnsi="宋体" w:eastAsia="宋体"/>
            <w:sz w:val="28"/>
            <w:szCs w:val="28"/>
          </w:rPr>
          <w:t xml:space="preserve"> —</w:t>
        </w:r>
      </w:p>
    </w:sdtContent>
  </w:sdt>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ind w:left="42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ind w:left="42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6"/>
      <w:ind w:firstLine="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000015"/>
    <w:multiLevelType w:val="multilevel"/>
    <w:tmpl w:val="00000015"/>
    <w:lvl w:ilvl="0" w:tentative="0">
      <w:start w:val="1"/>
      <w:numFmt w:val="decimal"/>
      <w:suff w:val="nothing"/>
      <w:lvlText w:val="%1　"/>
      <w:lvlJc w:val="left"/>
      <w:pPr>
        <w:ind w:left="420" w:firstLine="0"/>
      </w:pPr>
      <w:rPr>
        <w:rFonts w:hint="eastAsia" w:ascii="黑体" w:hAnsi="Times New Roman" w:eastAsia="黑体"/>
        <w:b w:val="0"/>
        <w:i w:val="0"/>
        <w:sz w:val="21"/>
        <w:szCs w:val="21"/>
      </w:rPr>
    </w:lvl>
    <w:lvl w:ilvl="1" w:tentative="0">
      <w:start w:val="1"/>
      <w:numFmt w:val="decimal"/>
      <w:pStyle w:val="68"/>
      <w:suff w:val="nothing"/>
      <w:lvlText w:val="%1.%2　"/>
      <w:lvlJc w:val="left"/>
      <w:pPr>
        <w:ind w:left="2977" w:firstLine="0"/>
      </w:pPr>
      <w:rPr>
        <w:rFonts w:hint="eastAsia" w:ascii="黑体" w:hAnsi="Times New Roman" w:eastAsia="黑体" w:cs="Times New Roman"/>
        <w:b w:val="0"/>
        <w:bCs w:val="0"/>
        <w:i w:val="0"/>
        <w:iCs w:val="0"/>
        <w:caps w:val="0"/>
        <w:strike w:val="0"/>
        <w:dstrike w:val="0"/>
        <w:vanish w:val="0"/>
        <w:color w:val="auto"/>
        <w:spacing w:val="0"/>
        <w:kern w:val="0"/>
        <w:position w:val="0"/>
        <w:sz w:val="21"/>
        <w:szCs w:val="21"/>
        <w:u w:val="none"/>
        <w:vertAlign w:val="baseline"/>
      </w:rPr>
    </w:lvl>
    <w:lvl w:ilvl="2" w:tentative="0">
      <w:start w:val="1"/>
      <w:numFmt w:val="decimal"/>
      <w:suff w:val="nothing"/>
      <w:lvlText w:val="%1.%2.%3　"/>
      <w:lvlJc w:val="left"/>
      <w:pPr>
        <w:ind w:left="0" w:firstLine="0"/>
      </w:pPr>
      <w:rPr>
        <w:rFonts w:hint="eastAsia" w:ascii="黑体" w:hAnsi="Times New Roman" w:eastAsia="黑体"/>
        <w:b w:val="0"/>
        <w:i w:val="0"/>
        <w:sz w:val="21"/>
      </w:rPr>
    </w:lvl>
    <w:lvl w:ilvl="3" w:tentative="0">
      <w:start w:val="1"/>
      <w:numFmt w:val="decimal"/>
      <w:suff w:val="nothing"/>
      <w:lvlText w:val="%1.%2.%3.%4　"/>
      <w:lvlJc w:val="left"/>
      <w:pPr>
        <w:ind w:left="709" w:firstLine="0"/>
      </w:pPr>
      <w:rPr>
        <w:rFonts w:hint="eastAsia" w:ascii="黑体" w:hAnsi="Times New Roman" w:eastAsia="黑体"/>
        <w:b w:val="0"/>
        <w:i w:val="0"/>
        <w:sz w:val="21"/>
      </w:rPr>
    </w:lvl>
    <w:lvl w:ilvl="4" w:tentative="0">
      <w:start w:val="1"/>
      <w:numFmt w:val="decimal"/>
      <w:suff w:val="nothing"/>
      <w:lvlText w:val="%1.%2.%3.%4.%5　"/>
      <w:lvlJc w:val="left"/>
      <w:pPr>
        <w:ind w:left="0" w:firstLine="0"/>
      </w:pPr>
      <w:rPr>
        <w:rFonts w:hint="eastAsia" w:ascii="黑体" w:hAnsi="Times New Roman" w:eastAsia="黑体"/>
        <w:b w:val="0"/>
        <w:i w:val="0"/>
        <w:sz w:val="21"/>
      </w:rPr>
    </w:lvl>
    <w:lvl w:ilvl="5" w:tentative="0">
      <w:start w:val="1"/>
      <w:numFmt w:val="decimal"/>
      <w:suff w:val="nothing"/>
      <w:lvlText w:val="%1.%2.%3.%4.%5.%6　"/>
      <w:lvlJc w:val="left"/>
      <w:pPr>
        <w:ind w:left="0" w:firstLine="0"/>
      </w:pPr>
      <w:rPr>
        <w:rFonts w:hint="eastAsia" w:ascii="黑体" w:hAnsi="Times New Roman" w:eastAsia="黑体"/>
        <w:b w:val="0"/>
        <w:i w:val="0"/>
        <w:sz w:val="21"/>
      </w:rPr>
    </w:lvl>
    <w:lvl w:ilvl="6" w:tentative="0">
      <w:start w:val="1"/>
      <w:numFmt w:val="decimal"/>
      <w:suff w:val="nothing"/>
      <w:lvlText w:val="%1%2.%3.%4.%5.%6.%7　"/>
      <w:lvlJc w:val="left"/>
      <w:pPr>
        <w:ind w:left="0" w:firstLine="0"/>
      </w:pPr>
      <w:rPr>
        <w:rFonts w:hint="eastAsia" w:ascii="黑体" w:hAnsi="Times New Roman"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60"/>
  <w:bordersDoNotSurroundHeader w:val="true"/>
  <w:bordersDoNotSurroundFooter w:val="true"/>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A347E"/>
    <w:rsid w:val="00163244"/>
    <w:rsid w:val="001A4B1A"/>
    <w:rsid w:val="001F03F3"/>
    <w:rsid w:val="002A347E"/>
    <w:rsid w:val="00365C2C"/>
    <w:rsid w:val="00366290"/>
    <w:rsid w:val="00376989"/>
    <w:rsid w:val="004036F1"/>
    <w:rsid w:val="00410A20"/>
    <w:rsid w:val="00436044"/>
    <w:rsid w:val="004568BC"/>
    <w:rsid w:val="00463307"/>
    <w:rsid w:val="005049BE"/>
    <w:rsid w:val="005115ED"/>
    <w:rsid w:val="005A7ADF"/>
    <w:rsid w:val="005C1795"/>
    <w:rsid w:val="006558B1"/>
    <w:rsid w:val="006619FA"/>
    <w:rsid w:val="006906C3"/>
    <w:rsid w:val="006A19AC"/>
    <w:rsid w:val="006D002A"/>
    <w:rsid w:val="006E115B"/>
    <w:rsid w:val="007A028F"/>
    <w:rsid w:val="007E1153"/>
    <w:rsid w:val="00900BAD"/>
    <w:rsid w:val="00935711"/>
    <w:rsid w:val="009815FD"/>
    <w:rsid w:val="00A31B5A"/>
    <w:rsid w:val="00A32DF6"/>
    <w:rsid w:val="00A97933"/>
    <w:rsid w:val="00AB7316"/>
    <w:rsid w:val="00B0199B"/>
    <w:rsid w:val="00B1024A"/>
    <w:rsid w:val="00B969CC"/>
    <w:rsid w:val="00C84831"/>
    <w:rsid w:val="00C9244E"/>
    <w:rsid w:val="00CD46CA"/>
    <w:rsid w:val="00CE07F3"/>
    <w:rsid w:val="00CE0AC4"/>
    <w:rsid w:val="00CF24DE"/>
    <w:rsid w:val="00D273F6"/>
    <w:rsid w:val="00DA38A5"/>
    <w:rsid w:val="00E34ADA"/>
    <w:rsid w:val="00E53271"/>
    <w:rsid w:val="00EC461E"/>
    <w:rsid w:val="00F37574"/>
    <w:rsid w:val="00F60996"/>
    <w:rsid w:val="00F9675A"/>
    <w:rsid w:val="00FA275E"/>
    <w:rsid w:val="00FD7BBC"/>
    <w:rsid w:val="5FD7DAA5"/>
    <w:rsid w:val="7B384B4B"/>
    <w:rsid w:val="7DF25EB2"/>
    <w:rsid w:val="7FEB4C3C"/>
    <w:rsid w:val="7FFE02BB"/>
    <w:rsid w:val="DFEAB5CC"/>
    <w:rsid w:val="F6F3130A"/>
    <w:rsid w:val="FB6F61B0"/>
    <w:rsid w:val="FDFF0607"/>
    <w:rsid w:val="FF7E6D8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sdException w:qFormat="1" w:unhideWhenUsed="0" w:uiPriority="39" w:semiHidden="0" w:name="toc 2"/>
    <w:lsdException w:qFormat="1" w:unhideWhenUsed="0" w:uiPriority="39" w:semiHidden="0" w:name="toc 3"/>
    <w:lsdException w:qFormat="1" w:uiPriority="39" w:semiHidden="0" w:name="toc 4"/>
    <w:lsdException w:qFormat="1" w:uiPriority="39" w:semiHidden="0" w:name="toc 5"/>
    <w:lsdException w:qFormat="1" w:uiPriority="39" w:semiHidden="0" w:name="toc 6"/>
    <w:lsdException w:qFormat="1" w:uiPriority="39" w:semiHidden="0" w:name="toc 7"/>
    <w:lsdException w:qFormat="1" w:uiPriority="39" w:semiHidden="0" w:name="toc 8"/>
    <w:lsdException w:qFormat="1" w:uiPriority="39" w:semiHidden="0" w:name="toc 9"/>
    <w:lsdException w:uiPriority="99" w:name="Normal Indent"/>
    <w:lsdException w:uiPriority="99" w:name="footnote text"/>
    <w:lsdException w:qFormat="1" w:uiPriority="99" w:semiHidden="0"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semiHidden="0"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semiHidden="0"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99" w:semiHidden="0" w:name="Hyperlink"/>
    <w:lsdException w:qFormat="1" w:uiPriority="99" w:semiHidden="0" w:name="FollowedHyperlink"/>
    <w:lsdException w:qFormat="1" w:unhideWhenUsed="0" w:uiPriority="22" w:semiHidden="0" w:name="Strong"/>
    <w:lsdException w:qFormat="1" w:unhideWhenUsed="0" w:uiPriority="20" w:semiHidden="0" w:name="Emphasis"/>
    <w:lsdException w:qFormat="1" w:uiPriority="99" w:semiHidden="0" w:name="Document Map"/>
    <w:lsdException w:uiPriority="99"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nhideWhenUsed="0" w:uiPriority="99"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99" w:semiHidden="0" w:name="Balloon Text"/>
    <w:lsdException w:qFormat="1" w:unhideWhenUsed="0" w:uiPriority="0" w:semiHidden="0" w:name="Table Grid"/>
    <w:lsdException w:uiPriority="99" w:name="Table Theme"/>
    <w:lsdException w:qFormat="1" w:unhideWhenUsed="0" w:uiPriority="99" w:name="Placeholder Text"/>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link w:val="33"/>
    <w:qFormat/>
    <w:uiPriority w:val="9"/>
    <w:pPr>
      <w:keepNext/>
      <w:keepLines/>
      <w:spacing w:before="340" w:after="330" w:line="578" w:lineRule="auto"/>
      <w:outlineLvl w:val="0"/>
    </w:pPr>
    <w:rPr>
      <w:b/>
      <w:bCs/>
      <w:kern w:val="44"/>
      <w:sz w:val="44"/>
      <w:szCs w:val="44"/>
    </w:rPr>
  </w:style>
  <w:style w:type="paragraph" w:styleId="3">
    <w:name w:val="heading 2"/>
    <w:basedOn w:val="1"/>
    <w:next w:val="1"/>
    <w:link w:val="34"/>
    <w:unhideWhenUsed/>
    <w:qFormat/>
    <w:uiPriority w:val="9"/>
    <w:pPr>
      <w:keepNext/>
      <w:keepLines/>
      <w:spacing w:before="260" w:after="260" w:line="416" w:lineRule="auto"/>
      <w:outlineLvl w:val="1"/>
    </w:pPr>
    <w:rPr>
      <w:rFonts w:asciiTheme="majorHAnsi" w:hAnsiTheme="majorHAnsi" w:eastAsiaTheme="majorEastAsia" w:cstheme="majorBidi"/>
      <w:b/>
      <w:bCs/>
      <w:sz w:val="32"/>
      <w:szCs w:val="32"/>
    </w:rPr>
  </w:style>
  <w:style w:type="paragraph" w:styleId="4">
    <w:name w:val="heading 3"/>
    <w:basedOn w:val="1"/>
    <w:next w:val="1"/>
    <w:link w:val="35"/>
    <w:unhideWhenUsed/>
    <w:qFormat/>
    <w:uiPriority w:val="9"/>
    <w:pPr>
      <w:spacing w:beforeAutospacing="1" w:afterAutospacing="1"/>
      <w:jc w:val="left"/>
      <w:outlineLvl w:val="2"/>
    </w:pPr>
    <w:rPr>
      <w:rFonts w:hint="eastAsia" w:ascii="宋体" w:hAnsi="宋体" w:eastAsia="宋体" w:cs="Times New Roman"/>
      <w:b/>
      <w:kern w:val="0"/>
      <w:sz w:val="27"/>
      <w:szCs w:val="27"/>
    </w:rPr>
  </w:style>
  <w:style w:type="paragraph" w:styleId="5">
    <w:name w:val="heading 4"/>
    <w:basedOn w:val="1"/>
    <w:next w:val="1"/>
    <w:link w:val="36"/>
    <w:unhideWhenUsed/>
    <w:qFormat/>
    <w:uiPriority w:val="9"/>
    <w:pPr>
      <w:keepNext/>
      <w:keepLines/>
      <w:spacing w:before="280" w:after="290" w:line="376" w:lineRule="auto"/>
      <w:outlineLvl w:val="3"/>
    </w:pPr>
    <w:rPr>
      <w:rFonts w:ascii="Times New Roman" w:hAnsi="Times New Roman" w:eastAsia="宋体" w:cs="Times New Roman"/>
      <w:b/>
      <w:bCs/>
      <w:kern w:val="0"/>
      <w:sz w:val="24"/>
      <w:szCs w:val="28"/>
    </w:rPr>
  </w:style>
  <w:style w:type="character" w:default="1" w:styleId="27">
    <w:name w:val="Default Paragraph Font"/>
    <w:semiHidden/>
    <w:unhideWhenUsed/>
    <w:qFormat/>
    <w:uiPriority w:val="1"/>
  </w:style>
  <w:style w:type="table" w:default="1" w:styleId="25">
    <w:name w:val="Normal Table"/>
    <w:semiHidden/>
    <w:unhideWhenUsed/>
    <w:qFormat/>
    <w:uiPriority w:val="99"/>
    <w:tblPr>
      <w:tblCellMar>
        <w:top w:w="0" w:type="dxa"/>
        <w:left w:w="108" w:type="dxa"/>
        <w:bottom w:w="0" w:type="dxa"/>
        <w:right w:w="108" w:type="dxa"/>
      </w:tblCellMar>
    </w:tblPr>
  </w:style>
  <w:style w:type="paragraph" w:styleId="6">
    <w:name w:val="toc 7"/>
    <w:basedOn w:val="1"/>
    <w:next w:val="1"/>
    <w:unhideWhenUsed/>
    <w:qFormat/>
    <w:uiPriority w:val="39"/>
    <w:pPr>
      <w:ind w:left="2520" w:leftChars="1200"/>
    </w:pPr>
    <w:rPr>
      <w:szCs w:val="22"/>
    </w:rPr>
  </w:style>
  <w:style w:type="paragraph" w:styleId="7">
    <w:name w:val="Document Map"/>
    <w:basedOn w:val="1"/>
    <w:link w:val="76"/>
    <w:unhideWhenUsed/>
    <w:qFormat/>
    <w:uiPriority w:val="99"/>
    <w:pPr>
      <w:spacing w:line="440" w:lineRule="exact"/>
      <w:ind w:firstLine="200" w:firstLineChars="200"/>
      <w:jc w:val="left"/>
    </w:pPr>
    <w:rPr>
      <w:rFonts w:ascii="宋体" w:hAnsi="Times New Roman" w:eastAsia="宋体"/>
      <w:sz w:val="18"/>
      <w:szCs w:val="18"/>
    </w:rPr>
  </w:style>
  <w:style w:type="paragraph" w:styleId="8">
    <w:name w:val="annotation text"/>
    <w:basedOn w:val="1"/>
    <w:link w:val="37"/>
    <w:unhideWhenUsed/>
    <w:qFormat/>
    <w:uiPriority w:val="99"/>
    <w:pPr>
      <w:jc w:val="left"/>
    </w:pPr>
  </w:style>
  <w:style w:type="paragraph" w:styleId="9">
    <w:name w:val="Body Text Indent"/>
    <w:basedOn w:val="1"/>
    <w:link w:val="39"/>
    <w:qFormat/>
    <w:uiPriority w:val="0"/>
    <w:pPr>
      <w:ind w:firstLine="600" w:firstLineChars="200"/>
    </w:pPr>
    <w:rPr>
      <w:rFonts w:ascii="Times New Roman" w:hAnsi="Times New Roman" w:eastAsia="宋体" w:cs="Times New Roman"/>
      <w:sz w:val="30"/>
    </w:rPr>
  </w:style>
  <w:style w:type="paragraph" w:styleId="10">
    <w:name w:val="toc 5"/>
    <w:basedOn w:val="1"/>
    <w:next w:val="1"/>
    <w:unhideWhenUsed/>
    <w:qFormat/>
    <w:uiPriority w:val="39"/>
    <w:pPr>
      <w:ind w:left="1680" w:leftChars="800"/>
    </w:pPr>
    <w:rPr>
      <w:szCs w:val="22"/>
    </w:rPr>
  </w:style>
  <w:style w:type="paragraph" w:styleId="11">
    <w:name w:val="toc 3"/>
    <w:basedOn w:val="1"/>
    <w:next w:val="1"/>
    <w:qFormat/>
    <w:uiPriority w:val="39"/>
    <w:pPr>
      <w:ind w:left="840" w:leftChars="400"/>
    </w:pPr>
  </w:style>
  <w:style w:type="paragraph" w:styleId="12">
    <w:name w:val="toc 8"/>
    <w:basedOn w:val="1"/>
    <w:next w:val="1"/>
    <w:unhideWhenUsed/>
    <w:qFormat/>
    <w:uiPriority w:val="39"/>
    <w:pPr>
      <w:ind w:left="2940" w:leftChars="1400"/>
    </w:pPr>
    <w:rPr>
      <w:szCs w:val="22"/>
    </w:rPr>
  </w:style>
  <w:style w:type="paragraph" w:styleId="13">
    <w:name w:val="Date"/>
    <w:basedOn w:val="1"/>
    <w:next w:val="1"/>
    <w:link w:val="40"/>
    <w:unhideWhenUsed/>
    <w:qFormat/>
    <w:uiPriority w:val="99"/>
    <w:pPr>
      <w:widowControl/>
      <w:spacing w:line="360" w:lineRule="auto"/>
      <w:ind w:left="100" w:leftChars="2500"/>
    </w:pPr>
    <w:rPr>
      <w:rFonts w:ascii="Calibri" w:hAnsi="Calibri" w:eastAsia="宋体" w:cs="Times New Roman"/>
      <w:kern w:val="0"/>
      <w:sz w:val="24"/>
      <w:szCs w:val="20"/>
    </w:rPr>
  </w:style>
  <w:style w:type="paragraph" w:styleId="14">
    <w:name w:val="Balloon Text"/>
    <w:basedOn w:val="1"/>
    <w:link w:val="41"/>
    <w:qFormat/>
    <w:uiPriority w:val="99"/>
    <w:pPr>
      <w:widowControl/>
    </w:pPr>
    <w:rPr>
      <w:rFonts w:hint="eastAsia" w:ascii="Times New Roman" w:hAnsi="Times New Roman" w:eastAsia="宋体" w:cs="Times New Roman"/>
      <w:sz w:val="18"/>
      <w:szCs w:val="18"/>
    </w:rPr>
  </w:style>
  <w:style w:type="paragraph" w:styleId="15">
    <w:name w:val="footer"/>
    <w:basedOn w:val="1"/>
    <w:link w:val="32"/>
    <w:unhideWhenUsed/>
    <w:qFormat/>
    <w:uiPriority w:val="99"/>
    <w:pPr>
      <w:tabs>
        <w:tab w:val="center" w:pos="4153"/>
        <w:tab w:val="right" w:pos="8306"/>
      </w:tabs>
      <w:snapToGrid w:val="0"/>
      <w:jc w:val="left"/>
    </w:pPr>
    <w:rPr>
      <w:sz w:val="18"/>
      <w:szCs w:val="18"/>
    </w:rPr>
  </w:style>
  <w:style w:type="paragraph" w:styleId="16">
    <w:name w:val="header"/>
    <w:basedOn w:val="1"/>
    <w:link w:val="31"/>
    <w:unhideWhenUsed/>
    <w:qFormat/>
    <w:uiPriority w:val="99"/>
    <w:pPr>
      <w:pBdr>
        <w:bottom w:val="single" w:color="auto" w:sz="6" w:space="1"/>
      </w:pBdr>
      <w:tabs>
        <w:tab w:val="center" w:pos="4153"/>
        <w:tab w:val="right" w:pos="8306"/>
      </w:tabs>
      <w:snapToGrid w:val="0"/>
      <w:jc w:val="center"/>
    </w:pPr>
    <w:rPr>
      <w:sz w:val="18"/>
      <w:szCs w:val="18"/>
    </w:rPr>
  </w:style>
  <w:style w:type="paragraph" w:styleId="17">
    <w:name w:val="toc 1"/>
    <w:basedOn w:val="1"/>
    <w:next w:val="1"/>
    <w:qFormat/>
    <w:uiPriority w:val="39"/>
    <w:pPr>
      <w:widowControl/>
      <w:spacing w:line="360" w:lineRule="auto"/>
    </w:pPr>
    <w:rPr>
      <w:rFonts w:hint="eastAsia" w:ascii="Times New Roman" w:hAnsi="Times New Roman" w:eastAsia="宋体" w:cs="Times New Roman"/>
      <w:sz w:val="24"/>
      <w:szCs w:val="20"/>
    </w:rPr>
  </w:style>
  <w:style w:type="paragraph" w:styleId="18">
    <w:name w:val="toc 4"/>
    <w:basedOn w:val="1"/>
    <w:next w:val="1"/>
    <w:unhideWhenUsed/>
    <w:qFormat/>
    <w:uiPriority w:val="39"/>
    <w:pPr>
      <w:ind w:left="1260" w:leftChars="600"/>
    </w:pPr>
    <w:rPr>
      <w:szCs w:val="22"/>
    </w:rPr>
  </w:style>
  <w:style w:type="paragraph" w:styleId="19">
    <w:name w:val="toc 6"/>
    <w:basedOn w:val="1"/>
    <w:next w:val="1"/>
    <w:unhideWhenUsed/>
    <w:qFormat/>
    <w:uiPriority w:val="39"/>
    <w:pPr>
      <w:ind w:left="2100" w:leftChars="1000"/>
    </w:pPr>
    <w:rPr>
      <w:szCs w:val="22"/>
    </w:rPr>
  </w:style>
  <w:style w:type="paragraph" w:styleId="20">
    <w:name w:val="toc 2"/>
    <w:basedOn w:val="1"/>
    <w:next w:val="1"/>
    <w:qFormat/>
    <w:uiPriority w:val="39"/>
    <w:pPr>
      <w:ind w:left="420" w:leftChars="200"/>
    </w:pPr>
  </w:style>
  <w:style w:type="paragraph" w:styleId="21">
    <w:name w:val="toc 9"/>
    <w:basedOn w:val="1"/>
    <w:next w:val="1"/>
    <w:unhideWhenUsed/>
    <w:qFormat/>
    <w:uiPriority w:val="39"/>
    <w:pPr>
      <w:ind w:left="3360" w:leftChars="1600"/>
    </w:pPr>
    <w:rPr>
      <w:szCs w:val="22"/>
    </w:rPr>
  </w:style>
  <w:style w:type="paragraph" w:styleId="22">
    <w:name w:val="Normal (Web)"/>
    <w:basedOn w:val="1"/>
    <w:qFormat/>
    <w:uiPriority w:val="99"/>
    <w:pPr>
      <w:spacing w:beforeAutospacing="1" w:afterAutospacing="1"/>
      <w:jc w:val="left"/>
    </w:pPr>
    <w:rPr>
      <w:rFonts w:cs="Times New Roman"/>
      <w:kern w:val="0"/>
      <w:sz w:val="24"/>
    </w:rPr>
  </w:style>
  <w:style w:type="paragraph" w:styleId="23">
    <w:name w:val="Title"/>
    <w:basedOn w:val="1"/>
    <w:next w:val="1"/>
    <w:link w:val="67"/>
    <w:qFormat/>
    <w:uiPriority w:val="10"/>
    <w:pPr>
      <w:spacing w:before="240" w:after="60"/>
      <w:jc w:val="center"/>
      <w:outlineLvl w:val="0"/>
    </w:pPr>
    <w:rPr>
      <w:rFonts w:ascii="Times New Roman" w:hAnsi="Times New Roman" w:cs="Times New Roman"/>
      <w:b/>
      <w:bCs/>
      <w:sz w:val="18"/>
      <w:szCs w:val="32"/>
    </w:rPr>
  </w:style>
  <w:style w:type="paragraph" w:styleId="24">
    <w:name w:val="annotation subject"/>
    <w:basedOn w:val="8"/>
    <w:next w:val="8"/>
    <w:link w:val="38"/>
    <w:qFormat/>
    <w:uiPriority w:val="99"/>
    <w:rPr>
      <w:rFonts w:ascii="Times New Roman" w:hAnsi="Times New Roman" w:eastAsia="宋体" w:cs="Times New Roman"/>
      <w:b/>
      <w:bCs/>
      <w:kern w:val="0"/>
      <w:sz w:val="24"/>
      <w:szCs w:val="20"/>
    </w:rPr>
  </w:style>
  <w:style w:type="table" w:styleId="26">
    <w:name w:val="Table Grid"/>
    <w:basedOn w:val="25"/>
    <w:qFormat/>
    <w:uiPriority w:val="0"/>
    <w:rPr>
      <w:rFonts w:ascii="等线" w:hAnsi="等线" w:eastAsia="等线" w:cs="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8">
    <w:name w:val="FollowedHyperlink"/>
    <w:basedOn w:val="27"/>
    <w:unhideWhenUsed/>
    <w:qFormat/>
    <w:uiPriority w:val="99"/>
    <w:rPr>
      <w:color w:val="954F72"/>
      <w:u w:val="single"/>
    </w:rPr>
  </w:style>
  <w:style w:type="character" w:styleId="29">
    <w:name w:val="Hyperlink"/>
    <w:basedOn w:val="27"/>
    <w:qFormat/>
    <w:uiPriority w:val="99"/>
    <w:rPr>
      <w:color w:val="0000FF"/>
      <w:u w:val="single"/>
    </w:rPr>
  </w:style>
  <w:style w:type="character" w:styleId="30">
    <w:name w:val="annotation reference"/>
    <w:basedOn w:val="27"/>
    <w:unhideWhenUsed/>
    <w:qFormat/>
    <w:uiPriority w:val="99"/>
    <w:rPr>
      <w:sz w:val="21"/>
      <w:szCs w:val="21"/>
    </w:rPr>
  </w:style>
  <w:style w:type="character" w:customStyle="1" w:styleId="31">
    <w:name w:val="页眉 字符"/>
    <w:basedOn w:val="27"/>
    <w:link w:val="16"/>
    <w:qFormat/>
    <w:uiPriority w:val="99"/>
    <w:rPr>
      <w:sz w:val="18"/>
      <w:szCs w:val="18"/>
    </w:rPr>
  </w:style>
  <w:style w:type="character" w:customStyle="1" w:styleId="32">
    <w:name w:val="页脚 字符"/>
    <w:basedOn w:val="27"/>
    <w:link w:val="15"/>
    <w:qFormat/>
    <w:uiPriority w:val="99"/>
    <w:rPr>
      <w:sz w:val="18"/>
      <w:szCs w:val="18"/>
    </w:rPr>
  </w:style>
  <w:style w:type="character" w:customStyle="1" w:styleId="33">
    <w:name w:val="标题 1 字符"/>
    <w:basedOn w:val="27"/>
    <w:link w:val="2"/>
    <w:qFormat/>
    <w:uiPriority w:val="9"/>
    <w:rPr>
      <w:b/>
      <w:bCs/>
      <w:kern w:val="44"/>
      <w:sz w:val="44"/>
      <w:szCs w:val="44"/>
    </w:rPr>
  </w:style>
  <w:style w:type="character" w:customStyle="1" w:styleId="34">
    <w:name w:val="标题 2 字符"/>
    <w:basedOn w:val="27"/>
    <w:link w:val="3"/>
    <w:qFormat/>
    <w:uiPriority w:val="9"/>
    <w:rPr>
      <w:rFonts w:asciiTheme="majorHAnsi" w:hAnsiTheme="majorHAnsi" w:eastAsiaTheme="majorEastAsia" w:cstheme="majorBidi"/>
      <w:b/>
      <w:bCs/>
      <w:sz w:val="32"/>
      <w:szCs w:val="32"/>
    </w:rPr>
  </w:style>
  <w:style w:type="character" w:customStyle="1" w:styleId="35">
    <w:name w:val="标题 3 字符"/>
    <w:basedOn w:val="27"/>
    <w:link w:val="4"/>
    <w:qFormat/>
    <w:uiPriority w:val="9"/>
    <w:rPr>
      <w:rFonts w:ascii="宋体" w:hAnsi="宋体" w:eastAsia="宋体" w:cs="Times New Roman"/>
      <w:b/>
      <w:kern w:val="0"/>
      <w:sz w:val="27"/>
      <w:szCs w:val="27"/>
    </w:rPr>
  </w:style>
  <w:style w:type="character" w:customStyle="1" w:styleId="36">
    <w:name w:val="标题 4 字符1"/>
    <w:basedOn w:val="27"/>
    <w:link w:val="5"/>
    <w:qFormat/>
    <w:uiPriority w:val="9"/>
    <w:rPr>
      <w:rFonts w:ascii="Times New Roman" w:hAnsi="Times New Roman" w:eastAsia="宋体" w:cs="Times New Roman"/>
      <w:b/>
      <w:bCs/>
      <w:kern w:val="0"/>
      <w:sz w:val="24"/>
      <w:szCs w:val="28"/>
    </w:rPr>
  </w:style>
  <w:style w:type="character" w:customStyle="1" w:styleId="37">
    <w:name w:val="批注文字 字符1"/>
    <w:basedOn w:val="27"/>
    <w:link w:val="8"/>
    <w:qFormat/>
    <w:uiPriority w:val="99"/>
    <w:rPr>
      <w:szCs w:val="24"/>
    </w:rPr>
  </w:style>
  <w:style w:type="character" w:customStyle="1" w:styleId="38">
    <w:name w:val="批注主题 字符1"/>
    <w:basedOn w:val="37"/>
    <w:link w:val="24"/>
    <w:qFormat/>
    <w:uiPriority w:val="99"/>
    <w:rPr>
      <w:rFonts w:ascii="Times New Roman" w:hAnsi="Times New Roman" w:eastAsia="宋体" w:cs="Times New Roman"/>
      <w:b/>
      <w:bCs/>
      <w:kern w:val="0"/>
      <w:sz w:val="24"/>
      <w:szCs w:val="20"/>
    </w:rPr>
  </w:style>
  <w:style w:type="character" w:customStyle="1" w:styleId="39">
    <w:name w:val="正文文本缩进 字符"/>
    <w:basedOn w:val="27"/>
    <w:link w:val="9"/>
    <w:qFormat/>
    <w:uiPriority w:val="0"/>
    <w:rPr>
      <w:rFonts w:ascii="Times New Roman" w:hAnsi="Times New Roman" w:eastAsia="宋体" w:cs="Times New Roman"/>
      <w:sz w:val="30"/>
      <w:szCs w:val="24"/>
    </w:rPr>
  </w:style>
  <w:style w:type="character" w:customStyle="1" w:styleId="40">
    <w:name w:val="日期 字符"/>
    <w:basedOn w:val="27"/>
    <w:link w:val="13"/>
    <w:qFormat/>
    <w:uiPriority w:val="99"/>
    <w:rPr>
      <w:rFonts w:ascii="Calibri" w:hAnsi="Calibri" w:eastAsia="宋体" w:cs="Times New Roman"/>
      <w:kern w:val="0"/>
      <w:sz w:val="24"/>
      <w:szCs w:val="20"/>
    </w:rPr>
  </w:style>
  <w:style w:type="character" w:customStyle="1" w:styleId="41">
    <w:name w:val="批注框文本 字符"/>
    <w:basedOn w:val="27"/>
    <w:link w:val="14"/>
    <w:qFormat/>
    <w:uiPriority w:val="99"/>
    <w:rPr>
      <w:rFonts w:ascii="Times New Roman" w:hAnsi="Times New Roman" w:eastAsia="宋体" w:cs="Times New Roman"/>
      <w:sz w:val="18"/>
      <w:szCs w:val="18"/>
    </w:rPr>
  </w:style>
  <w:style w:type="paragraph" w:customStyle="1" w:styleId="42">
    <w:name w:val="p0"/>
    <w:basedOn w:val="1"/>
    <w:qFormat/>
    <w:uiPriority w:val="0"/>
    <w:pPr>
      <w:widowControl/>
      <w:spacing w:before="100" w:beforeAutospacing="1"/>
    </w:pPr>
    <w:rPr>
      <w:kern w:val="0"/>
      <w:sz w:val="32"/>
      <w:szCs w:val="32"/>
    </w:rPr>
  </w:style>
  <w:style w:type="character" w:customStyle="1" w:styleId="43">
    <w:name w:val="页眉 字符1"/>
    <w:basedOn w:val="27"/>
    <w:semiHidden/>
    <w:qFormat/>
    <w:uiPriority w:val="99"/>
    <w:rPr>
      <w:rFonts w:hint="default"/>
      <w:kern w:val="2"/>
      <w:sz w:val="18"/>
      <w:szCs w:val="18"/>
    </w:rPr>
  </w:style>
  <w:style w:type="character" w:customStyle="1" w:styleId="44">
    <w:name w:val="页脚 字符1"/>
    <w:basedOn w:val="27"/>
    <w:semiHidden/>
    <w:qFormat/>
    <w:uiPriority w:val="99"/>
    <w:rPr>
      <w:rFonts w:hint="default"/>
      <w:kern w:val="2"/>
      <w:sz w:val="18"/>
      <w:szCs w:val="18"/>
    </w:rPr>
  </w:style>
  <w:style w:type="character" w:customStyle="1" w:styleId="45">
    <w:name w:val="日期 字符1"/>
    <w:basedOn w:val="27"/>
    <w:qFormat/>
    <w:uiPriority w:val="99"/>
    <w:rPr>
      <w:rFonts w:asciiTheme="minorHAnsi" w:hAnsiTheme="minorHAnsi" w:eastAsiaTheme="minorEastAsia" w:cstheme="minorBidi"/>
      <w:kern w:val="2"/>
      <w:sz w:val="21"/>
      <w:szCs w:val="24"/>
    </w:rPr>
  </w:style>
  <w:style w:type="paragraph" w:customStyle="1" w:styleId="46">
    <w:name w:val="TOC 标题1"/>
    <w:basedOn w:val="2"/>
    <w:next w:val="1"/>
    <w:unhideWhenUsed/>
    <w:qFormat/>
    <w:uiPriority w:val="39"/>
    <w:pPr>
      <w:widowControl/>
      <w:spacing w:before="240" w:after="0" w:line="259" w:lineRule="auto"/>
      <w:jc w:val="left"/>
      <w:outlineLvl w:val="9"/>
    </w:pPr>
    <w:rPr>
      <w:rFonts w:ascii="等线 Light" w:hAnsi="等线 Light" w:eastAsia="等线 Light" w:cs="Times New Roman"/>
      <w:b w:val="0"/>
      <w:bCs w:val="0"/>
      <w:color w:val="2E74B5"/>
      <w:kern w:val="0"/>
      <w:sz w:val="32"/>
      <w:szCs w:val="32"/>
    </w:rPr>
  </w:style>
  <w:style w:type="paragraph" w:customStyle="1" w:styleId="47">
    <w:name w:val="标题 41"/>
    <w:basedOn w:val="1"/>
    <w:next w:val="1"/>
    <w:unhideWhenUsed/>
    <w:qFormat/>
    <w:uiPriority w:val="9"/>
    <w:pPr>
      <w:keepNext/>
      <w:keepLines/>
      <w:spacing w:line="360" w:lineRule="auto"/>
      <w:outlineLvl w:val="3"/>
    </w:pPr>
    <w:rPr>
      <w:rFonts w:ascii="Times New Roman" w:hAnsi="Times New Roman" w:eastAsia="宋体" w:cs="Times New Roman"/>
      <w:b/>
      <w:bCs/>
      <w:sz w:val="24"/>
      <w:szCs w:val="28"/>
    </w:rPr>
  </w:style>
  <w:style w:type="character" w:customStyle="1" w:styleId="48">
    <w:name w:val="标题 4 字符"/>
    <w:basedOn w:val="27"/>
    <w:qFormat/>
    <w:uiPriority w:val="9"/>
    <w:rPr>
      <w:rFonts w:ascii="Times New Roman" w:hAnsi="Times New Roman" w:eastAsia="宋体" w:cs="Times New Roman"/>
      <w:b/>
      <w:bCs/>
      <w:sz w:val="24"/>
      <w:szCs w:val="28"/>
    </w:rPr>
  </w:style>
  <w:style w:type="paragraph" w:customStyle="1" w:styleId="49">
    <w:name w:val="Char Char Char Char Char Char Char Char Char Char"/>
    <w:basedOn w:val="1"/>
    <w:qFormat/>
    <w:uiPriority w:val="0"/>
    <w:pPr>
      <w:autoSpaceDE w:val="0"/>
      <w:autoSpaceDN w:val="0"/>
      <w:spacing w:line="360" w:lineRule="auto"/>
      <w:ind w:firstLine="200" w:firstLineChars="200"/>
    </w:pPr>
    <w:rPr>
      <w:rFonts w:ascii="Times New Roman" w:hAnsi="Times New Roman" w:eastAsia="宋体" w:cs="Times New Roman"/>
      <w:szCs w:val="21"/>
    </w:rPr>
  </w:style>
  <w:style w:type="table" w:customStyle="1" w:styleId="50">
    <w:name w:val="网格型1"/>
    <w:basedOn w:val="25"/>
    <w:qFormat/>
    <w:uiPriority w:val="39"/>
    <w:rPr>
      <w:rFonts w:ascii="等线" w:hAnsi="等线" w:eastAsia="等线" w:cs="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51">
    <w:name w:val="批注文字1"/>
    <w:basedOn w:val="1"/>
    <w:next w:val="8"/>
    <w:link w:val="52"/>
    <w:semiHidden/>
    <w:unhideWhenUsed/>
    <w:qFormat/>
    <w:uiPriority w:val="99"/>
    <w:pPr>
      <w:spacing w:line="360" w:lineRule="auto"/>
      <w:jc w:val="left"/>
    </w:pPr>
    <w:rPr>
      <w:rFonts w:ascii="Times New Roman" w:hAnsi="Times New Roman" w:eastAsia="宋体" w:cs="Times New Roman"/>
      <w:kern w:val="0"/>
      <w:sz w:val="24"/>
      <w:szCs w:val="20"/>
    </w:rPr>
  </w:style>
  <w:style w:type="character" w:customStyle="1" w:styleId="52">
    <w:name w:val="批注文字 字符"/>
    <w:basedOn w:val="27"/>
    <w:link w:val="51"/>
    <w:semiHidden/>
    <w:qFormat/>
    <w:uiPriority w:val="99"/>
    <w:rPr>
      <w:rFonts w:ascii="Times New Roman" w:hAnsi="Times New Roman" w:eastAsia="宋体" w:cs="Times New Roman"/>
      <w:kern w:val="0"/>
      <w:sz w:val="24"/>
      <w:szCs w:val="20"/>
    </w:rPr>
  </w:style>
  <w:style w:type="paragraph" w:customStyle="1" w:styleId="53">
    <w:name w:val="批注主题1"/>
    <w:basedOn w:val="8"/>
    <w:next w:val="8"/>
    <w:semiHidden/>
    <w:unhideWhenUsed/>
    <w:qFormat/>
    <w:uiPriority w:val="99"/>
    <w:pPr>
      <w:spacing w:line="360" w:lineRule="auto"/>
    </w:pPr>
    <w:rPr>
      <w:rFonts w:ascii="Times New Roman" w:hAnsi="Times New Roman" w:eastAsia="宋体"/>
      <w:b/>
      <w:bCs/>
      <w:sz w:val="24"/>
      <w:szCs w:val="22"/>
    </w:rPr>
  </w:style>
  <w:style w:type="character" w:customStyle="1" w:styleId="54">
    <w:name w:val="批注主题 字符"/>
    <w:basedOn w:val="52"/>
    <w:semiHidden/>
    <w:qFormat/>
    <w:uiPriority w:val="99"/>
    <w:rPr>
      <w:rFonts w:ascii="Times New Roman" w:hAnsi="Times New Roman" w:eastAsia="宋体" w:cs="Times New Roman"/>
      <w:b/>
      <w:bCs/>
      <w:kern w:val="0"/>
      <w:sz w:val="24"/>
      <w:szCs w:val="20"/>
    </w:rPr>
  </w:style>
  <w:style w:type="paragraph" w:customStyle="1" w:styleId="55">
    <w:name w:val="Default"/>
    <w:qFormat/>
    <w:uiPriority w:val="0"/>
    <w:pPr>
      <w:widowControl w:val="0"/>
      <w:autoSpaceDE w:val="0"/>
      <w:autoSpaceDN w:val="0"/>
      <w:adjustRightInd w:val="0"/>
    </w:pPr>
    <w:rPr>
      <w:rFonts w:ascii="宋体" w:hAnsi="等线" w:eastAsia="宋体" w:cs="宋体"/>
      <w:color w:val="000000"/>
      <w:kern w:val="0"/>
      <w:sz w:val="24"/>
      <w:szCs w:val="24"/>
      <w:lang w:val="en-US" w:eastAsia="zh-CN" w:bidi="ar-SA"/>
    </w:rPr>
  </w:style>
  <w:style w:type="character" w:styleId="56">
    <w:name w:val="Placeholder Text"/>
    <w:basedOn w:val="27"/>
    <w:semiHidden/>
    <w:qFormat/>
    <w:uiPriority w:val="99"/>
    <w:rPr>
      <w:color w:val="808080"/>
    </w:rPr>
  </w:style>
  <w:style w:type="paragraph" w:customStyle="1" w:styleId="57">
    <w:name w:val="c1"/>
    <w:basedOn w:val="1"/>
    <w:link w:val="58"/>
    <w:qFormat/>
    <w:uiPriority w:val="0"/>
    <w:pPr>
      <w:spacing w:line="440" w:lineRule="exact"/>
      <w:ind w:firstLine="200" w:firstLineChars="200"/>
    </w:pPr>
    <w:rPr>
      <w:rFonts w:ascii="宋体" w:hAnsi="宋体" w:eastAsia="宋体" w:cs="Times New Roman"/>
      <w:sz w:val="24"/>
    </w:rPr>
  </w:style>
  <w:style w:type="character" w:customStyle="1" w:styleId="58">
    <w:name w:val="c1 Char"/>
    <w:link w:val="57"/>
    <w:qFormat/>
    <w:uiPriority w:val="0"/>
    <w:rPr>
      <w:rFonts w:ascii="宋体" w:hAnsi="宋体" w:eastAsia="宋体" w:cs="Times New Roman"/>
      <w:sz w:val="24"/>
      <w:szCs w:val="24"/>
    </w:rPr>
  </w:style>
  <w:style w:type="paragraph" w:customStyle="1" w:styleId="59">
    <w:name w:val="目录 21"/>
    <w:basedOn w:val="1"/>
    <w:next w:val="1"/>
    <w:unhideWhenUsed/>
    <w:qFormat/>
    <w:uiPriority w:val="39"/>
    <w:pPr>
      <w:spacing w:line="360" w:lineRule="auto"/>
      <w:ind w:left="420" w:leftChars="200"/>
    </w:pPr>
    <w:rPr>
      <w:rFonts w:ascii="Times New Roman" w:hAnsi="Times New Roman" w:eastAsia="宋体"/>
      <w:sz w:val="24"/>
      <w:szCs w:val="22"/>
    </w:rPr>
  </w:style>
  <w:style w:type="paragraph" w:customStyle="1" w:styleId="60">
    <w:name w:val="目录 31"/>
    <w:basedOn w:val="1"/>
    <w:next w:val="1"/>
    <w:unhideWhenUsed/>
    <w:qFormat/>
    <w:uiPriority w:val="39"/>
    <w:pPr>
      <w:spacing w:line="360" w:lineRule="auto"/>
      <w:ind w:left="840" w:leftChars="400"/>
    </w:pPr>
    <w:rPr>
      <w:rFonts w:ascii="Times New Roman" w:hAnsi="Times New Roman" w:eastAsia="宋体"/>
      <w:sz w:val="24"/>
      <w:szCs w:val="22"/>
    </w:rPr>
  </w:style>
  <w:style w:type="paragraph" w:customStyle="1" w:styleId="61">
    <w:name w:val="标准书脚_奇数页"/>
    <w:qFormat/>
    <w:uiPriority w:val="0"/>
    <w:pPr>
      <w:spacing w:before="120"/>
      <w:ind w:right="198"/>
      <w:jc w:val="right"/>
    </w:pPr>
    <w:rPr>
      <w:rFonts w:ascii="宋体" w:hAnsi="Times New Roman" w:eastAsia="宋体" w:cs="Times New Roman"/>
      <w:kern w:val="0"/>
      <w:sz w:val="18"/>
      <w:szCs w:val="18"/>
      <w:lang w:val="en-US" w:eastAsia="zh-CN" w:bidi="ar-SA"/>
    </w:rPr>
  </w:style>
  <w:style w:type="paragraph" w:customStyle="1" w:styleId="62">
    <w:name w:val="标准书眉_奇数页"/>
    <w:next w:val="1"/>
    <w:qFormat/>
    <w:uiPriority w:val="0"/>
    <w:pPr>
      <w:tabs>
        <w:tab w:val="center" w:pos="4154"/>
        <w:tab w:val="right" w:pos="8306"/>
      </w:tabs>
      <w:spacing w:after="220"/>
      <w:jc w:val="right"/>
    </w:pPr>
    <w:rPr>
      <w:rFonts w:ascii="黑体" w:hAnsi="Times New Roman" w:eastAsia="黑体" w:cs="Times New Roman"/>
      <w:kern w:val="0"/>
      <w:sz w:val="21"/>
      <w:szCs w:val="21"/>
      <w:lang w:val="en-US" w:eastAsia="zh-CN" w:bidi="ar-SA"/>
    </w:rPr>
  </w:style>
  <w:style w:type="table" w:customStyle="1" w:styleId="63">
    <w:name w:val="网格型2"/>
    <w:basedOn w:val="25"/>
    <w:qFormat/>
    <w:uiPriority w:val="39"/>
    <w:rPr>
      <w:rFonts w:ascii="Calibri" w:hAnsi="Calibri" w:eastAsia="宋体" w:cs="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64">
    <w:name w:val="No Spacing"/>
    <w:qFormat/>
    <w:uiPriority w:val="1"/>
    <w:pPr>
      <w:widowControl w:val="0"/>
      <w:jc w:val="center"/>
    </w:pPr>
    <w:rPr>
      <w:rFonts w:ascii="Times New Roman" w:hAnsi="Times New Roman" w:eastAsia="宋体" w:cs="Times New Roman"/>
      <w:kern w:val="2"/>
      <w:sz w:val="18"/>
      <w:szCs w:val="22"/>
      <w:lang w:val="en-US" w:eastAsia="zh-CN" w:bidi="ar-SA"/>
    </w:rPr>
  </w:style>
  <w:style w:type="character" w:customStyle="1" w:styleId="65">
    <w:name w:val="不明显强调1"/>
    <w:basedOn w:val="27"/>
    <w:qFormat/>
    <w:uiPriority w:val="19"/>
    <w:rPr>
      <w:rFonts w:ascii="Times New Roman" w:hAnsi="Times New Roman" w:eastAsia="宋体"/>
      <w:b/>
      <w:iCs/>
      <w:color w:val="auto"/>
      <w:sz w:val="18"/>
    </w:rPr>
  </w:style>
  <w:style w:type="paragraph" w:customStyle="1" w:styleId="66">
    <w:name w:val="标题1"/>
    <w:basedOn w:val="1"/>
    <w:next w:val="1"/>
    <w:qFormat/>
    <w:uiPriority w:val="10"/>
    <w:pPr>
      <w:jc w:val="center"/>
    </w:pPr>
    <w:rPr>
      <w:rFonts w:ascii="Times New Roman" w:hAnsi="Times New Roman" w:cs="Times New Roman"/>
      <w:b/>
      <w:bCs/>
      <w:sz w:val="18"/>
      <w:szCs w:val="32"/>
    </w:rPr>
  </w:style>
  <w:style w:type="character" w:customStyle="1" w:styleId="67">
    <w:name w:val="标题 字符"/>
    <w:basedOn w:val="27"/>
    <w:link w:val="23"/>
    <w:qFormat/>
    <w:uiPriority w:val="10"/>
    <w:rPr>
      <w:rFonts w:ascii="Times New Roman" w:hAnsi="Times New Roman" w:cs="Times New Roman"/>
      <w:b/>
      <w:bCs/>
      <w:sz w:val="18"/>
      <w:szCs w:val="32"/>
    </w:rPr>
  </w:style>
  <w:style w:type="paragraph" w:customStyle="1" w:styleId="68">
    <w:name w:val="一级条标题"/>
    <w:next w:val="1"/>
    <w:qFormat/>
    <w:uiPriority w:val="0"/>
    <w:pPr>
      <w:numPr>
        <w:ilvl w:val="1"/>
        <w:numId w:val="1"/>
      </w:numPr>
      <w:spacing w:beforeLines="50" w:afterLines="50"/>
      <w:ind w:left="142"/>
      <w:outlineLvl w:val="2"/>
    </w:pPr>
    <w:rPr>
      <w:rFonts w:ascii="黑体" w:hAnsi="Times New Roman" w:eastAsia="黑体" w:cs="Times New Roman"/>
      <w:kern w:val="0"/>
      <w:sz w:val="21"/>
      <w:szCs w:val="21"/>
      <w:lang w:val="en-US" w:eastAsia="zh-CN" w:bidi="ar-SA"/>
    </w:rPr>
  </w:style>
  <w:style w:type="paragraph" w:customStyle="1" w:styleId="69">
    <w:name w:val="一级无"/>
    <w:basedOn w:val="68"/>
    <w:qFormat/>
    <w:uiPriority w:val="0"/>
    <w:pPr>
      <w:spacing w:beforeLines="0" w:afterLines="0"/>
      <w:ind w:left="0"/>
    </w:pPr>
    <w:rPr>
      <w:rFonts w:ascii="宋体" w:eastAsia="宋体"/>
    </w:rPr>
  </w:style>
  <w:style w:type="character" w:customStyle="1" w:styleId="70">
    <w:name w:val="段 Char Char"/>
    <w:link w:val="71"/>
    <w:qFormat/>
    <w:uiPriority w:val="0"/>
    <w:rPr>
      <w:rFonts w:ascii="宋体"/>
    </w:rPr>
  </w:style>
  <w:style w:type="paragraph" w:customStyle="1" w:styleId="71">
    <w:name w:val="段"/>
    <w:link w:val="70"/>
    <w:qFormat/>
    <w:uiPriority w:val="0"/>
    <w:pPr>
      <w:tabs>
        <w:tab w:val="center" w:pos="4201"/>
        <w:tab w:val="right" w:leader="dot" w:pos="9298"/>
      </w:tabs>
      <w:autoSpaceDE w:val="0"/>
      <w:autoSpaceDN w:val="0"/>
      <w:ind w:firstLine="420" w:firstLineChars="200"/>
      <w:jc w:val="both"/>
    </w:pPr>
    <w:rPr>
      <w:rFonts w:ascii="宋体" w:hAnsiTheme="minorHAnsi" w:eastAsiaTheme="minorEastAsia" w:cstheme="minorBidi"/>
      <w:kern w:val="2"/>
      <w:sz w:val="21"/>
      <w:szCs w:val="22"/>
      <w:lang w:val="en-US" w:eastAsia="zh-CN" w:bidi="ar-SA"/>
    </w:rPr>
  </w:style>
  <w:style w:type="paragraph" w:customStyle="1" w:styleId="72">
    <w:name w:val="TOC 标题2"/>
    <w:basedOn w:val="2"/>
    <w:next w:val="1"/>
    <w:unhideWhenUsed/>
    <w:qFormat/>
    <w:uiPriority w:val="39"/>
    <w:pPr>
      <w:widowControl/>
      <w:spacing w:before="480" w:after="0" w:line="276" w:lineRule="auto"/>
      <w:jc w:val="left"/>
      <w:outlineLvl w:val="9"/>
    </w:pPr>
    <w:rPr>
      <w:rFonts w:ascii="Cambria" w:hAnsi="Cambria" w:eastAsia="宋体" w:cs="Times New Roman"/>
      <w:color w:val="365F91"/>
      <w:kern w:val="0"/>
      <w:sz w:val="28"/>
      <w:szCs w:val="28"/>
    </w:rPr>
  </w:style>
  <w:style w:type="paragraph" w:customStyle="1" w:styleId="73">
    <w:name w:val="列出段落1"/>
    <w:basedOn w:val="1"/>
    <w:next w:val="74"/>
    <w:qFormat/>
    <w:uiPriority w:val="34"/>
    <w:pPr>
      <w:ind w:firstLine="420" w:firstLineChars="200"/>
    </w:pPr>
    <w:rPr>
      <w:szCs w:val="22"/>
    </w:rPr>
  </w:style>
  <w:style w:type="paragraph" w:styleId="74">
    <w:name w:val="List Paragraph"/>
    <w:basedOn w:val="1"/>
    <w:qFormat/>
    <w:uiPriority w:val="34"/>
    <w:pPr>
      <w:ind w:firstLine="420" w:firstLineChars="200"/>
    </w:pPr>
  </w:style>
  <w:style w:type="table" w:customStyle="1" w:styleId="75">
    <w:name w:val="网格型11"/>
    <w:basedOn w:val="25"/>
    <w:qFormat/>
    <w:uiPriority w:val="39"/>
    <w:rPr>
      <w:rFonts w:ascii="Calibri" w:hAnsi="Calibri" w:eastAsia="宋体" w:cs="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76">
    <w:name w:val="文档结构图 字符"/>
    <w:basedOn w:val="27"/>
    <w:link w:val="7"/>
    <w:qFormat/>
    <w:uiPriority w:val="99"/>
    <w:rPr>
      <w:rFonts w:ascii="宋体" w:hAnsi="Times New Roman" w:eastAsia="宋体"/>
      <w:sz w:val="18"/>
      <w:szCs w:val="18"/>
    </w:rPr>
  </w:style>
  <w:style w:type="character" w:customStyle="1" w:styleId="77">
    <w:name w:val="Subtle Emphasis"/>
    <w:basedOn w:val="27"/>
    <w:qFormat/>
    <w:uiPriority w:val="19"/>
    <w:rPr>
      <w:i/>
      <w:iCs/>
      <w:color w:val="404040" w:themeColor="text1" w:themeTint="BF"/>
      <w14:textFill>
        <w14:solidFill>
          <w14:schemeClr w14:val="tx1">
            <w14:lumMod w14:val="75000"/>
            <w14:lumOff w14:val="25000"/>
          </w14:schemeClr>
        </w14:solidFill>
      </w14:textFill>
    </w:rPr>
  </w:style>
  <w:style w:type="character" w:customStyle="1" w:styleId="78">
    <w:name w:val="标题 Char1"/>
    <w:basedOn w:val="27"/>
    <w:qFormat/>
    <w:uiPriority w:val="0"/>
    <w:rPr>
      <w:rFonts w:eastAsia="宋体" w:asciiTheme="majorHAnsi" w:hAnsiTheme="majorHAnsi" w:cstheme="majorBidi"/>
      <w:b/>
      <w:bCs/>
      <w:sz w:val="32"/>
      <w:szCs w:val="32"/>
    </w:rPr>
  </w:style>
  <w:style w:type="character" w:customStyle="1" w:styleId="79">
    <w:name w:val="样式1 字符"/>
    <w:link w:val="80"/>
    <w:qFormat/>
    <w:uiPriority w:val="0"/>
    <w:rPr>
      <w:rFonts w:cs="黑体"/>
      <w:sz w:val="24"/>
    </w:rPr>
  </w:style>
  <w:style w:type="paragraph" w:customStyle="1" w:styleId="80">
    <w:name w:val="样式1"/>
    <w:basedOn w:val="1"/>
    <w:link w:val="79"/>
    <w:qFormat/>
    <w:uiPriority w:val="0"/>
    <w:pPr>
      <w:spacing w:line="440" w:lineRule="exact"/>
      <w:ind w:firstLine="200" w:firstLineChars="200"/>
    </w:pPr>
    <w:rPr>
      <w:rFonts w:cs="黑体"/>
      <w:sz w:val="24"/>
      <w:szCs w:val="22"/>
    </w:rPr>
  </w:style>
  <w:style w:type="paragraph" w:customStyle="1" w:styleId="81">
    <w:name w:val="font5"/>
    <w:basedOn w:val="1"/>
    <w:qFormat/>
    <w:uiPriority w:val="0"/>
    <w:pPr>
      <w:widowControl/>
      <w:spacing w:before="100" w:beforeAutospacing="1" w:after="100" w:afterAutospacing="1"/>
      <w:jc w:val="left"/>
    </w:pPr>
    <w:rPr>
      <w:rFonts w:ascii="等线" w:hAnsi="等线" w:eastAsia="宋体" w:cs="宋体"/>
      <w:kern w:val="0"/>
      <w:sz w:val="18"/>
      <w:szCs w:val="18"/>
    </w:rPr>
  </w:style>
  <w:style w:type="paragraph" w:customStyle="1" w:styleId="82">
    <w:name w:val="font6"/>
    <w:basedOn w:val="1"/>
    <w:qFormat/>
    <w:uiPriority w:val="0"/>
    <w:pPr>
      <w:widowControl/>
      <w:spacing w:before="100" w:beforeAutospacing="1" w:after="100" w:afterAutospacing="1"/>
      <w:jc w:val="left"/>
    </w:pPr>
    <w:rPr>
      <w:rFonts w:ascii="Times New Roman" w:hAnsi="Times New Roman" w:eastAsia="宋体" w:cs="Times New Roman"/>
      <w:kern w:val="0"/>
      <w:sz w:val="40"/>
      <w:szCs w:val="40"/>
    </w:rPr>
  </w:style>
  <w:style w:type="paragraph" w:customStyle="1" w:styleId="83">
    <w:name w:val="font7"/>
    <w:basedOn w:val="1"/>
    <w:qFormat/>
    <w:uiPriority w:val="0"/>
    <w:pPr>
      <w:widowControl/>
      <w:spacing w:before="100" w:beforeAutospacing="1" w:after="100" w:afterAutospacing="1"/>
      <w:jc w:val="left"/>
    </w:pPr>
    <w:rPr>
      <w:rFonts w:ascii="宋体" w:hAnsi="宋体" w:eastAsia="宋体" w:cs="宋体"/>
      <w:kern w:val="0"/>
      <w:sz w:val="40"/>
      <w:szCs w:val="40"/>
    </w:rPr>
  </w:style>
  <w:style w:type="paragraph" w:customStyle="1" w:styleId="84">
    <w:name w:val="xl66"/>
    <w:basedOn w:val="1"/>
    <w:qFormat/>
    <w:uiPriority w:val="0"/>
    <w:pPr>
      <w:widowControl/>
      <w:spacing w:before="100" w:beforeAutospacing="1" w:after="100" w:afterAutospacing="1"/>
      <w:jc w:val="center"/>
      <w:textAlignment w:val="center"/>
    </w:pPr>
    <w:rPr>
      <w:rFonts w:ascii="宋体" w:hAnsi="宋体" w:eastAsia="宋体" w:cs="宋体"/>
      <w:kern w:val="0"/>
      <w:sz w:val="24"/>
    </w:rPr>
  </w:style>
  <w:style w:type="paragraph" w:customStyle="1" w:styleId="85">
    <w:name w:val="xl6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Times New Roman" w:hAnsi="Times New Roman" w:eastAsia="宋体" w:cs="Times New Roman"/>
      <w:kern w:val="0"/>
      <w:sz w:val="40"/>
      <w:szCs w:val="40"/>
    </w:rPr>
  </w:style>
  <w:style w:type="paragraph" w:customStyle="1" w:styleId="86">
    <w:name w:val="xl68"/>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textAlignment w:val="center"/>
    </w:pPr>
    <w:rPr>
      <w:rFonts w:ascii="Times New Roman" w:hAnsi="Times New Roman" w:eastAsia="宋体" w:cs="Times New Roman"/>
      <w:kern w:val="0"/>
      <w:sz w:val="40"/>
      <w:szCs w:val="40"/>
    </w:rPr>
  </w:style>
  <w:style w:type="paragraph" w:customStyle="1" w:styleId="87">
    <w:name w:val="xl69"/>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textAlignment w:val="center"/>
    </w:pPr>
    <w:rPr>
      <w:rFonts w:ascii="Times New Roman" w:hAnsi="Times New Roman" w:eastAsia="宋体" w:cs="Times New Roman"/>
      <w:kern w:val="0"/>
      <w:sz w:val="40"/>
      <w:szCs w:val="40"/>
    </w:rPr>
  </w:style>
  <w:style w:type="paragraph" w:customStyle="1" w:styleId="88">
    <w:name w:val="xl70"/>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textAlignment w:val="center"/>
    </w:pPr>
    <w:rPr>
      <w:rFonts w:ascii="Times New Roman" w:hAnsi="Times New Roman" w:eastAsia="宋体" w:cs="Times New Roman"/>
      <w:kern w:val="0"/>
      <w:sz w:val="40"/>
      <w:szCs w:val="40"/>
    </w:rPr>
  </w:style>
  <w:style w:type="paragraph" w:customStyle="1" w:styleId="89">
    <w:name w:val="xl71"/>
    <w:basedOn w:val="1"/>
    <w:qFormat/>
    <w:uiPriority w:val="0"/>
    <w:pPr>
      <w:widowControl/>
      <w:spacing w:before="100" w:beforeAutospacing="1" w:after="100" w:afterAutospacing="1"/>
      <w:jc w:val="left"/>
    </w:pPr>
    <w:rPr>
      <w:rFonts w:ascii="宋体" w:hAnsi="宋体" w:eastAsia="宋体" w:cs="宋体"/>
      <w:kern w:val="0"/>
      <w:sz w:val="24"/>
    </w:rPr>
  </w:style>
  <w:style w:type="paragraph" w:customStyle="1" w:styleId="90">
    <w:name w:val="xl72"/>
    <w:basedOn w:val="1"/>
    <w:qFormat/>
    <w:uiPriority w:val="0"/>
    <w:pPr>
      <w:widowControl/>
      <w:pBdr>
        <w:top w:val="single" w:color="auto" w:sz="8" w:space="0"/>
        <w:left w:val="single" w:color="auto" w:sz="8" w:space="0"/>
        <w:bottom w:val="single" w:color="auto" w:sz="4" w:space="0"/>
        <w:right w:val="single" w:color="auto" w:sz="4" w:space="0"/>
      </w:pBdr>
      <w:spacing w:before="100" w:beforeAutospacing="1" w:after="100" w:afterAutospacing="1"/>
      <w:jc w:val="center"/>
      <w:textAlignment w:val="center"/>
    </w:pPr>
    <w:rPr>
      <w:rFonts w:ascii="Times New Roman" w:hAnsi="Times New Roman" w:eastAsia="宋体" w:cs="Times New Roman"/>
      <w:kern w:val="0"/>
      <w:sz w:val="40"/>
      <w:szCs w:val="40"/>
    </w:rPr>
  </w:style>
  <w:style w:type="paragraph" w:customStyle="1" w:styleId="91">
    <w:name w:val="xl73"/>
    <w:basedOn w:val="1"/>
    <w:qFormat/>
    <w:uiPriority w:val="0"/>
    <w:pPr>
      <w:widowControl/>
      <w:pBdr>
        <w:top w:val="single" w:color="auto" w:sz="8" w:space="0"/>
        <w:left w:val="single" w:color="auto" w:sz="4" w:space="0"/>
        <w:bottom w:val="single" w:color="auto" w:sz="4" w:space="0"/>
        <w:right w:val="single" w:color="auto" w:sz="4" w:space="0"/>
      </w:pBdr>
      <w:spacing w:before="100" w:beforeAutospacing="1" w:after="100" w:afterAutospacing="1"/>
      <w:jc w:val="center"/>
      <w:textAlignment w:val="center"/>
    </w:pPr>
    <w:rPr>
      <w:rFonts w:ascii="Times New Roman" w:hAnsi="Times New Roman" w:eastAsia="宋体" w:cs="Times New Roman"/>
      <w:kern w:val="0"/>
      <w:sz w:val="40"/>
      <w:szCs w:val="40"/>
    </w:rPr>
  </w:style>
  <w:style w:type="paragraph" w:customStyle="1" w:styleId="92">
    <w:name w:val="xl74"/>
    <w:basedOn w:val="1"/>
    <w:qFormat/>
    <w:uiPriority w:val="0"/>
    <w:pPr>
      <w:widowControl/>
      <w:pBdr>
        <w:top w:val="single" w:color="auto" w:sz="8" w:space="0"/>
        <w:left w:val="single" w:color="auto" w:sz="4" w:space="0"/>
        <w:bottom w:val="single" w:color="auto" w:sz="4" w:space="0"/>
        <w:right w:val="single" w:color="auto" w:sz="8" w:space="0"/>
      </w:pBdr>
      <w:spacing w:before="100" w:beforeAutospacing="1" w:after="100" w:afterAutospacing="1"/>
      <w:jc w:val="center"/>
      <w:textAlignment w:val="center"/>
    </w:pPr>
    <w:rPr>
      <w:rFonts w:ascii="Times New Roman" w:hAnsi="Times New Roman" w:eastAsia="宋体" w:cs="Times New Roman"/>
      <w:kern w:val="0"/>
      <w:sz w:val="40"/>
      <w:szCs w:val="40"/>
    </w:rPr>
  </w:style>
  <w:style w:type="paragraph" w:customStyle="1" w:styleId="93">
    <w:name w:val="xl75"/>
    <w:basedOn w:val="1"/>
    <w:qFormat/>
    <w:uiPriority w:val="0"/>
    <w:pPr>
      <w:widowControl/>
      <w:pBdr>
        <w:top w:val="single" w:color="auto" w:sz="4" w:space="0"/>
        <w:left w:val="single" w:color="auto" w:sz="4" w:space="0"/>
        <w:bottom w:val="single" w:color="auto" w:sz="4" w:space="0"/>
        <w:right w:val="single" w:color="auto" w:sz="8" w:space="0"/>
      </w:pBdr>
      <w:spacing w:before="100" w:beforeAutospacing="1" w:after="100" w:afterAutospacing="1"/>
      <w:jc w:val="left"/>
      <w:textAlignment w:val="center"/>
    </w:pPr>
    <w:rPr>
      <w:rFonts w:ascii="Times New Roman" w:hAnsi="Times New Roman" w:eastAsia="宋体" w:cs="Times New Roman"/>
      <w:kern w:val="0"/>
      <w:sz w:val="40"/>
      <w:szCs w:val="40"/>
    </w:rPr>
  </w:style>
  <w:style w:type="paragraph" w:customStyle="1" w:styleId="94">
    <w:name w:val="xl76"/>
    <w:basedOn w:val="1"/>
    <w:qFormat/>
    <w:uiPriority w:val="0"/>
    <w:pPr>
      <w:widowControl/>
      <w:pBdr>
        <w:top w:val="single" w:color="auto" w:sz="4" w:space="0"/>
        <w:left w:val="single" w:color="auto" w:sz="4" w:space="0"/>
        <w:bottom w:val="single" w:color="auto" w:sz="4" w:space="0"/>
        <w:right w:val="single" w:color="auto" w:sz="8" w:space="0"/>
      </w:pBdr>
      <w:spacing w:before="100" w:beforeAutospacing="1" w:after="100" w:afterAutospacing="1"/>
      <w:jc w:val="left"/>
      <w:textAlignment w:val="center"/>
    </w:pPr>
    <w:rPr>
      <w:rFonts w:ascii="Times New Roman" w:hAnsi="Times New Roman" w:eastAsia="宋体" w:cs="Times New Roman"/>
      <w:kern w:val="0"/>
      <w:sz w:val="40"/>
      <w:szCs w:val="40"/>
    </w:rPr>
  </w:style>
  <w:style w:type="paragraph" w:customStyle="1" w:styleId="95">
    <w:name w:val="xl77"/>
    <w:basedOn w:val="1"/>
    <w:qFormat/>
    <w:uiPriority w:val="0"/>
    <w:pPr>
      <w:widowControl/>
      <w:pBdr>
        <w:top w:val="single" w:color="auto" w:sz="4" w:space="0"/>
        <w:left w:val="single" w:color="auto" w:sz="8" w:space="0"/>
        <w:bottom w:val="single" w:color="auto" w:sz="4" w:space="0"/>
        <w:right w:val="single" w:color="auto" w:sz="4" w:space="0"/>
      </w:pBdr>
      <w:spacing w:before="100" w:beforeAutospacing="1" w:after="100" w:afterAutospacing="1"/>
      <w:jc w:val="center"/>
      <w:textAlignment w:val="center"/>
    </w:pPr>
    <w:rPr>
      <w:rFonts w:ascii="Times New Roman" w:hAnsi="Times New Roman" w:eastAsia="宋体" w:cs="Times New Roman"/>
      <w:kern w:val="0"/>
      <w:sz w:val="40"/>
      <w:szCs w:val="40"/>
    </w:rPr>
  </w:style>
  <w:style w:type="paragraph" w:customStyle="1" w:styleId="96">
    <w:name w:val="xl78"/>
    <w:basedOn w:val="1"/>
    <w:qFormat/>
    <w:uiPriority w:val="0"/>
    <w:pPr>
      <w:widowControl/>
      <w:pBdr>
        <w:top w:val="single" w:color="auto" w:sz="4" w:space="0"/>
        <w:left w:val="single" w:color="auto" w:sz="8" w:space="0"/>
        <w:bottom w:val="single" w:color="auto" w:sz="8" w:space="0"/>
        <w:right w:val="single" w:color="auto" w:sz="4" w:space="0"/>
      </w:pBdr>
      <w:spacing w:before="100" w:beforeAutospacing="1" w:after="100" w:afterAutospacing="1"/>
      <w:jc w:val="center"/>
      <w:textAlignment w:val="center"/>
    </w:pPr>
    <w:rPr>
      <w:rFonts w:ascii="Times New Roman" w:hAnsi="Times New Roman" w:eastAsia="宋体" w:cs="Times New Roman"/>
      <w:kern w:val="0"/>
      <w:sz w:val="40"/>
      <w:szCs w:val="40"/>
    </w:rPr>
  </w:style>
  <w:style w:type="paragraph" w:customStyle="1" w:styleId="97">
    <w:name w:val="xl79"/>
    <w:basedOn w:val="1"/>
    <w:qFormat/>
    <w:uiPriority w:val="0"/>
    <w:pPr>
      <w:widowControl/>
      <w:pBdr>
        <w:top w:val="single" w:color="auto" w:sz="4" w:space="0"/>
        <w:left w:val="single" w:color="auto" w:sz="4" w:space="0"/>
        <w:bottom w:val="single" w:color="auto" w:sz="8" w:space="0"/>
        <w:right w:val="single" w:color="auto" w:sz="4" w:space="0"/>
      </w:pBdr>
      <w:spacing w:before="100" w:beforeAutospacing="1" w:after="100" w:afterAutospacing="1"/>
      <w:jc w:val="center"/>
      <w:textAlignment w:val="center"/>
    </w:pPr>
    <w:rPr>
      <w:rFonts w:ascii="Times New Roman" w:hAnsi="Times New Roman" w:eastAsia="宋体" w:cs="Times New Roman"/>
      <w:b/>
      <w:bCs/>
      <w:kern w:val="0"/>
      <w:sz w:val="40"/>
      <w:szCs w:val="40"/>
    </w:rPr>
  </w:style>
  <w:style w:type="paragraph" w:customStyle="1" w:styleId="98">
    <w:name w:val="xl80"/>
    <w:basedOn w:val="1"/>
    <w:qFormat/>
    <w:uiPriority w:val="0"/>
    <w:pPr>
      <w:widowControl/>
      <w:pBdr>
        <w:top w:val="single" w:color="auto" w:sz="4" w:space="0"/>
        <w:left w:val="single" w:color="auto" w:sz="4" w:space="0"/>
        <w:bottom w:val="single" w:color="auto" w:sz="8" w:space="0"/>
        <w:right w:val="single" w:color="auto" w:sz="4" w:space="0"/>
      </w:pBdr>
      <w:spacing w:before="100" w:beforeAutospacing="1" w:after="100" w:afterAutospacing="1"/>
      <w:jc w:val="left"/>
      <w:textAlignment w:val="center"/>
    </w:pPr>
    <w:rPr>
      <w:rFonts w:ascii="Times New Roman" w:hAnsi="Times New Roman" w:eastAsia="宋体" w:cs="Times New Roman"/>
      <w:kern w:val="0"/>
      <w:sz w:val="40"/>
      <w:szCs w:val="40"/>
    </w:rPr>
  </w:style>
  <w:style w:type="paragraph" w:customStyle="1" w:styleId="99">
    <w:name w:val="xl81"/>
    <w:basedOn w:val="1"/>
    <w:qFormat/>
    <w:uiPriority w:val="0"/>
    <w:pPr>
      <w:widowControl/>
      <w:pBdr>
        <w:top w:val="single" w:color="auto" w:sz="4" w:space="0"/>
        <w:left w:val="single" w:color="auto" w:sz="4" w:space="0"/>
        <w:bottom w:val="single" w:color="auto" w:sz="8" w:space="0"/>
        <w:right w:val="single" w:color="auto" w:sz="4" w:space="0"/>
      </w:pBdr>
      <w:spacing w:before="100" w:beforeAutospacing="1" w:after="100" w:afterAutospacing="1"/>
      <w:jc w:val="center"/>
      <w:textAlignment w:val="center"/>
    </w:pPr>
    <w:rPr>
      <w:rFonts w:ascii="Times New Roman" w:hAnsi="Times New Roman" w:eastAsia="宋体" w:cs="Times New Roman"/>
      <w:kern w:val="0"/>
      <w:sz w:val="40"/>
      <w:szCs w:val="40"/>
    </w:rPr>
  </w:style>
  <w:style w:type="paragraph" w:customStyle="1" w:styleId="100">
    <w:name w:val="xl82"/>
    <w:basedOn w:val="1"/>
    <w:qFormat/>
    <w:uiPriority w:val="0"/>
    <w:pPr>
      <w:widowControl/>
      <w:pBdr>
        <w:top w:val="single" w:color="auto" w:sz="4" w:space="0"/>
        <w:left w:val="single" w:color="auto" w:sz="4" w:space="0"/>
        <w:bottom w:val="single" w:color="auto" w:sz="8" w:space="0"/>
        <w:right w:val="single" w:color="auto" w:sz="8" w:space="0"/>
      </w:pBdr>
      <w:spacing w:before="100" w:beforeAutospacing="1" w:after="100" w:afterAutospacing="1"/>
      <w:jc w:val="left"/>
      <w:textAlignment w:val="center"/>
    </w:pPr>
    <w:rPr>
      <w:rFonts w:ascii="Times New Roman" w:hAnsi="Times New Roman" w:eastAsia="宋体" w:cs="Times New Roman"/>
      <w:kern w:val="0"/>
      <w:sz w:val="40"/>
      <w:szCs w:val="40"/>
    </w:rPr>
  </w:style>
  <w:style w:type="paragraph" w:customStyle="1" w:styleId="101">
    <w:name w:val="xl83"/>
    <w:basedOn w:val="1"/>
    <w:qFormat/>
    <w:uiPriority w:val="0"/>
    <w:pPr>
      <w:widowControl/>
      <w:pBdr>
        <w:top w:val="single" w:color="auto" w:sz="8"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eastAsia="宋体" w:cs="宋体"/>
      <w:kern w:val="0"/>
      <w:sz w:val="40"/>
      <w:szCs w:val="40"/>
    </w:rPr>
  </w:style>
  <w:style w:type="paragraph" w:customStyle="1" w:styleId="102">
    <w:name w:val="xl84"/>
    <w:basedOn w:val="1"/>
    <w:qFormat/>
    <w:uiPriority w:val="0"/>
    <w:pPr>
      <w:widowControl/>
      <w:pBdr>
        <w:top w:val="single" w:color="auto" w:sz="4" w:space="0"/>
        <w:left w:val="single" w:color="auto" w:sz="4" w:space="0"/>
        <w:bottom w:val="single" w:color="auto" w:sz="4" w:space="0"/>
        <w:right w:val="single" w:color="auto" w:sz="8" w:space="0"/>
      </w:pBdr>
      <w:spacing w:before="100" w:beforeAutospacing="1" w:after="100" w:afterAutospacing="1"/>
      <w:jc w:val="left"/>
      <w:textAlignment w:val="center"/>
    </w:pPr>
    <w:rPr>
      <w:rFonts w:ascii="宋体" w:hAnsi="宋体" w:eastAsia="宋体" w:cs="宋体"/>
      <w:kern w:val="0"/>
      <w:sz w:val="40"/>
      <w:szCs w:val="40"/>
    </w:rPr>
  </w:style>
  <w:style w:type="paragraph" w:customStyle="1" w:styleId="103">
    <w:name w:val="xl85"/>
    <w:basedOn w:val="1"/>
    <w:qFormat/>
    <w:uiPriority w:val="0"/>
    <w:pPr>
      <w:widowControl/>
      <w:pBdr>
        <w:top w:val="single" w:color="auto" w:sz="4" w:space="0"/>
        <w:left w:val="single" w:color="auto" w:sz="4" w:space="0"/>
        <w:bottom w:val="single" w:color="auto" w:sz="4" w:space="0"/>
        <w:right w:val="single" w:color="auto" w:sz="8" w:space="0"/>
      </w:pBdr>
      <w:spacing w:before="100" w:beforeAutospacing="1" w:after="100" w:afterAutospacing="1"/>
      <w:jc w:val="left"/>
      <w:textAlignment w:val="center"/>
    </w:pPr>
    <w:rPr>
      <w:rFonts w:ascii="宋体" w:hAnsi="宋体" w:eastAsia="宋体" w:cs="宋体"/>
      <w:kern w:val="0"/>
      <w:sz w:val="40"/>
      <w:szCs w:val="40"/>
    </w:rPr>
  </w:style>
  <w:style w:type="paragraph" w:customStyle="1" w:styleId="104">
    <w:name w:val="xl86"/>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Times New Roman" w:hAnsi="Times New Roman" w:eastAsia="宋体" w:cs="Times New Roman"/>
      <w:kern w:val="0"/>
      <w:sz w:val="40"/>
      <w:szCs w:val="40"/>
    </w:rPr>
  </w:style>
  <w:style w:type="paragraph" w:customStyle="1" w:styleId="105">
    <w:name w:val="xl8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textAlignment w:val="center"/>
    </w:pPr>
    <w:rPr>
      <w:rFonts w:ascii="Times New Roman" w:hAnsi="Times New Roman" w:eastAsia="宋体" w:cs="Times New Roman"/>
      <w:kern w:val="0"/>
      <w:sz w:val="40"/>
      <w:szCs w:val="40"/>
    </w:rPr>
  </w:style>
  <w:style w:type="paragraph" w:customStyle="1" w:styleId="106">
    <w:name w:val="xl88"/>
    <w:basedOn w:val="1"/>
    <w:qFormat/>
    <w:uiPriority w:val="0"/>
    <w:pPr>
      <w:widowControl/>
      <w:pBdr>
        <w:top w:val="single" w:color="auto" w:sz="4" w:space="0"/>
        <w:left w:val="single" w:color="auto" w:sz="8" w:space="0"/>
        <w:bottom w:val="single" w:color="auto" w:sz="4" w:space="0"/>
        <w:right w:val="single" w:color="auto" w:sz="4" w:space="0"/>
      </w:pBdr>
      <w:spacing w:before="100" w:beforeAutospacing="1" w:after="100" w:afterAutospacing="1"/>
      <w:jc w:val="center"/>
      <w:textAlignment w:val="center"/>
    </w:pPr>
    <w:rPr>
      <w:rFonts w:ascii="Times New Roman" w:hAnsi="Times New Roman" w:eastAsia="宋体" w:cs="Times New Roman"/>
      <w:kern w:val="0"/>
      <w:sz w:val="40"/>
      <w:szCs w:val="40"/>
    </w:rPr>
  </w:style>
  <w:style w:type="paragraph" w:customStyle="1" w:styleId="107">
    <w:name w:val="xl89"/>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eastAsia="宋体" w:cs="宋体"/>
      <w:kern w:val="0"/>
      <w:sz w:val="40"/>
      <w:szCs w:val="40"/>
    </w:rPr>
  </w:style>
  <w:style w:type="paragraph" w:customStyle="1" w:styleId="108">
    <w:name w:val="xl90"/>
    <w:basedOn w:val="1"/>
    <w:qFormat/>
    <w:uiPriority w:val="0"/>
    <w:pPr>
      <w:widowControl/>
      <w:pBdr>
        <w:top w:val="single" w:color="auto" w:sz="4" w:space="0"/>
        <w:left w:val="single" w:color="auto" w:sz="4" w:space="0"/>
        <w:bottom w:val="single" w:color="auto" w:sz="4" w:space="0"/>
        <w:right w:val="single" w:color="auto" w:sz="8" w:space="0"/>
      </w:pBdr>
      <w:spacing w:before="100" w:beforeAutospacing="1" w:after="100" w:afterAutospacing="1"/>
      <w:jc w:val="left"/>
      <w:textAlignment w:val="center"/>
    </w:pPr>
    <w:rPr>
      <w:rFonts w:ascii="Times New Roman" w:hAnsi="Times New Roman" w:eastAsia="宋体" w:cs="Times New Roman"/>
      <w:kern w:val="0"/>
      <w:sz w:val="40"/>
      <w:szCs w:val="40"/>
    </w:rPr>
  </w:style>
  <w:style w:type="paragraph" w:customStyle="1" w:styleId="109">
    <w:name w:val="xl91"/>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Times New Roman" w:hAnsi="Times New Roman" w:eastAsia="宋体" w:cs="Times New Roman"/>
      <w:kern w:val="0"/>
      <w:sz w:val="40"/>
      <w:szCs w:val="40"/>
    </w:rPr>
  </w:style>
  <w:style w:type="paragraph" w:customStyle="1" w:styleId="110">
    <w:name w:val="xl92"/>
    <w:basedOn w:val="1"/>
    <w:qFormat/>
    <w:uiPriority w:val="0"/>
    <w:pPr>
      <w:widowControl/>
      <w:pBdr>
        <w:top w:val="single" w:color="auto" w:sz="4" w:space="0"/>
        <w:left w:val="single" w:color="auto" w:sz="4" w:space="0"/>
        <w:bottom w:val="single" w:color="auto" w:sz="4" w:space="0"/>
        <w:right w:val="single" w:color="auto" w:sz="8" w:space="0"/>
      </w:pBdr>
      <w:spacing w:before="100" w:beforeAutospacing="1" w:after="100" w:afterAutospacing="1"/>
      <w:jc w:val="left"/>
      <w:textAlignment w:val="center"/>
    </w:pPr>
    <w:rPr>
      <w:rFonts w:ascii="宋体" w:hAnsi="宋体" w:eastAsia="宋体" w:cs="宋体"/>
      <w:kern w:val="0"/>
      <w:sz w:val="40"/>
      <w:szCs w:val="40"/>
    </w:rPr>
  </w:style>
  <w:style w:type="paragraph" w:customStyle="1" w:styleId="111">
    <w:name w:val="无间隔1"/>
    <w:qFormat/>
    <w:uiPriority w:val="1"/>
    <w:rPr>
      <w:rFonts w:ascii="Calibri" w:hAnsi="Calibri" w:eastAsia="宋体" w:cs="Times New Roman"/>
      <w:kern w:val="0"/>
      <w:sz w:val="22"/>
      <w:szCs w:val="22"/>
      <w:lang w:val="en-US" w:eastAsia="zh-CN" w:bidi="ar-SA"/>
    </w:rPr>
  </w:style>
  <w:style w:type="paragraph" w:customStyle="1" w:styleId="112">
    <w:name w:val="文献分类号"/>
    <w:qFormat/>
    <w:uiPriority w:val="0"/>
    <w:pPr>
      <w:widowControl w:val="0"/>
      <w:textAlignment w:val="center"/>
    </w:pPr>
    <w:rPr>
      <w:rFonts w:ascii="黑体" w:hAnsi="Times New Roman" w:eastAsia="黑体" w:cs="Times New Roman"/>
      <w:kern w:val="0"/>
      <w:sz w:val="21"/>
      <w:szCs w:val="21"/>
      <w:lang w:val="en-US" w:eastAsia="zh-CN" w:bidi="ar-SA"/>
    </w:rPr>
  </w:style>
  <w:style w:type="paragraph" w:customStyle="1" w:styleId="113">
    <w:name w:val="封面标准名称"/>
    <w:qFormat/>
    <w:uiPriority w:val="0"/>
    <w:pPr>
      <w:widowControl w:val="0"/>
      <w:spacing w:line="680" w:lineRule="exact"/>
      <w:jc w:val="center"/>
      <w:textAlignment w:val="center"/>
    </w:pPr>
    <w:rPr>
      <w:rFonts w:ascii="黑体" w:hAnsi="Times New Roman" w:eastAsia="黑体" w:cs="Times New Roman"/>
      <w:kern w:val="0"/>
      <w:sz w:val="52"/>
      <w:szCs w:val="20"/>
      <w:lang w:val="en-US" w:eastAsia="zh-CN" w:bidi="ar-SA"/>
    </w:rPr>
  </w:style>
  <w:style w:type="paragraph" w:customStyle="1" w:styleId="114">
    <w:name w:val="封面标准英文名称"/>
    <w:basedOn w:val="113"/>
    <w:qFormat/>
    <w:uiPriority w:val="0"/>
    <w:pPr>
      <w:spacing w:before="370" w:line="400" w:lineRule="exact"/>
    </w:pPr>
    <w:rPr>
      <w:rFonts w:ascii="Times New Roman"/>
      <w:sz w:val="28"/>
      <w:szCs w:val="28"/>
    </w:rPr>
  </w:style>
  <w:style w:type="paragraph" w:customStyle="1" w:styleId="115">
    <w:name w:val="封面标准号2"/>
    <w:qFormat/>
    <w:uiPriority w:val="0"/>
    <w:pPr>
      <w:spacing w:before="357" w:line="280" w:lineRule="exact"/>
      <w:jc w:val="right"/>
    </w:pPr>
    <w:rPr>
      <w:rFonts w:ascii="黑体" w:hAnsi="Times New Roman" w:eastAsia="黑体" w:cs="Times New Roman"/>
      <w:kern w:val="0"/>
      <w:sz w:val="28"/>
      <w:szCs w:val="28"/>
      <w:lang w:val="en-US" w:eastAsia="zh-CN" w:bidi="ar-SA"/>
    </w:rPr>
  </w:style>
  <w:style w:type="paragraph" w:customStyle="1" w:styleId="116">
    <w:name w:val="其他实施日期"/>
    <w:basedOn w:val="1"/>
    <w:qFormat/>
    <w:uiPriority w:val="0"/>
    <w:pPr>
      <w:widowControl/>
      <w:jc w:val="right"/>
    </w:pPr>
    <w:rPr>
      <w:rFonts w:ascii="Times New Roman" w:hAnsi="Times New Roman" w:eastAsia="黑体" w:cs="Times New Roman"/>
      <w:kern w:val="0"/>
      <w:sz w:val="28"/>
      <w:szCs w:val="20"/>
    </w:rPr>
  </w:style>
  <w:style w:type="paragraph" w:customStyle="1" w:styleId="117">
    <w:name w:val="其他发布日期"/>
    <w:basedOn w:val="1"/>
    <w:qFormat/>
    <w:uiPriority w:val="0"/>
    <w:pPr>
      <w:widowControl/>
      <w:jc w:val="left"/>
    </w:pPr>
    <w:rPr>
      <w:rFonts w:ascii="Times New Roman" w:hAnsi="Times New Roman" w:eastAsia="黑体" w:cs="Times New Roman"/>
      <w:kern w:val="0"/>
      <w:sz w:val="28"/>
      <w:szCs w:val="20"/>
    </w:rPr>
  </w:style>
  <w:style w:type="paragraph" w:customStyle="1" w:styleId="118">
    <w:name w:val="封面标准文稿编辑信息"/>
    <w:basedOn w:val="119"/>
    <w:qFormat/>
    <w:uiPriority w:val="0"/>
    <w:pPr>
      <w:spacing w:before="180" w:line="180" w:lineRule="exact"/>
    </w:pPr>
    <w:rPr>
      <w:sz w:val="21"/>
    </w:rPr>
  </w:style>
  <w:style w:type="paragraph" w:customStyle="1" w:styleId="119">
    <w:name w:val="封面标准文稿类别"/>
    <w:basedOn w:val="1"/>
    <w:qFormat/>
    <w:uiPriority w:val="0"/>
    <w:pPr>
      <w:spacing w:before="440" w:after="160"/>
      <w:jc w:val="center"/>
      <w:textAlignment w:val="center"/>
    </w:pPr>
    <w:rPr>
      <w:rFonts w:ascii="宋体" w:hAnsi="Times New Roman" w:eastAsia="宋体" w:cs="Times New Roman"/>
      <w:kern w:val="0"/>
      <w:sz w:val="24"/>
      <w:szCs w:val="28"/>
    </w:rPr>
  </w:style>
  <w:style w:type="paragraph" w:customStyle="1" w:styleId="120">
    <w:name w:val="其他标准称谓"/>
    <w:next w:val="1"/>
    <w:qFormat/>
    <w:uiPriority w:val="0"/>
    <w:pPr>
      <w:spacing w:line="0" w:lineRule="atLeast"/>
      <w:jc w:val="distribute"/>
    </w:pPr>
    <w:rPr>
      <w:rFonts w:ascii="黑体" w:hAnsi="宋体" w:eastAsia="黑体" w:cs="Times New Roman"/>
      <w:spacing w:val="-40"/>
      <w:kern w:val="0"/>
      <w:sz w:val="48"/>
      <w:szCs w:val="52"/>
      <w:lang w:val="en-US" w:eastAsia="zh-CN" w:bidi="ar-SA"/>
    </w:rPr>
  </w:style>
  <w:style w:type="paragraph" w:customStyle="1" w:styleId="121">
    <w:name w:val="其他标准标志"/>
    <w:basedOn w:val="1"/>
    <w:qFormat/>
    <w:uiPriority w:val="0"/>
    <w:pPr>
      <w:widowControl/>
      <w:shd w:val="solid" w:color="FFFFFF" w:fill="FFFFFF"/>
      <w:spacing w:line="0" w:lineRule="atLeast"/>
      <w:jc w:val="right"/>
    </w:pPr>
    <w:rPr>
      <w:rFonts w:ascii="Times New Roman" w:hAnsi="Times New Roman" w:eastAsia="宋体" w:cs="Times New Roman"/>
      <w:b/>
      <w:w w:val="130"/>
      <w:kern w:val="0"/>
      <w:sz w:val="96"/>
      <w:szCs w:val="96"/>
    </w:rPr>
  </w:style>
  <w:style w:type="paragraph" w:customStyle="1" w:styleId="122">
    <w:name w:val="封面标准代替信息"/>
    <w:qFormat/>
    <w:uiPriority w:val="0"/>
    <w:pPr>
      <w:spacing w:before="57" w:line="280" w:lineRule="exact"/>
      <w:jc w:val="right"/>
    </w:pPr>
    <w:rPr>
      <w:rFonts w:ascii="宋体" w:hAnsi="Times New Roman" w:eastAsia="宋体" w:cs="Times New Roman"/>
      <w:kern w:val="0"/>
      <w:sz w:val="21"/>
      <w:szCs w:val="21"/>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footer" Target="footer4.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 Type="http://schemas.openxmlformats.org/officeDocument/2006/relationships/header" Target="header1.xml"/><Relationship Id="rId27" Type="http://schemas.openxmlformats.org/officeDocument/2006/relationships/fontTable" Target="fontTable.xml"/><Relationship Id="rId26" Type="http://schemas.openxmlformats.org/officeDocument/2006/relationships/numbering" Target="numbering.xml"/><Relationship Id="rId25" Type="http://schemas.openxmlformats.org/officeDocument/2006/relationships/customXml" Target="../customXml/item1.xml"/><Relationship Id="rId24" Type="http://schemas.openxmlformats.org/officeDocument/2006/relationships/image" Target="media/image8.png"/><Relationship Id="rId23" Type="http://schemas.openxmlformats.org/officeDocument/2006/relationships/image" Target="media/image7.jpeg"/><Relationship Id="rId22" Type="http://schemas.openxmlformats.org/officeDocument/2006/relationships/image" Target="media/image6.png"/><Relationship Id="rId21" Type="http://schemas.openxmlformats.org/officeDocument/2006/relationships/chart" Target="charts/chart5.xml"/><Relationship Id="rId20" Type="http://schemas.openxmlformats.org/officeDocument/2006/relationships/image" Target="media/image5.png"/><Relationship Id="rId2" Type="http://schemas.openxmlformats.org/officeDocument/2006/relationships/settings" Target="settings.xml"/><Relationship Id="rId19" Type="http://schemas.openxmlformats.org/officeDocument/2006/relationships/image" Target="media/image4.png"/><Relationship Id="rId18" Type="http://schemas.openxmlformats.org/officeDocument/2006/relationships/image" Target="media/image3.png"/><Relationship Id="rId17" Type="http://schemas.openxmlformats.org/officeDocument/2006/relationships/image" Target="media/image2.png"/><Relationship Id="rId16" Type="http://schemas.openxmlformats.org/officeDocument/2006/relationships/image" Target="media/image1.png"/><Relationship Id="rId15" Type="http://schemas.openxmlformats.org/officeDocument/2006/relationships/chart" Target="charts/chart4.xml"/><Relationship Id="rId14" Type="http://schemas.openxmlformats.org/officeDocument/2006/relationships/chart" Target="charts/chart3.xml"/><Relationship Id="rId13" Type="http://schemas.openxmlformats.org/officeDocument/2006/relationships/chart" Target="charts/chart2.xml"/><Relationship Id="rId12" Type="http://schemas.openxmlformats.org/officeDocument/2006/relationships/chart" Target="charts/chart1.xml"/><Relationship Id="rId11" Type="http://schemas.openxmlformats.org/officeDocument/2006/relationships/theme" Target="theme/theme1.xml"/><Relationship Id="rId10" Type="http://schemas.openxmlformats.org/officeDocument/2006/relationships/footer" Target="footer5.xml"/><Relationship Id="rId1" Type="http://schemas.openxmlformats.org/officeDocument/2006/relationships/styles" Target="styles.xml"/></Relationships>
</file>

<file path=word/charts/_rels/chart1.xml.rels><?xml version="1.0" encoding="UTF-8" standalone="yes"?>
<Relationships xmlns="http://schemas.openxmlformats.org/package/2006/relationships"><Relationship Id="rId2" Type="http://schemas.openxmlformats.org/officeDocument/2006/relationships/themeOverride" Target="../theme/themeOverride2.xml"/><Relationship Id="rId1" Type="http://schemas.openxmlformats.org/officeDocument/2006/relationships/package" Target="../embeddings/Workbook1.xlsx"/></Relationships>
</file>

<file path=word/charts/_rels/chart2.xml.rels><?xml version="1.0" encoding="UTF-8" standalone="yes"?>
<Relationships xmlns="http://schemas.openxmlformats.org/package/2006/relationships"><Relationship Id="rId1" Type="http://schemas.openxmlformats.org/officeDocument/2006/relationships/oleObject" Target="file:///D:\&#29615;&#31185;&#38498;\&#27873;&#33756;&#24223;&#27700;&#36164;&#26009;\&#20225;&#19994;&#35843;&#30740;&#36164;&#26009;\&#20840;&#30465;&#27873;&#33756;&#20225;&#19994;&#32479;&#35745;&#25968;&#25454;\1113\&#27873;&#33756;&#20225;&#19994;&#27745;&#26579;&#29289;&#25490;&#25918;&#35843;&#26597;&#34920;&#65288;&#27719;&#24635;&#65289;&#37325;&#26032;&#27719;&#24635;.xlsx" TargetMode="External"/></Relationships>
</file>

<file path=word/charts/_rels/chart3.xml.rels><?xml version="1.0" encoding="UTF-8" standalone="yes"?>
<Relationships xmlns="http://schemas.openxmlformats.org/package/2006/relationships"><Relationship Id="rId2" Type="http://schemas.openxmlformats.org/officeDocument/2006/relationships/themeOverride" Target="../theme/themeOverride3.xml"/><Relationship Id="rId1" Type="http://schemas.openxmlformats.org/officeDocument/2006/relationships/package" Target="../embeddings/Workbook2.xlsx"/></Relationships>
</file>

<file path=word/charts/_rels/chart4.xml.rels><?xml version="1.0" encoding="UTF-8" standalone="yes"?>
<Relationships xmlns="http://schemas.openxmlformats.org/package/2006/relationships"><Relationship Id="rId2" Type="http://schemas.openxmlformats.org/officeDocument/2006/relationships/themeOverride" Target="../theme/themeOverride4.xml"/><Relationship Id="rId1" Type="http://schemas.openxmlformats.org/officeDocument/2006/relationships/oleObject" Target="file:///D:\&#29615;&#31185;&#38498;\&#27873;&#33756;&#24223;&#27700;&#36164;&#26009;\&#39033;&#30446;&#30003;&#25253;\2018&#24180;&#22522;&#34920;&#26597;&#35810;&#24037;&#19994;&#20225;&#19994;&#27745;&#26579;&#25490;&#25918;&#21450;&#22788;&#29702;&#21033;&#29992;&#24773;&#20917;(&#22522;101&#34920;)20191205104151.xlsx" TargetMode="External"/></Relationships>
</file>

<file path=word/charts/_rels/chart5.xml.rels><?xml version="1.0" encoding="UTF-8" standalone="yes"?>
<Relationships xmlns="http://schemas.openxmlformats.org/package/2006/relationships"><Relationship Id="rId2" Type="http://schemas.openxmlformats.org/officeDocument/2006/relationships/themeOverride" Target="../theme/themeOverride1.xml"/><Relationship Id="rId1" Type="http://schemas.openxmlformats.org/officeDocument/2006/relationships/oleObject" Target="file:///C:\Users\lenovo\Desktop\&#24037;&#20316;\&#27873;&#33756;&#30456;&#20851;&#25991;&#20214;\&#22522;&#26412;&#25968;&#25454;&#25972;&#29702;\&#27695;&#21270;&#29289;&#30417;&#27979;&#25968;&#25454;.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false"/>
  <c:lang val="zh-CN"/>
  <c:roundedCorners val="false"/>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true"/>
    <c:plotArea>
      <c:layout/>
      <c:barChart>
        <c:barDir val="col"/>
        <c:grouping val="clustered"/>
        <c:varyColors val="false"/>
        <c:ser>
          <c:idx val="0"/>
          <c:order val="0"/>
          <c:tx>
            <c:strRef>
              <c:f>基表!$Q$228</c:f>
              <c:strCache>
                <c:ptCount val="1"/>
                <c:pt idx="0">
                  <c:v>企业数量（家）</c:v>
                </c:pt>
              </c:strCache>
            </c:strRef>
          </c:tx>
          <c:invertIfNegative val="false"/>
          <c:dLbls>
            <c:delete val="true"/>
          </c:dLbls>
          <c:cat>
            <c:strRef>
              <c:f>基表!$P$229:$P$232</c:f>
              <c:strCache>
                <c:ptCount val="4"/>
                <c:pt idx="0">
                  <c:v>微型企业</c:v>
                </c:pt>
                <c:pt idx="1">
                  <c:v>小型企业</c:v>
                </c:pt>
                <c:pt idx="2">
                  <c:v>中型企业</c:v>
                </c:pt>
                <c:pt idx="3">
                  <c:v>大型企业</c:v>
                </c:pt>
              </c:strCache>
            </c:strRef>
          </c:cat>
          <c:val>
            <c:numRef>
              <c:f>基表!$Q$229:$Q$232</c:f>
              <c:numCache>
                <c:formatCode>General</c:formatCode>
                <c:ptCount val="4"/>
                <c:pt idx="0">
                  <c:v>72</c:v>
                </c:pt>
                <c:pt idx="1">
                  <c:v>54</c:v>
                </c:pt>
                <c:pt idx="2">
                  <c:v>38</c:v>
                </c:pt>
                <c:pt idx="3">
                  <c:v>3</c:v>
                </c:pt>
              </c:numCache>
            </c:numRef>
          </c:val>
        </c:ser>
        <c:dLbls>
          <c:showLegendKey val="false"/>
          <c:showVal val="false"/>
          <c:showCatName val="false"/>
          <c:showSerName val="false"/>
          <c:showPercent val="false"/>
          <c:showBubbleSize val="false"/>
        </c:dLbls>
        <c:gapWidth val="150"/>
        <c:axId val="347529984"/>
        <c:axId val="347529424"/>
      </c:barChart>
      <c:lineChart>
        <c:grouping val="standard"/>
        <c:varyColors val="false"/>
        <c:ser>
          <c:idx val="1"/>
          <c:order val="1"/>
          <c:tx>
            <c:strRef>
              <c:f>基表!$R$228</c:f>
              <c:strCache>
                <c:ptCount val="1"/>
                <c:pt idx="0">
                  <c:v>工业总产值（亿元）</c:v>
                </c:pt>
              </c:strCache>
            </c:strRef>
          </c:tx>
          <c:dLbls>
            <c:spPr>
              <a:noFill/>
              <a:ln>
                <a:noFill/>
              </a:ln>
              <a:effectLst/>
            </c:spPr>
            <c:txPr>
              <a:bodyPr rot="0" spcFirstLastPara="0" vertOverflow="ellipsis" vert="horz" wrap="square" lIns="38100" tIns="19050" rIns="38100" bIns="19050" anchor="ctr" anchorCtr="true">
                <a:spAutoFit/>
              </a:bodyPr>
              <a:lstStyle/>
              <a:p>
                <a:pPr>
                  <a:defRPr lang="zh-CN" sz="1050" b="0" i="0" u="none" strike="noStrike" kern="1200" baseline="0">
                    <a:solidFill>
                      <a:schemeClr val="tx1"/>
                    </a:solidFill>
                    <a:latin typeface="+mn-lt"/>
                    <a:ea typeface="+mn-ea"/>
                    <a:cs typeface="+mn-cs"/>
                  </a:defRPr>
                </a:pPr>
              </a:p>
            </c:txPr>
            <c:dLblPos val="r"/>
            <c:showLegendKey val="false"/>
            <c:showVal val="true"/>
            <c:showCatName val="false"/>
            <c:showSerName val="false"/>
            <c:showPercent val="false"/>
            <c:showBubbleSize val="false"/>
            <c:showLeaderLines val="false"/>
            <c:extLst>
              <c:ext xmlns:c15="http://schemas.microsoft.com/office/drawing/2012/chart" uri="{CE6537A1-D6FC-4f65-9D91-7224C49458BB}">
                <c15:layout/>
                <c15:showLeaderLines val="false"/>
                <c15:leaderLines/>
              </c:ext>
            </c:extLst>
          </c:dLbls>
          <c:cat>
            <c:strRef>
              <c:f>基表!$P$229:$P$232</c:f>
              <c:strCache>
                <c:ptCount val="4"/>
                <c:pt idx="0">
                  <c:v>微型企业</c:v>
                </c:pt>
                <c:pt idx="1">
                  <c:v>小型企业</c:v>
                </c:pt>
                <c:pt idx="2">
                  <c:v>中型企业</c:v>
                </c:pt>
                <c:pt idx="3">
                  <c:v>大型企业</c:v>
                </c:pt>
              </c:strCache>
            </c:strRef>
          </c:cat>
          <c:val>
            <c:numRef>
              <c:f>基表!$R$229:$R$232</c:f>
              <c:numCache>
                <c:formatCode>General</c:formatCode>
                <c:ptCount val="4"/>
                <c:pt idx="0">
                  <c:v>0.89</c:v>
                </c:pt>
                <c:pt idx="1">
                  <c:v>3.74</c:v>
                </c:pt>
                <c:pt idx="2">
                  <c:v>26.25</c:v>
                </c:pt>
                <c:pt idx="3">
                  <c:v>18.52</c:v>
                </c:pt>
              </c:numCache>
            </c:numRef>
          </c:val>
          <c:smooth val="false"/>
        </c:ser>
        <c:dLbls>
          <c:showLegendKey val="false"/>
          <c:showVal val="false"/>
          <c:showCatName val="false"/>
          <c:showSerName val="false"/>
          <c:showPercent val="false"/>
          <c:showBubbleSize val="false"/>
        </c:dLbls>
        <c:marker val="true"/>
        <c:smooth val="false"/>
        <c:axId val="347531664"/>
        <c:axId val="347531104"/>
      </c:lineChart>
      <c:catAx>
        <c:axId val="347529984"/>
        <c:scaling>
          <c:orientation val="minMax"/>
        </c:scaling>
        <c:delete val="false"/>
        <c:axPos val="b"/>
        <c:title>
          <c:tx>
            <c:rich>
              <a:bodyPr rot="0" spcFirstLastPara="0" vertOverflow="ellipsis" vert="horz" wrap="square" anchor="ctr" anchorCtr="true"/>
              <a:lstStyle/>
              <a:p>
                <a:pPr>
                  <a:defRPr lang="zh-CN" sz="1000" b="1" i="0" u="none" strike="noStrike" kern="1200" baseline="0">
                    <a:solidFill>
                      <a:schemeClr val="tx1"/>
                    </a:solidFill>
                    <a:latin typeface="+mn-lt"/>
                    <a:ea typeface="+mn-ea"/>
                    <a:cs typeface="+mn-cs"/>
                  </a:defRPr>
                </a:pPr>
                <a:r>
                  <a:rPr lang="zh-CN" altLang="en-US" sz="1000"/>
                  <a:t>企业分类</a:t>
                </a:r>
                <a:endParaRPr lang="zh-CN" altLang="en-US" sz="1000"/>
              </a:p>
            </c:rich>
          </c:tx>
          <c:layout/>
          <c:overlay val="false"/>
        </c:title>
        <c:numFmt formatCode="General" sourceLinked="false"/>
        <c:majorTickMark val="out"/>
        <c:minorTickMark val="none"/>
        <c:tickLblPos val="nextTo"/>
        <c:txPr>
          <a:bodyPr rot="-60000000" spcFirstLastPara="0" vertOverflow="ellipsis" vert="horz" wrap="square" anchor="ctr" anchorCtr="true"/>
          <a:lstStyle/>
          <a:p>
            <a:pPr>
              <a:defRPr lang="zh-CN" sz="1000" b="0" i="0" u="none" strike="noStrike" kern="1200" baseline="0">
                <a:solidFill>
                  <a:schemeClr val="tx1"/>
                </a:solidFill>
                <a:latin typeface="+mn-lt"/>
                <a:ea typeface="+mn-ea"/>
                <a:cs typeface="+mn-cs"/>
              </a:defRPr>
            </a:pPr>
          </a:p>
        </c:txPr>
        <c:crossAx val="347529424"/>
        <c:crosses val="autoZero"/>
        <c:auto val="true"/>
        <c:lblAlgn val="ctr"/>
        <c:lblOffset val="100"/>
        <c:noMultiLvlLbl val="false"/>
      </c:catAx>
      <c:valAx>
        <c:axId val="347529424"/>
        <c:scaling>
          <c:orientation val="minMax"/>
        </c:scaling>
        <c:delete val="false"/>
        <c:axPos val="l"/>
        <c:majorGridlines/>
        <c:title>
          <c:tx>
            <c:rich>
              <a:bodyPr rot="-5400000" spcFirstLastPara="0" vertOverflow="ellipsis" vert="horz" wrap="square" anchor="ctr" anchorCtr="true"/>
              <a:lstStyle/>
              <a:p>
                <a:pPr>
                  <a:defRPr lang="zh-CN" sz="1000" b="1" i="0" u="none" strike="noStrike" kern="1200" baseline="0">
                    <a:solidFill>
                      <a:schemeClr val="tx1"/>
                    </a:solidFill>
                    <a:latin typeface="+mn-lt"/>
                    <a:ea typeface="+mn-ea"/>
                    <a:cs typeface="+mn-cs"/>
                  </a:defRPr>
                </a:pPr>
                <a:r>
                  <a:rPr lang="zh-CN" altLang="en-US" sz="1000">
                    <a:solidFill>
                      <a:schemeClr val="tx1"/>
                    </a:solidFill>
                  </a:rPr>
                  <a:t>企业数量（家）</a:t>
                </a:r>
                <a:endParaRPr lang="zh-CN" altLang="en-US" sz="1000">
                  <a:solidFill>
                    <a:schemeClr val="tx1"/>
                  </a:solidFill>
                </a:endParaRPr>
              </a:p>
            </c:rich>
          </c:tx>
          <c:layout/>
          <c:overlay val="false"/>
        </c:title>
        <c:numFmt formatCode="General" sourceLinked="true"/>
        <c:majorTickMark val="out"/>
        <c:minorTickMark val="none"/>
        <c:tickLblPos val="nextTo"/>
        <c:txPr>
          <a:bodyPr rot="-60000000" spcFirstLastPara="0" vertOverflow="ellipsis" vert="horz" wrap="square" anchor="ctr" anchorCtr="true"/>
          <a:lstStyle/>
          <a:p>
            <a:pPr>
              <a:defRPr lang="zh-CN" sz="1000" b="0" i="0" u="none" strike="noStrike" kern="1200" baseline="0">
                <a:solidFill>
                  <a:schemeClr val="tx1"/>
                </a:solidFill>
                <a:latin typeface="+mn-lt"/>
                <a:ea typeface="+mn-ea"/>
                <a:cs typeface="+mn-cs"/>
              </a:defRPr>
            </a:pPr>
          </a:p>
        </c:txPr>
        <c:crossAx val="347529984"/>
        <c:crosses val="autoZero"/>
        <c:crossBetween val="between"/>
        <c:majorUnit val="20"/>
      </c:valAx>
      <c:catAx>
        <c:axId val="347531664"/>
        <c:scaling>
          <c:orientation val="minMax"/>
        </c:scaling>
        <c:delete val="true"/>
        <c:axPos val="b"/>
        <c:numFmt formatCode="General" sourceLinked="true"/>
        <c:majorTickMark val="out"/>
        <c:minorTickMark val="none"/>
        <c:tickLblPos val="none"/>
        <c:txPr>
          <a:bodyPr rot="-60000000" spcFirstLastPara="0" vertOverflow="ellipsis" vert="horz" wrap="square" anchor="ctr" anchorCtr="true"/>
          <a:lstStyle/>
          <a:p>
            <a:pPr>
              <a:defRPr lang="zh-CN" sz="1000" b="0" i="0" u="none" strike="noStrike" kern="1200" baseline="0">
                <a:solidFill>
                  <a:schemeClr val="tx1"/>
                </a:solidFill>
                <a:latin typeface="+mn-lt"/>
                <a:ea typeface="+mn-ea"/>
                <a:cs typeface="+mn-cs"/>
              </a:defRPr>
            </a:pPr>
          </a:p>
        </c:txPr>
        <c:crossAx val="347531104"/>
        <c:crosses val="autoZero"/>
        <c:auto val="true"/>
        <c:lblAlgn val="ctr"/>
        <c:lblOffset val="100"/>
        <c:noMultiLvlLbl val="false"/>
      </c:catAx>
      <c:valAx>
        <c:axId val="347531104"/>
        <c:scaling>
          <c:orientation val="minMax"/>
          <c:max val="40"/>
        </c:scaling>
        <c:delete val="false"/>
        <c:axPos val="r"/>
        <c:title>
          <c:tx>
            <c:rich>
              <a:bodyPr rot="-5400000" spcFirstLastPara="0" vertOverflow="ellipsis" vert="horz" wrap="square" anchor="ctr" anchorCtr="true"/>
              <a:lstStyle/>
              <a:p>
                <a:pPr>
                  <a:defRPr lang="zh-CN" sz="1000" b="1" i="0" u="none" strike="noStrike" kern="1200" baseline="0">
                    <a:solidFill>
                      <a:schemeClr val="tx1"/>
                    </a:solidFill>
                    <a:latin typeface="+mn-lt"/>
                    <a:ea typeface="+mn-ea"/>
                    <a:cs typeface="+mn-cs"/>
                  </a:defRPr>
                </a:pPr>
                <a:r>
                  <a:rPr lang="zh-CN" altLang="en-US" sz="1000"/>
                  <a:t>工业总产值（亿元）</a:t>
                </a:r>
                <a:endParaRPr lang="en-US" altLang="zh-CN" sz="1000"/>
              </a:p>
            </c:rich>
          </c:tx>
          <c:layout/>
          <c:overlay val="false"/>
        </c:title>
        <c:numFmt formatCode="General" sourceLinked="true"/>
        <c:majorTickMark val="out"/>
        <c:minorTickMark val="none"/>
        <c:tickLblPos val="nextTo"/>
        <c:txPr>
          <a:bodyPr rot="-60000000" spcFirstLastPara="0" vertOverflow="ellipsis" vert="horz" wrap="square" anchor="ctr" anchorCtr="true"/>
          <a:lstStyle/>
          <a:p>
            <a:pPr>
              <a:defRPr lang="zh-CN" sz="1000" b="0" i="0" u="none" strike="noStrike" kern="1200" baseline="0">
                <a:solidFill>
                  <a:schemeClr val="tx1"/>
                </a:solidFill>
                <a:latin typeface="+mn-lt"/>
                <a:ea typeface="+mn-ea"/>
                <a:cs typeface="+mn-cs"/>
              </a:defRPr>
            </a:pPr>
          </a:p>
        </c:txPr>
        <c:crossAx val="347531664"/>
        <c:crosses val="max"/>
        <c:crossBetween val="between"/>
        <c:majorUnit val="10"/>
      </c:valAx>
    </c:plotArea>
    <c:legend>
      <c:legendPos val="b"/>
      <c:layout/>
      <c:overlay val="false"/>
      <c:txPr>
        <a:bodyPr rot="0" spcFirstLastPara="0" vertOverflow="ellipsis" vert="horz" wrap="square" anchor="ctr" anchorCtr="true"/>
        <a:lstStyle/>
        <a:p>
          <a:pPr>
            <a:defRPr lang="zh-CN" sz="1000" b="0" i="0" u="none" strike="noStrike" kern="1200" baseline="0">
              <a:solidFill>
                <a:schemeClr val="tx1"/>
              </a:solidFill>
              <a:latin typeface="+mn-lt"/>
              <a:ea typeface="+mn-ea"/>
              <a:cs typeface="+mn-cs"/>
            </a:defRPr>
          </a:pPr>
        </a:p>
      </c:txPr>
    </c:legend>
    <c:plotVisOnly val="true"/>
    <c:dispBlanksAs val="gap"/>
    <c:showDLblsOverMax val="false"/>
  </c:chart>
  <c:txPr>
    <a:bodyPr/>
    <a:lstStyle/>
    <a:p>
      <a:pPr>
        <a:defRPr lang="zh-CN"/>
      </a:pPr>
    </a:p>
  </c:txPr>
  <c:externalData r:id="rId1">
    <c:autoUpdate val="false"/>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false"/>
  <c:lang val="zh-CN"/>
  <c:roundedCorners val="false"/>
  <mc:AlternateContent xmlns:mc="http://schemas.openxmlformats.org/markup-compatibility/2006">
    <mc:Choice xmlns:c14="http://schemas.microsoft.com/office/drawing/2007/8/2/chart" Requires="c14">
      <c14:style val="102"/>
    </mc:Choice>
    <mc:Fallback>
      <c:style val="2"/>
    </mc:Fallback>
  </mc:AlternateContent>
  <c:chart>
    <c:autoTitleDeleted val="true"/>
    <c:plotArea>
      <c:layout>
        <c:manualLayout>
          <c:layoutTarget val="inner"/>
          <c:xMode val="edge"/>
          <c:yMode val="edge"/>
          <c:x val="0.220662292213473"/>
          <c:y val="0.0856481481481482"/>
          <c:w val="0.539274059492564"/>
          <c:h val="0.773148148148152"/>
        </c:manualLayout>
      </c:layout>
      <c:pieChart>
        <c:varyColors val="true"/>
        <c:ser>
          <c:idx val="0"/>
          <c:order val="0"/>
          <c:explosion val="25"/>
          <c:dPt>
            <c:idx val="0"/>
            <c:bubble3D val="false"/>
          </c:dPt>
          <c:dPt>
            <c:idx val="1"/>
            <c:bubble3D val="false"/>
          </c:dPt>
          <c:dPt>
            <c:idx val="2"/>
            <c:bubble3D val="false"/>
          </c:dPt>
          <c:dPt>
            <c:idx val="3"/>
            <c:bubble3D val="false"/>
          </c:dPt>
          <c:dLbls>
            <c:spPr>
              <a:noFill/>
              <a:ln>
                <a:noFill/>
              </a:ln>
              <a:effectLst/>
            </c:spPr>
            <c:txPr>
              <a:bodyPr rot="0" spcFirstLastPara="0" vertOverflow="ellipsis" vert="horz" wrap="square" lIns="38100" tIns="19050" rIns="38100" bIns="19050" anchor="ctr" anchorCtr="true"/>
              <a:lstStyle/>
              <a:p>
                <a:pPr>
                  <a:defRPr lang="zh-CN" sz="1000" b="0" i="0" u="none" strike="noStrike" kern="1200" baseline="0">
                    <a:solidFill>
                      <a:schemeClr val="tx1"/>
                    </a:solidFill>
                    <a:latin typeface="+mn-lt"/>
                    <a:ea typeface="+mn-ea"/>
                    <a:cs typeface="+mn-cs"/>
                  </a:defRPr>
                </a:pPr>
              </a:p>
            </c:txPr>
            <c:dLblPos val="bestFit"/>
            <c:showLegendKey val="false"/>
            <c:showVal val="true"/>
            <c:showCatName val="false"/>
            <c:showSerName val="false"/>
            <c:showPercent val="false"/>
            <c:showBubbleSize val="false"/>
            <c:showLeaderLines val="true"/>
            <c:extLst>
              <c:ext xmlns:c15="http://schemas.microsoft.com/office/drawing/2012/chart" uri="{CE6537A1-D6FC-4f65-9D91-7224C49458BB}">
                <c15:layout/>
                <c15:showLeaderLines val="true"/>
                <c15:leaderLines/>
              </c:ext>
            </c:extLst>
          </c:dLbls>
          <c:cat>
            <c:strRef>
              <c:f>统计表!$I$43:$I$46</c:f>
              <c:strCache>
                <c:ptCount val="4"/>
                <c:pt idx="0">
                  <c:v>盐渍泡菜企业</c:v>
                </c:pt>
                <c:pt idx="1">
                  <c:v>盐水渍泡菜企业</c:v>
                </c:pt>
                <c:pt idx="2">
                  <c:v>其他盐渍类加工企业</c:v>
                </c:pt>
                <c:pt idx="3">
                  <c:v>混合型企业</c:v>
                </c:pt>
              </c:strCache>
            </c:strRef>
          </c:cat>
          <c:val>
            <c:numRef>
              <c:f>统计表!$J$43:$J$46</c:f>
              <c:numCache>
                <c:formatCode>0.0%</c:formatCode>
                <c:ptCount val="4"/>
                <c:pt idx="0">
                  <c:v>0.707000000000001</c:v>
                </c:pt>
                <c:pt idx="1">
                  <c:v>0.096</c:v>
                </c:pt>
                <c:pt idx="2">
                  <c:v>0.078</c:v>
                </c:pt>
                <c:pt idx="3">
                  <c:v>0.199</c:v>
                </c:pt>
              </c:numCache>
            </c:numRef>
          </c:val>
        </c:ser>
        <c:dLbls>
          <c:showLegendKey val="false"/>
          <c:showVal val="false"/>
          <c:showCatName val="false"/>
          <c:showSerName val="false"/>
          <c:showPercent val="false"/>
          <c:showBubbleSize val="false"/>
          <c:showLeaderLines val="true"/>
        </c:dLbls>
        <c:firstSliceAng val="0"/>
      </c:pieChart>
      <c:spPr>
        <a:noFill/>
        <a:ln>
          <a:noFill/>
        </a:ln>
        <a:effectLst/>
      </c:spPr>
    </c:plotArea>
    <c:legend>
      <c:legendPos val="r"/>
      <c:layout>
        <c:manualLayout>
          <c:xMode val="edge"/>
          <c:yMode val="edge"/>
          <c:x val="0.119487532808398"/>
          <c:y val="0.800158209390494"/>
          <c:w val="0.733290244969382"/>
          <c:h val="0.177461358996793"/>
        </c:manualLayout>
      </c:layout>
      <c:overlay val="false"/>
      <c:txPr>
        <a:bodyPr rot="0" spcFirstLastPara="0" vertOverflow="ellipsis" vert="horz" wrap="square" anchor="ctr" anchorCtr="true"/>
        <a:lstStyle/>
        <a:p>
          <a:pPr algn="ctr">
            <a:defRPr lang="zh-CN" sz="1000" b="0" i="0" u="none" strike="noStrike" kern="1200" baseline="0">
              <a:solidFill>
                <a:schemeClr val="tx1"/>
              </a:solidFill>
              <a:latin typeface="+mn-lt"/>
              <a:ea typeface="+mn-ea"/>
              <a:cs typeface="+mn-cs"/>
            </a:defRPr>
          </a:pPr>
        </a:p>
      </c:txPr>
    </c:legend>
    <c:plotVisOnly val="true"/>
    <c:dispBlanksAs val="zero"/>
    <c:showDLblsOverMax val="false"/>
  </c:chart>
  <c:txPr>
    <a:bodyPr/>
    <a:lstStyle/>
    <a:p>
      <a:pPr>
        <a:defRPr lang="zh-CN"/>
      </a:pPr>
    </a:p>
  </c:txPr>
  <c:externalData r:id="rId1">
    <c:autoUpdate val="false"/>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false"/>
  <c:lang val="zh-CN"/>
  <c:roundedCorners val="false"/>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true"/>
    <c:plotArea>
      <c:layout/>
      <c:barChart>
        <c:barDir val="col"/>
        <c:grouping val="clustered"/>
        <c:varyColors val="false"/>
        <c:ser>
          <c:idx val="0"/>
          <c:order val="0"/>
          <c:tx>
            <c:strRef>
              <c:f>排序!$C$76</c:f>
              <c:strCache>
                <c:ptCount val="1"/>
                <c:pt idx="0">
                  <c:v>泡菜企业数量</c:v>
                </c:pt>
              </c:strCache>
            </c:strRef>
          </c:tx>
          <c:invertIfNegative val="false"/>
          <c:dLbls>
            <c:spPr>
              <a:noFill/>
              <a:ln>
                <a:noFill/>
              </a:ln>
              <a:effectLst/>
            </c:spPr>
            <c:txPr>
              <a:bodyPr rot="0" spcFirstLastPara="0" vertOverflow="ellipsis" vert="horz" wrap="square" lIns="38100" tIns="19050" rIns="38100" bIns="19050" anchor="ctr" anchorCtr="true"/>
              <a:lstStyle/>
              <a:p>
                <a:pPr>
                  <a:defRPr lang="zh-CN" sz="1000" b="0" i="0" u="none" strike="noStrike" kern="1200" baseline="0">
                    <a:solidFill>
                      <a:schemeClr val="tx1"/>
                    </a:solidFill>
                    <a:latin typeface="+mn-lt"/>
                    <a:ea typeface="+mn-ea"/>
                    <a:cs typeface="+mn-cs"/>
                  </a:defRPr>
                </a:pPr>
              </a:p>
            </c:txPr>
            <c:dLblPos val="outEnd"/>
            <c:showLegendKey val="false"/>
            <c:showVal val="true"/>
            <c:showCatName val="false"/>
            <c:showSerName val="false"/>
            <c:showPercent val="false"/>
            <c:showBubbleSize val="false"/>
            <c:showLeaderLines val="false"/>
            <c:extLst>
              <c:ext xmlns:c15="http://schemas.microsoft.com/office/drawing/2012/chart" uri="{CE6537A1-D6FC-4f65-9D91-7224C49458BB}">
                <c15:layout/>
                <c15:showLeaderLines val="false"/>
                <c15:leaderLines/>
              </c:ext>
            </c:extLst>
          </c:dLbls>
          <c:cat>
            <c:strRef>
              <c:f>排序!$B$77:$B$93</c:f>
              <c:strCache>
                <c:ptCount val="17"/>
                <c:pt idx="0">
                  <c:v>成都</c:v>
                </c:pt>
                <c:pt idx="1">
                  <c:v>自贡</c:v>
                </c:pt>
                <c:pt idx="2">
                  <c:v>泸州</c:v>
                </c:pt>
                <c:pt idx="3">
                  <c:v>德阳</c:v>
                </c:pt>
                <c:pt idx="4">
                  <c:v>绵阳</c:v>
                </c:pt>
                <c:pt idx="5">
                  <c:v>广元</c:v>
                </c:pt>
                <c:pt idx="6">
                  <c:v>遂宁</c:v>
                </c:pt>
                <c:pt idx="7">
                  <c:v>内江</c:v>
                </c:pt>
                <c:pt idx="8">
                  <c:v>乐山</c:v>
                </c:pt>
                <c:pt idx="9">
                  <c:v>南充</c:v>
                </c:pt>
                <c:pt idx="10">
                  <c:v>宜宾</c:v>
                </c:pt>
                <c:pt idx="11">
                  <c:v>广安</c:v>
                </c:pt>
                <c:pt idx="12">
                  <c:v>达州</c:v>
                </c:pt>
                <c:pt idx="13">
                  <c:v>巴中</c:v>
                </c:pt>
                <c:pt idx="14">
                  <c:v>雅安</c:v>
                </c:pt>
                <c:pt idx="15">
                  <c:v>眉山</c:v>
                </c:pt>
                <c:pt idx="16">
                  <c:v>资阳</c:v>
                </c:pt>
              </c:strCache>
            </c:strRef>
          </c:cat>
          <c:val>
            <c:numRef>
              <c:f>排序!$C$77:$C$93</c:f>
              <c:numCache>
                <c:formatCode>General</c:formatCode>
                <c:ptCount val="17"/>
                <c:pt idx="0">
                  <c:v>65</c:v>
                </c:pt>
                <c:pt idx="1">
                  <c:v>4</c:v>
                </c:pt>
                <c:pt idx="2">
                  <c:v>2</c:v>
                </c:pt>
                <c:pt idx="3">
                  <c:v>11</c:v>
                </c:pt>
                <c:pt idx="4">
                  <c:v>8</c:v>
                </c:pt>
                <c:pt idx="5">
                  <c:v>2</c:v>
                </c:pt>
                <c:pt idx="6">
                  <c:v>1</c:v>
                </c:pt>
                <c:pt idx="7">
                  <c:v>7</c:v>
                </c:pt>
                <c:pt idx="8">
                  <c:v>4</c:v>
                </c:pt>
                <c:pt idx="9">
                  <c:v>2</c:v>
                </c:pt>
                <c:pt idx="10">
                  <c:v>14</c:v>
                </c:pt>
                <c:pt idx="11">
                  <c:v>3</c:v>
                </c:pt>
                <c:pt idx="12">
                  <c:v>2</c:v>
                </c:pt>
                <c:pt idx="13">
                  <c:v>2</c:v>
                </c:pt>
                <c:pt idx="14">
                  <c:v>2</c:v>
                </c:pt>
                <c:pt idx="15">
                  <c:v>21</c:v>
                </c:pt>
                <c:pt idx="16">
                  <c:v>17</c:v>
                </c:pt>
              </c:numCache>
            </c:numRef>
          </c:val>
        </c:ser>
        <c:dLbls>
          <c:showLegendKey val="false"/>
          <c:showVal val="false"/>
          <c:showCatName val="false"/>
          <c:showSerName val="false"/>
          <c:showPercent val="false"/>
          <c:showBubbleSize val="false"/>
        </c:dLbls>
        <c:gapWidth val="150"/>
        <c:axId val="349425568"/>
        <c:axId val="349423888"/>
      </c:barChart>
      <c:lineChart>
        <c:grouping val="standard"/>
        <c:varyColors val="false"/>
        <c:ser>
          <c:idx val="1"/>
          <c:order val="1"/>
          <c:tx>
            <c:strRef>
              <c:f>排序!$D$76</c:f>
              <c:strCache>
                <c:ptCount val="1"/>
                <c:pt idx="0">
                  <c:v>年产品产量（万吨）</c:v>
                </c:pt>
              </c:strCache>
            </c:strRef>
          </c:tx>
          <c:marker>
            <c:symbol val="triangle"/>
            <c:size val="5"/>
          </c:marker>
          <c:dLbls>
            <c:delete val="true"/>
          </c:dLbls>
          <c:cat>
            <c:strRef>
              <c:f>排序!$B$77:$B$93</c:f>
              <c:strCache>
                <c:ptCount val="17"/>
                <c:pt idx="0">
                  <c:v>成都</c:v>
                </c:pt>
                <c:pt idx="1">
                  <c:v>自贡</c:v>
                </c:pt>
                <c:pt idx="2">
                  <c:v>泸州</c:v>
                </c:pt>
                <c:pt idx="3">
                  <c:v>德阳</c:v>
                </c:pt>
                <c:pt idx="4">
                  <c:v>绵阳</c:v>
                </c:pt>
                <c:pt idx="5">
                  <c:v>广元</c:v>
                </c:pt>
                <c:pt idx="6">
                  <c:v>遂宁</c:v>
                </c:pt>
                <c:pt idx="7">
                  <c:v>内江</c:v>
                </c:pt>
                <c:pt idx="8">
                  <c:v>乐山</c:v>
                </c:pt>
                <c:pt idx="9">
                  <c:v>南充</c:v>
                </c:pt>
                <c:pt idx="10">
                  <c:v>宜宾</c:v>
                </c:pt>
                <c:pt idx="11">
                  <c:v>广安</c:v>
                </c:pt>
                <c:pt idx="12">
                  <c:v>达州</c:v>
                </c:pt>
                <c:pt idx="13">
                  <c:v>巴中</c:v>
                </c:pt>
                <c:pt idx="14">
                  <c:v>雅安</c:v>
                </c:pt>
                <c:pt idx="15">
                  <c:v>眉山</c:v>
                </c:pt>
                <c:pt idx="16">
                  <c:v>资阳</c:v>
                </c:pt>
              </c:strCache>
            </c:strRef>
          </c:cat>
          <c:val>
            <c:numRef>
              <c:f>排序!$D$77:$D$93</c:f>
              <c:numCache>
                <c:formatCode>0.00_ </c:formatCode>
                <c:ptCount val="17"/>
                <c:pt idx="0">
                  <c:v>13.152714</c:v>
                </c:pt>
                <c:pt idx="1">
                  <c:v>0.1905</c:v>
                </c:pt>
                <c:pt idx="2">
                  <c:v>4.0064</c:v>
                </c:pt>
                <c:pt idx="3">
                  <c:v>6.4965</c:v>
                </c:pt>
                <c:pt idx="4">
                  <c:v>3.565</c:v>
                </c:pt>
                <c:pt idx="5">
                  <c:v>2.845</c:v>
                </c:pt>
                <c:pt idx="6">
                  <c:v>0.15</c:v>
                </c:pt>
                <c:pt idx="7">
                  <c:v>0.9131</c:v>
                </c:pt>
                <c:pt idx="8">
                  <c:v>0.660000000000006</c:v>
                </c:pt>
                <c:pt idx="9">
                  <c:v>0.014</c:v>
                </c:pt>
                <c:pt idx="10">
                  <c:v>1.9088</c:v>
                </c:pt>
                <c:pt idx="11">
                  <c:v>0.036</c:v>
                </c:pt>
                <c:pt idx="12">
                  <c:v>0.07</c:v>
                </c:pt>
                <c:pt idx="13">
                  <c:v>0.0275</c:v>
                </c:pt>
                <c:pt idx="14">
                  <c:v>0.094</c:v>
                </c:pt>
                <c:pt idx="15">
                  <c:v>16.8896269999998</c:v>
                </c:pt>
                <c:pt idx="16">
                  <c:v>1.631</c:v>
                </c:pt>
              </c:numCache>
            </c:numRef>
          </c:val>
          <c:smooth val="false"/>
        </c:ser>
        <c:ser>
          <c:idx val="2"/>
          <c:order val="2"/>
          <c:tx>
            <c:strRef>
              <c:f>排序!$E$76</c:f>
              <c:strCache>
                <c:ptCount val="1"/>
                <c:pt idx="0">
                  <c:v>工业总产值（亿元）</c:v>
                </c:pt>
              </c:strCache>
            </c:strRef>
          </c:tx>
          <c:marker>
            <c:symbol val="square"/>
            <c:size val="5"/>
          </c:marker>
          <c:dLbls>
            <c:delete val="true"/>
          </c:dLbls>
          <c:cat>
            <c:strRef>
              <c:f>排序!$B$77:$B$93</c:f>
              <c:strCache>
                <c:ptCount val="17"/>
                <c:pt idx="0">
                  <c:v>成都</c:v>
                </c:pt>
                <c:pt idx="1">
                  <c:v>自贡</c:v>
                </c:pt>
                <c:pt idx="2">
                  <c:v>泸州</c:v>
                </c:pt>
                <c:pt idx="3">
                  <c:v>德阳</c:v>
                </c:pt>
                <c:pt idx="4">
                  <c:v>绵阳</c:v>
                </c:pt>
                <c:pt idx="5">
                  <c:v>广元</c:v>
                </c:pt>
                <c:pt idx="6">
                  <c:v>遂宁</c:v>
                </c:pt>
                <c:pt idx="7">
                  <c:v>内江</c:v>
                </c:pt>
                <c:pt idx="8">
                  <c:v>乐山</c:v>
                </c:pt>
                <c:pt idx="9">
                  <c:v>南充</c:v>
                </c:pt>
                <c:pt idx="10">
                  <c:v>宜宾</c:v>
                </c:pt>
                <c:pt idx="11">
                  <c:v>广安</c:v>
                </c:pt>
                <c:pt idx="12">
                  <c:v>达州</c:v>
                </c:pt>
                <c:pt idx="13">
                  <c:v>巴中</c:v>
                </c:pt>
                <c:pt idx="14">
                  <c:v>雅安</c:v>
                </c:pt>
                <c:pt idx="15">
                  <c:v>眉山</c:v>
                </c:pt>
                <c:pt idx="16">
                  <c:v>资阳</c:v>
                </c:pt>
              </c:strCache>
            </c:strRef>
          </c:cat>
          <c:val>
            <c:numRef>
              <c:f>排序!$E$77:$E$93</c:f>
              <c:numCache>
                <c:formatCode>0.00_ </c:formatCode>
                <c:ptCount val="17"/>
                <c:pt idx="0">
                  <c:v>10.4690196074001</c:v>
                </c:pt>
                <c:pt idx="1">
                  <c:v>0.333590000000002</c:v>
                </c:pt>
                <c:pt idx="2">
                  <c:v>0.543</c:v>
                </c:pt>
                <c:pt idx="3">
                  <c:v>3.1425</c:v>
                </c:pt>
                <c:pt idx="4">
                  <c:v>2.22622</c:v>
                </c:pt>
                <c:pt idx="5">
                  <c:v>3.15</c:v>
                </c:pt>
                <c:pt idx="6">
                  <c:v>0.012</c:v>
                </c:pt>
                <c:pt idx="7">
                  <c:v>1.03989999999999</c:v>
                </c:pt>
                <c:pt idx="8">
                  <c:v>0.224</c:v>
                </c:pt>
                <c:pt idx="9">
                  <c:v>0.0346</c:v>
                </c:pt>
                <c:pt idx="10">
                  <c:v>1.9745</c:v>
                </c:pt>
                <c:pt idx="11">
                  <c:v>0.0315</c:v>
                </c:pt>
                <c:pt idx="12">
                  <c:v>0.035</c:v>
                </c:pt>
                <c:pt idx="13">
                  <c:v>0.0121</c:v>
                </c:pt>
                <c:pt idx="14">
                  <c:v>0.095</c:v>
                </c:pt>
                <c:pt idx="15">
                  <c:v>25.6339000000002</c:v>
                </c:pt>
                <c:pt idx="16">
                  <c:v>0.4421</c:v>
                </c:pt>
              </c:numCache>
            </c:numRef>
          </c:val>
          <c:smooth val="false"/>
        </c:ser>
        <c:dLbls>
          <c:showLegendKey val="false"/>
          <c:showVal val="false"/>
          <c:showCatName val="false"/>
          <c:showSerName val="false"/>
          <c:showPercent val="false"/>
          <c:showBubbleSize val="false"/>
        </c:dLbls>
        <c:marker val="true"/>
        <c:smooth val="false"/>
        <c:axId val="349424448"/>
        <c:axId val="349423328"/>
      </c:lineChart>
      <c:catAx>
        <c:axId val="349425568"/>
        <c:scaling>
          <c:orientation val="minMax"/>
        </c:scaling>
        <c:delete val="false"/>
        <c:axPos val="b"/>
        <c:numFmt formatCode="General" sourceLinked="false"/>
        <c:majorTickMark val="out"/>
        <c:minorTickMark val="none"/>
        <c:tickLblPos val="nextTo"/>
        <c:txPr>
          <a:bodyPr rot="0" spcFirstLastPara="0" vertOverflow="ellipsis" vert="eaVert" wrap="square" anchor="ctr" anchorCtr="true"/>
          <a:lstStyle/>
          <a:p>
            <a:pPr>
              <a:defRPr lang="zh-CN" sz="1000" b="0" i="0" u="none" strike="noStrike" kern="1200" baseline="0">
                <a:solidFill>
                  <a:schemeClr val="tx1"/>
                </a:solidFill>
                <a:latin typeface="+mn-lt"/>
                <a:ea typeface="+mn-ea"/>
                <a:cs typeface="+mn-cs"/>
              </a:defRPr>
            </a:pPr>
          </a:p>
        </c:txPr>
        <c:crossAx val="349423888"/>
        <c:crosses val="autoZero"/>
        <c:auto val="true"/>
        <c:lblAlgn val="ctr"/>
        <c:lblOffset val="100"/>
        <c:noMultiLvlLbl val="false"/>
      </c:catAx>
      <c:valAx>
        <c:axId val="349423888"/>
        <c:scaling>
          <c:orientation val="minMax"/>
        </c:scaling>
        <c:delete val="false"/>
        <c:axPos val="l"/>
        <c:majorGridlines/>
        <c:title>
          <c:tx>
            <c:rich>
              <a:bodyPr rot="-5400000" spcFirstLastPara="0" vertOverflow="ellipsis" vert="horz" wrap="square" anchor="ctr" anchorCtr="true"/>
              <a:lstStyle/>
              <a:p>
                <a:pPr>
                  <a:defRPr lang="zh-CN" sz="1000" b="1" i="0" u="none" strike="noStrike" kern="1200" baseline="0">
                    <a:solidFill>
                      <a:schemeClr val="tx1"/>
                    </a:solidFill>
                    <a:latin typeface="+mn-lt"/>
                    <a:ea typeface="+mn-ea"/>
                    <a:cs typeface="+mn-cs"/>
                  </a:defRPr>
                </a:pPr>
                <a:r>
                  <a:rPr lang="zh-CN" altLang="en-US"/>
                  <a:t>企业数量（家）</a:t>
                </a:r>
                <a:endParaRPr lang="zh-CN" altLang="en-US"/>
              </a:p>
            </c:rich>
          </c:tx>
          <c:layout/>
          <c:overlay val="false"/>
        </c:title>
        <c:numFmt formatCode="General" sourceLinked="true"/>
        <c:majorTickMark val="out"/>
        <c:minorTickMark val="none"/>
        <c:tickLblPos val="nextTo"/>
        <c:txPr>
          <a:bodyPr rot="-60000000" spcFirstLastPara="0" vertOverflow="ellipsis" vert="horz" wrap="square" anchor="ctr" anchorCtr="true"/>
          <a:lstStyle/>
          <a:p>
            <a:pPr>
              <a:defRPr lang="zh-CN" sz="1000" b="0" i="0" u="none" strike="noStrike" kern="1200" baseline="0">
                <a:solidFill>
                  <a:schemeClr val="tx1"/>
                </a:solidFill>
                <a:latin typeface="+mn-lt"/>
                <a:ea typeface="+mn-ea"/>
                <a:cs typeface="+mn-cs"/>
              </a:defRPr>
            </a:pPr>
          </a:p>
        </c:txPr>
        <c:crossAx val="349425568"/>
        <c:crosses val="autoZero"/>
        <c:crossBetween val="between"/>
      </c:valAx>
      <c:catAx>
        <c:axId val="349424448"/>
        <c:scaling>
          <c:orientation val="minMax"/>
        </c:scaling>
        <c:delete val="true"/>
        <c:axPos val="b"/>
        <c:numFmt formatCode="General" sourceLinked="true"/>
        <c:majorTickMark val="out"/>
        <c:minorTickMark val="none"/>
        <c:tickLblPos val="none"/>
        <c:txPr>
          <a:bodyPr rot="-60000000" spcFirstLastPara="0" vertOverflow="ellipsis" vert="horz" wrap="square" anchor="ctr" anchorCtr="true"/>
          <a:lstStyle/>
          <a:p>
            <a:pPr>
              <a:defRPr lang="zh-CN" sz="1000" b="0" i="0" u="none" strike="noStrike" kern="1200" baseline="0">
                <a:solidFill>
                  <a:schemeClr val="tx1"/>
                </a:solidFill>
                <a:latin typeface="+mn-lt"/>
                <a:ea typeface="+mn-ea"/>
                <a:cs typeface="+mn-cs"/>
              </a:defRPr>
            </a:pPr>
          </a:p>
        </c:txPr>
        <c:crossAx val="349423328"/>
        <c:crosses val="autoZero"/>
        <c:auto val="true"/>
        <c:lblAlgn val="ctr"/>
        <c:lblOffset val="100"/>
        <c:noMultiLvlLbl val="false"/>
      </c:catAx>
      <c:valAx>
        <c:axId val="349423328"/>
        <c:scaling>
          <c:orientation val="minMax"/>
        </c:scaling>
        <c:delete val="false"/>
        <c:axPos val="r"/>
        <c:title>
          <c:tx>
            <c:rich>
              <a:bodyPr rot="-5400000" spcFirstLastPara="0" vertOverflow="ellipsis" vert="horz" wrap="square" anchor="ctr" anchorCtr="true"/>
              <a:lstStyle/>
              <a:p>
                <a:pPr>
                  <a:defRPr lang="zh-CN" sz="1000" b="1" i="0" u="none" strike="noStrike" kern="1200" baseline="0">
                    <a:solidFill>
                      <a:schemeClr val="tx1"/>
                    </a:solidFill>
                    <a:latin typeface="+mn-lt"/>
                    <a:ea typeface="+mn-ea"/>
                    <a:cs typeface="+mn-cs"/>
                  </a:defRPr>
                </a:pPr>
                <a:r>
                  <a:rPr lang="zh-CN" altLang="en-US"/>
                  <a:t>产量</a:t>
                </a:r>
                <a:r>
                  <a:rPr lang="en-US" altLang="zh-CN"/>
                  <a:t>/</a:t>
                </a:r>
                <a:r>
                  <a:rPr lang="zh-CN" altLang="en-US"/>
                  <a:t>产值   （万吨</a:t>
                </a:r>
                <a:r>
                  <a:rPr lang="en-US" altLang="zh-CN"/>
                  <a:t>/</a:t>
                </a:r>
                <a:r>
                  <a:rPr lang="zh-CN" altLang="en-US"/>
                  <a:t>亿元）</a:t>
                </a:r>
                <a:endParaRPr lang="zh-CN" altLang="en-US"/>
              </a:p>
            </c:rich>
          </c:tx>
          <c:layout/>
          <c:overlay val="false"/>
        </c:title>
        <c:numFmt formatCode="0_ " sourceLinked="false"/>
        <c:majorTickMark val="out"/>
        <c:minorTickMark val="none"/>
        <c:tickLblPos val="nextTo"/>
        <c:txPr>
          <a:bodyPr rot="-60000000" spcFirstLastPara="0" vertOverflow="ellipsis" vert="horz" wrap="square" anchor="ctr" anchorCtr="true"/>
          <a:lstStyle/>
          <a:p>
            <a:pPr>
              <a:defRPr lang="zh-CN" sz="1000" b="0" i="0" u="none" strike="noStrike" kern="1200" baseline="0">
                <a:solidFill>
                  <a:schemeClr val="tx1"/>
                </a:solidFill>
                <a:latin typeface="+mn-lt"/>
                <a:ea typeface="+mn-ea"/>
                <a:cs typeface="+mn-cs"/>
              </a:defRPr>
            </a:pPr>
          </a:p>
        </c:txPr>
        <c:crossAx val="349424448"/>
        <c:crosses val="max"/>
        <c:crossBetween val="between"/>
      </c:valAx>
    </c:plotArea>
    <c:legend>
      <c:legendPos val="b"/>
      <c:layout/>
      <c:overlay val="false"/>
      <c:txPr>
        <a:bodyPr rot="0" spcFirstLastPara="0" vertOverflow="ellipsis" vert="horz" wrap="square" anchor="ctr" anchorCtr="true"/>
        <a:lstStyle/>
        <a:p>
          <a:pPr>
            <a:defRPr lang="zh-CN" sz="1000" b="0" i="0" u="none" strike="noStrike" kern="1200" baseline="0">
              <a:solidFill>
                <a:schemeClr val="tx1"/>
              </a:solidFill>
              <a:latin typeface="+mn-lt"/>
              <a:ea typeface="+mn-ea"/>
              <a:cs typeface="+mn-cs"/>
            </a:defRPr>
          </a:pPr>
        </a:p>
      </c:txPr>
    </c:legend>
    <c:plotVisOnly val="true"/>
    <c:dispBlanksAs val="gap"/>
    <c:showDLblsOverMax val="false"/>
  </c:chart>
  <c:txPr>
    <a:bodyPr/>
    <a:lstStyle/>
    <a:p>
      <a:pPr>
        <a:defRPr lang="zh-CN"/>
      </a:pPr>
    </a:p>
  </c:txPr>
  <c:externalData r:id="rId1">
    <c:autoUpdate val="false"/>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false"/>
  <c:lang val="zh-CN"/>
  <c:roundedCorners val="false"/>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true"/>
    <c:plotArea>
      <c:layout/>
      <c:pieChart>
        <c:varyColors val="true"/>
        <c:ser>
          <c:idx val="0"/>
          <c:order val="0"/>
          <c:explosion val="25"/>
          <c:dPt>
            <c:idx val="0"/>
            <c:bubble3D val="false"/>
          </c:dPt>
          <c:dPt>
            <c:idx val="1"/>
            <c:bubble3D val="false"/>
          </c:dPt>
          <c:dPt>
            <c:idx val="2"/>
            <c:bubble3D val="false"/>
          </c:dPt>
          <c:dPt>
            <c:idx val="3"/>
            <c:bubble3D val="false"/>
          </c:dPt>
          <c:dPt>
            <c:idx val="4"/>
            <c:bubble3D val="false"/>
            <c:explosion val="14"/>
          </c:dPt>
          <c:dPt>
            <c:idx val="5"/>
            <c:bubble3D val="false"/>
          </c:dPt>
          <c:dLbls>
            <c:spPr>
              <a:noFill/>
              <a:ln>
                <a:noFill/>
              </a:ln>
              <a:effectLst/>
            </c:spPr>
            <c:txPr>
              <a:bodyPr rot="0" spcFirstLastPara="0" vertOverflow="ellipsis" vert="horz" wrap="square" lIns="38100" tIns="19050" rIns="38100" bIns="19050" anchor="ctr" anchorCtr="true">
                <a:spAutoFit/>
              </a:bodyPr>
              <a:lstStyle/>
              <a:p>
                <a:pPr>
                  <a:defRPr lang="zh-CN" sz="900" b="0" i="0" u="none" strike="noStrike" kern="1200" baseline="0">
                    <a:solidFill>
                      <a:schemeClr val="tx1"/>
                    </a:solidFill>
                    <a:latin typeface="Times New Roman" charset="0"/>
                    <a:ea typeface="+mn-ea"/>
                    <a:cs typeface="Times New Roman" charset="0"/>
                  </a:defRPr>
                </a:pPr>
              </a:p>
            </c:txPr>
            <c:dLblPos val="bestFit"/>
            <c:showLegendKey val="false"/>
            <c:showVal val="true"/>
            <c:showCatName val="true"/>
            <c:showSerName val="false"/>
            <c:showPercent val="false"/>
            <c:showBubbleSize val="false"/>
            <c:showLeaderLines val="true"/>
            <c:extLst>
              <c:ext xmlns:c15="http://schemas.microsoft.com/office/drawing/2012/chart" uri="{CE6537A1-D6FC-4f65-9D91-7224C49458BB}">
                <c15:layout/>
                <c15:showLeaderLines val="true"/>
                <c15:leaderLines/>
              </c:ext>
            </c:extLst>
          </c:dLbls>
          <c:cat>
            <c:strRef>
              <c:f>Sheet1!$G$101:$G$106</c:f>
              <c:strCache>
                <c:ptCount val="6"/>
                <c:pt idx="0">
                  <c:v>工业废水集中处理厂</c:v>
                </c:pt>
                <c:pt idx="1">
                  <c:v>进入城市污水处理厂</c:v>
                </c:pt>
                <c:pt idx="2">
                  <c:v>进入其它单位（非集中式污水处理厂）</c:v>
                </c:pt>
                <c:pt idx="3">
                  <c:v>其他</c:v>
                </c:pt>
                <c:pt idx="4">
                  <c:v>直接进入江河湖、库等水环境</c:v>
                </c:pt>
                <c:pt idx="5">
                  <c:v>直接进入污灌农田</c:v>
                </c:pt>
              </c:strCache>
            </c:strRef>
          </c:cat>
          <c:val>
            <c:numRef>
              <c:f>Sheet1!$H$101:$H$106</c:f>
              <c:numCache>
                <c:formatCode>0.00%</c:formatCode>
                <c:ptCount val="6"/>
                <c:pt idx="0">
                  <c:v>0.151515151515152</c:v>
                </c:pt>
                <c:pt idx="1">
                  <c:v>0.0909090909090911</c:v>
                </c:pt>
                <c:pt idx="2">
                  <c:v>0.0202020202020202</c:v>
                </c:pt>
                <c:pt idx="3">
                  <c:v>0.161616161616162</c:v>
                </c:pt>
                <c:pt idx="4">
                  <c:v>0.555555555555556</c:v>
                </c:pt>
                <c:pt idx="5">
                  <c:v>0.0202020202020202</c:v>
                </c:pt>
              </c:numCache>
            </c:numRef>
          </c:val>
        </c:ser>
        <c:dLbls>
          <c:showLegendKey val="false"/>
          <c:showVal val="false"/>
          <c:showCatName val="false"/>
          <c:showSerName val="false"/>
          <c:showPercent val="false"/>
          <c:showBubbleSize val="false"/>
          <c:showLeaderLines val="true"/>
        </c:dLbls>
        <c:firstSliceAng val="0"/>
      </c:pieChart>
      <c:spPr>
        <a:noFill/>
        <a:ln>
          <a:noFill/>
        </a:ln>
        <a:effectLst/>
      </c:spPr>
    </c:plotArea>
    <c:plotVisOnly val="true"/>
    <c:dispBlanksAs val="zero"/>
    <c:showDLblsOverMax val="false"/>
  </c:chart>
  <c:spPr>
    <a:ln w="9525" cap="flat" cmpd="sng" algn="ctr">
      <a:noFill/>
      <a:prstDash val="solid"/>
      <a:round/>
    </a:ln>
  </c:spPr>
  <c:txPr>
    <a:bodyPr/>
    <a:lstStyle/>
    <a:p>
      <a:pPr>
        <a:defRPr lang="zh-CN"/>
      </a:pPr>
    </a:p>
  </c:txPr>
  <c:externalData r:id="rId1">
    <c:autoUpdate val="false"/>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false"/>
  <c:lang val="zh-CN"/>
  <c:roundedCorners val="false"/>
  <mc:AlternateContent xmlns:mc="http://schemas.openxmlformats.org/markup-compatibility/2006">
    <mc:Choice xmlns:c14="http://schemas.microsoft.com/office/drawing/2007/8/2/chart" Requires="c14">
      <c14:style val="107"/>
    </mc:Choice>
    <mc:Fallback>
      <c:style val="7"/>
    </mc:Fallback>
  </mc:AlternateContent>
  <c:clrMapOvr bg1="lt1" tx1="dk1" bg2="lt2" tx2="dk2" accent1="accent1" accent2="accent2" accent3="accent3" accent4="accent4" accent5="accent5" accent6="accent6" hlink="hlink" folHlink="folHlink"/>
  <c:chart>
    <c:autoTitleDeleted val="true"/>
    <c:plotArea>
      <c:layout/>
      <c:barChart>
        <c:barDir val="col"/>
        <c:grouping val="clustered"/>
        <c:varyColors val="false"/>
        <c:ser>
          <c:idx val="0"/>
          <c:order val="0"/>
          <c:tx>
            <c:strRef>
              <c:f>Sheet1!$L$2</c:f>
              <c:strCache>
                <c:ptCount val="1"/>
                <c:pt idx="0">
                  <c:v>水源地数</c:v>
                </c:pt>
              </c:strCache>
            </c:strRef>
          </c:tx>
          <c:invertIfNegative val="false"/>
          <c:dLbls>
            <c:delete val="true"/>
          </c:dLbls>
          <c:cat>
            <c:strRef>
              <c:f>Sheet1!$K$3:$K$9</c:f>
              <c:strCache>
                <c:ptCount val="7"/>
                <c:pt idx="0">
                  <c:v>0-10</c:v>
                </c:pt>
                <c:pt idx="1">
                  <c:v>10-20</c:v>
                </c:pt>
                <c:pt idx="2">
                  <c:v>10-20</c:v>
                </c:pt>
                <c:pt idx="3">
                  <c:v>20-30</c:v>
                </c:pt>
                <c:pt idx="4">
                  <c:v>30-40</c:v>
                </c:pt>
                <c:pt idx="5">
                  <c:v>40-50</c:v>
                </c:pt>
                <c:pt idx="6">
                  <c:v>50-60</c:v>
                </c:pt>
              </c:strCache>
            </c:strRef>
          </c:cat>
          <c:val>
            <c:numRef>
              <c:f>Sheet1!$L$3:$L$9</c:f>
              <c:numCache>
                <c:formatCode>General</c:formatCode>
                <c:ptCount val="7"/>
                <c:pt idx="0">
                  <c:v>21</c:v>
                </c:pt>
                <c:pt idx="1">
                  <c:v>3</c:v>
                </c:pt>
                <c:pt idx="2">
                  <c:v>3</c:v>
                </c:pt>
                <c:pt idx="3">
                  <c:v>6</c:v>
                </c:pt>
                <c:pt idx="4">
                  <c:v>0</c:v>
                </c:pt>
                <c:pt idx="5">
                  <c:v>2</c:v>
                </c:pt>
                <c:pt idx="6">
                  <c:v>2</c:v>
                </c:pt>
              </c:numCache>
            </c:numRef>
          </c:val>
        </c:ser>
        <c:dLbls>
          <c:showLegendKey val="false"/>
          <c:showVal val="false"/>
          <c:showCatName val="false"/>
          <c:showSerName val="false"/>
          <c:showPercent val="false"/>
          <c:showBubbleSize val="false"/>
        </c:dLbls>
        <c:gapWidth val="150"/>
        <c:axId val="343414368"/>
        <c:axId val="341364992"/>
      </c:barChart>
      <c:catAx>
        <c:axId val="343414368"/>
        <c:scaling>
          <c:orientation val="minMax"/>
        </c:scaling>
        <c:delete val="false"/>
        <c:axPos val="b"/>
        <c:title>
          <c:tx>
            <c:rich>
              <a:bodyPr rot="0" spcFirstLastPara="0" vertOverflow="ellipsis" vert="horz" wrap="square" anchor="ctr" anchorCtr="true"/>
              <a:lstStyle/>
              <a:p>
                <a:pPr>
                  <a:defRPr lang="zh-CN" sz="1000" b="1" i="0" u="none" strike="noStrike" kern="1200" baseline="0">
                    <a:solidFill>
                      <a:schemeClr val="tx1"/>
                    </a:solidFill>
                    <a:latin typeface="+mn-lt"/>
                    <a:ea typeface="+mn-ea"/>
                    <a:cs typeface="+mn-cs"/>
                  </a:defRPr>
                </a:pPr>
                <a:r>
                  <a:rPr lang="zh-CN" altLang="en-US"/>
                  <a:t>氯化物浓度范围（</a:t>
                </a:r>
                <a:r>
                  <a:rPr lang="en-US" altLang="zh-CN"/>
                  <a:t>mg/L</a:t>
                </a:r>
                <a:r>
                  <a:rPr lang="zh-CN" altLang="en-US"/>
                  <a:t>）</a:t>
                </a:r>
                <a:endParaRPr lang="zh-CN" altLang="en-US"/>
              </a:p>
            </c:rich>
          </c:tx>
          <c:layout>
            <c:manualLayout>
              <c:xMode val="edge"/>
              <c:yMode val="edge"/>
              <c:x val="0.420327427821522"/>
              <c:y val="0.914019253157743"/>
            </c:manualLayout>
          </c:layout>
          <c:overlay val="false"/>
        </c:title>
        <c:numFmt formatCode="General" sourceLinked="false"/>
        <c:majorTickMark val="none"/>
        <c:minorTickMark val="none"/>
        <c:tickLblPos val="nextTo"/>
        <c:txPr>
          <a:bodyPr rot="-60000000" spcFirstLastPara="0" vertOverflow="ellipsis" vert="horz" wrap="square" anchor="ctr" anchorCtr="true"/>
          <a:lstStyle/>
          <a:p>
            <a:pPr>
              <a:defRPr lang="zh-CN" sz="1000" b="0" i="0" u="none" strike="noStrike" kern="1200" baseline="0">
                <a:solidFill>
                  <a:schemeClr val="tx1"/>
                </a:solidFill>
                <a:latin typeface="+mn-lt"/>
                <a:ea typeface="+mn-ea"/>
                <a:cs typeface="+mn-cs"/>
              </a:defRPr>
            </a:pPr>
          </a:p>
        </c:txPr>
        <c:crossAx val="341364992"/>
        <c:crosses val="autoZero"/>
        <c:auto val="true"/>
        <c:lblAlgn val="ctr"/>
        <c:lblOffset val="100"/>
        <c:noMultiLvlLbl val="false"/>
      </c:catAx>
      <c:valAx>
        <c:axId val="341364992"/>
        <c:scaling>
          <c:orientation val="minMax"/>
        </c:scaling>
        <c:delete val="false"/>
        <c:axPos val="l"/>
        <c:majorGridlines/>
        <c:title>
          <c:tx>
            <c:rich>
              <a:bodyPr rot="0" spcFirstLastPara="0" vertOverflow="ellipsis" vert="eaVert" wrap="square" anchor="ctr" anchorCtr="true"/>
              <a:lstStyle/>
              <a:p>
                <a:pPr>
                  <a:defRPr lang="zh-CN" sz="1000" b="1" i="0" u="none" strike="noStrike" kern="1200" baseline="0">
                    <a:solidFill>
                      <a:schemeClr val="tx1"/>
                    </a:solidFill>
                    <a:latin typeface="+mn-lt"/>
                    <a:ea typeface="+mn-ea"/>
                    <a:cs typeface="+mn-cs"/>
                  </a:defRPr>
                </a:pPr>
                <a:r>
                  <a:rPr lang="zh-CN" altLang="en-US"/>
                  <a:t>水源地个数</a:t>
                </a:r>
                <a:endParaRPr lang="zh-CN" altLang="en-US"/>
              </a:p>
            </c:rich>
          </c:tx>
          <c:layout>
            <c:manualLayout>
              <c:xMode val="edge"/>
              <c:yMode val="edge"/>
              <c:x val="0.0194444444444444"/>
              <c:y val="0.344711134365031"/>
            </c:manualLayout>
          </c:layout>
          <c:overlay val="false"/>
        </c:title>
        <c:numFmt formatCode="General" sourceLinked="true"/>
        <c:majorTickMark val="out"/>
        <c:minorTickMark val="none"/>
        <c:tickLblPos val="nextTo"/>
        <c:txPr>
          <a:bodyPr rot="-60000000" spcFirstLastPara="0" vertOverflow="ellipsis" vert="horz" wrap="square" anchor="ctr" anchorCtr="true"/>
          <a:lstStyle/>
          <a:p>
            <a:pPr>
              <a:defRPr lang="zh-CN" sz="1000" b="0" i="0" u="none" strike="noStrike" kern="1200" baseline="0">
                <a:solidFill>
                  <a:schemeClr val="tx1"/>
                </a:solidFill>
                <a:latin typeface="+mn-lt"/>
                <a:ea typeface="+mn-ea"/>
                <a:cs typeface="+mn-cs"/>
              </a:defRPr>
            </a:pPr>
          </a:p>
        </c:txPr>
        <c:crossAx val="343414368"/>
        <c:crosses val="autoZero"/>
        <c:crossBetween val="between"/>
      </c:valAx>
    </c:plotArea>
    <c:plotVisOnly val="true"/>
    <c:dispBlanksAs val="gap"/>
    <c:showDLblsOverMax val="false"/>
  </c:chart>
  <c:txPr>
    <a:bodyPr/>
    <a:lstStyle/>
    <a:p>
      <a:pPr>
        <a:defRPr lang="zh-CN"/>
      </a:pPr>
    </a:p>
  </c:txPr>
  <c:externalData r:id="rId1">
    <c:autoUpdate val="false"/>
  </c:externalData>
</c:chartSpace>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true">
          <a:gsLst>
            <a:gs pos="0">
              <a:schemeClr val="phClr">
                <a:tint val="50000"/>
                <a:satMod val="300000"/>
              </a:schemeClr>
            </a:gs>
            <a:gs pos="35000">
              <a:schemeClr val="phClr">
                <a:tint val="37000"/>
                <a:satMod val="300000"/>
              </a:schemeClr>
            </a:gs>
            <a:gs pos="100000">
              <a:schemeClr val="phClr">
                <a:tint val="15000"/>
                <a:satMod val="350000"/>
              </a:schemeClr>
            </a:gs>
          </a:gsLst>
          <a:lin ang="16200000" scaled="true"/>
        </a:gradFill>
        <a:gradFill rotWithShape="true">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false"/>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true">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true">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true">
        <a:gsLst>
          <a:gs pos="0">
            <a:schemeClr val="phClr">
              <a:tint val="50000"/>
              <a:satMod val="300000"/>
            </a:schemeClr>
          </a:gs>
          <a:gs pos="35000">
            <a:schemeClr val="phClr">
              <a:tint val="37000"/>
              <a:satMod val="300000"/>
            </a:schemeClr>
          </a:gs>
          <a:gs pos="100000">
            <a:schemeClr val="phClr">
              <a:tint val="15000"/>
              <a:satMod val="350000"/>
            </a:schemeClr>
          </a:gs>
        </a:gsLst>
        <a:lin ang="16200000" scaled="true"/>
      </a:gradFill>
      <a:gradFill rotWithShape="true">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false"/>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true">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true">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true">
        <a:gsLst>
          <a:gs pos="0">
            <a:schemeClr val="phClr">
              <a:tint val="50000"/>
              <a:satMod val="300000"/>
            </a:schemeClr>
          </a:gs>
          <a:gs pos="35000">
            <a:schemeClr val="phClr">
              <a:tint val="37000"/>
              <a:satMod val="300000"/>
            </a:schemeClr>
          </a:gs>
          <a:gs pos="100000">
            <a:schemeClr val="phClr">
              <a:tint val="15000"/>
              <a:satMod val="350000"/>
            </a:schemeClr>
          </a:gs>
        </a:gsLst>
        <a:lin ang="16200000" scaled="true"/>
      </a:gradFill>
      <a:gradFill rotWithShape="true">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false"/>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true">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true">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true">
        <a:gsLst>
          <a:gs pos="0">
            <a:schemeClr val="phClr">
              <a:tint val="50000"/>
              <a:satMod val="300000"/>
            </a:schemeClr>
          </a:gs>
          <a:gs pos="35000">
            <a:schemeClr val="phClr">
              <a:tint val="37000"/>
              <a:satMod val="300000"/>
            </a:schemeClr>
          </a:gs>
          <a:gs pos="100000">
            <a:schemeClr val="phClr">
              <a:tint val="15000"/>
              <a:satMod val="350000"/>
            </a:schemeClr>
          </a:gs>
        </a:gsLst>
        <a:lin ang="16200000" scaled="true"/>
      </a:gradFill>
      <a:gradFill rotWithShape="true">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false"/>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true">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true">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true">
        <a:gsLst>
          <a:gs pos="0">
            <a:schemeClr val="phClr">
              <a:tint val="50000"/>
              <a:satMod val="300000"/>
            </a:schemeClr>
          </a:gs>
          <a:gs pos="35000">
            <a:schemeClr val="phClr">
              <a:tint val="37000"/>
              <a:satMod val="300000"/>
            </a:schemeClr>
          </a:gs>
          <a:gs pos="100000">
            <a:schemeClr val="phClr">
              <a:tint val="15000"/>
              <a:satMod val="350000"/>
            </a:schemeClr>
          </a:gs>
        </a:gsLst>
        <a:lin ang="16200000" scaled="true"/>
      </a:gradFill>
      <a:gradFill rotWithShape="true">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false"/>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true">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true">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Microsoft</Company>
  <Pages>48</Pages>
  <Words>6057</Words>
  <Characters>34527</Characters>
  <Lines>287</Lines>
  <Paragraphs>81</Paragraphs>
  <TotalTime>0</TotalTime>
  <ScaleCrop>false</ScaleCrop>
  <LinksUpToDate>false</LinksUpToDate>
  <CharactersWithSpaces>40503</CharactersWithSpaces>
  <Application>WPS Office_11.8.2.9793_F1E327BC-269C-435d-A152-05C5408002CA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2021-07-07T06:03:00Z</dcterms:created>
  <dc:creator>lenovo</dc:creator>
  <cp:lastModifiedBy>user</cp:lastModifiedBy>
  <cp:lastPrinted>2021-07-07T06:02:00Z</cp:lastPrinted>
  <dcterms:modified xsi:type="dcterms:W3CDTF">2021-09-02T09:00:31Z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2052-11.8.2.9793</vt:lpwstr>
  </property>
</Properties>
</file>