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63" w:rsidRDefault="001D3263" w:rsidP="001D3263">
      <w:pPr>
        <w:rPr>
          <w:rFonts w:ascii="仿宋_GB2312" w:eastAsia="仿宋_GB2312"/>
          <w:sz w:val="30"/>
          <w:szCs w:val="30"/>
        </w:rPr>
      </w:pPr>
      <w:r>
        <w:rPr>
          <w:rFonts w:ascii="仿宋_GB2312" w:eastAsia="仿宋_GB2312" w:hint="eastAsia"/>
          <w:sz w:val="30"/>
          <w:szCs w:val="30"/>
        </w:rPr>
        <w:t>附件1：</w:t>
      </w:r>
    </w:p>
    <w:p w:rsidR="001D3263" w:rsidRDefault="001D3263" w:rsidP="001D3263">
      <w:pPr>
        <w:jc w:val="center"/>
        <w:rPr>
          <w:rFonts w:ascii="仿宋_GB2312" w:eastAsia="仿宋_GB2312"/>
          <w:sz w:val="30"/>
          <w:szCs w:val="30"/>
        </w:rPr>
      </w:pPr>
      <w:bookmarkStart w:id="0" w:name="_GoBack"/>
      <w:r>
        <w:rPr>
          <w:rFonts w:ascii="仿宋_GB2312" w:eastAsia="仿宋_GB2312" w:hint="eastAsia"/>
          <w:sz w:val="36"/>
          <w:szCs w:val="36"/>
        </w:rPr>
        <w:t>《四川省食品安全条例》立法需求建议清单</w:t>
      </w:r>
    </w:p>
    <w:tbl>
      <w:tblPr>
        <w:tblW w:w="9235" w:type="dxa"/>
        <w:jc w:val="center"/>
        <w:tblLayout w:type="fixed"/>
        <w:tblLook w:val="04A0" w:firstRow="1" w:lastRow="0" w:firstColumn="1" w:lastColumn="0" w:noHBand="0" w:noVBand="1"/>
      </w:tblPr>
      <w:tblGrid>
        <w:gridCol w:w="694"/>
        <w:gridCol w:w="1144"/>
        <w:gridCol w:w="7397"/>
      </w:tblGrid>
      <w:tr w:rsidR="001D3263" w:rsidTr="000B795F">
        <w:trPr>
          <w:trHeight w:val="567"/>
          <w:tblHeader/>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0"/>
          <w:p w:rsidR="001D3263" w:rsidRDefault="001D3263" w:rsidP="000B795F">
            <w:r>
              <w:rPr>
                <w:rFonts w:hint="eastAsia"/>
              </w:rPr>
              <w:t>序号</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涉及领域</w:t>
            </w:r>
          </w:p>
        </w:tc>
        <w:tc>
          <w:tcPr>
            <w:tcW w:w="7397" w:type="dxa"/>
            <w:tcBorders>
              <w:top w:val="single" w:sz="4" w:space="0" w:color="auto"/>
              <w:left w:val="nil"/>
              <w:bottom w:val="single" w:sz="4" w:space="0" w:color="auto"/>
              <w:right w:val="single" w:sz="4" w:space="0" w:color="auto"/>
            </w:tcBorders>
            <w:shd w:val="clear" w:color="auto" w:fill="auto"/>
            <w:vAlign w:val="center"/>
          </w:tcPr>
          <w:p w:rsidR="001D3263" w:rsidRDefault="001D3263" w:rsidP="001D3263">
            <w:pPr>
              <w:ind w:firstLineChars="1250" w:firstLine="3000"/>
            </w:pPr>
            <w:r>
              <w:rPr>
                <w:rFonts w:hint="eastAsia"/>
              </w:rPr>
              <w:t>建议内容</w:t>
            </w:r>
          </w:p>
        </w:tc>
      </w:tr>
      <w:tr w:rsidR="001D3263" w:rsidTr="000B795F">
        <w:trPr>
          <w:trHeight w:val="567"/>
          <w:jc w:val="center"/>
        </w:trPr>
        <w:tc>
          <w:tcPr>
            <w:tcW w:w="69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proofErr w:type="gramStart"/>
            <w:r>
              <w:rPr>
                <w:rFonts w:hint="eastAsia"/>
              </w:rPr>
              <w:t>一</w:t>
            </w:r>
            <w:proofErr w:type="gramEnd"/>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网络食品经营</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1.入网经营困境1：如食品小作坊开展网上经营活动应达到何种法定条件；明确风险较低的小餐饮店可入网经营，解决市场需求困境、监管困境。</w:t>
            </w:r>
          </w:p>
        </w:tc>
      </w:tr>
      <w:tr w:rsidR="001D3263" w:rsidTr="000B795F">
        <w:trPr>
          <w:trHeight w:val="567"/>
          <w:jc w:val="center"/>
        </w:trPr>
        <w:tc>
          <w:tcPr>
            <w:tcW w:w="69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114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2.入网经营困境2：现有法规要求获得食品经营许可才能入网经营，但是，修订</w:t>
            </w:r>
            <w:proofErr w:type="gramStart"/>
            <w:r>
              <w:rPr>
                <w:rFonts w:hint="eastAsia"/>
              </w:rPr>
              <w:t>后食品</w:t>
            </w:r>
            <w:proofErr w:type="gramEnd"/>
            <w:r>
              <w:rPr>
                <w:rFonts w:hint="eastAsia"/>
              </w:rPr>
              <w:t>安全法明确经营预包装食品实行备案，是否可以入网经营？连锁餐饮企业具有食品经营许可证，连锁门店实行备案管理，是否可入网经营？</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3.进一步明确网络食品交易第三方平台提供者应履行的管理责任，如查验食品经营者是否取得行政许可等；</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4.进一步明确网络食品经营违法行为的查处机关，解决网络食品违法行为查处难问题；</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5.进一步明确网络代理销售者应承担的食品安全相关法定义务；</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6.明确规定从事网络交易食品配送的网络食品经营者、物流配送企业应承担的食品安全相关的法定义务；</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7.明确推行网络订餐无接触配送，以利于防控疫情，规范小区、楼宇管理秩序，减少外卖员压力；</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8.对新出现的“直播带货”行为，销售行为中包含有食品经营的，经营者应当符合食品安全法的相关规定（含应取得行政许可或依法应当备案、登记等）</w:t>
            </w:r>
          </w:p>
        </w:tc>
      </w:tr>
      <w:tr w:rsidR="001D3263" w:rsidTr="000B795F">
        <w:trPr>
          <w:trHeight w:val="567"/>
          <w:jc w:val="center"/>
        </w:trPr>
        <w:tc>
          <w:tcPr>
            <w:tcW w:w="69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二</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追溯体系</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1.追溯体系建设难问题，首先解决无法可依，从法律层面明确政府、企业责任，对未尽义务的违法行为给予行政处罚；</w:t>
            </w:r>
          </w:p>
        </w:tc>
      </w:tr>
      <w:tr w:rsidR="001D3263" w:rsidTr="000B795F">
        <w:trPr>
          <w:trHeight w:val="567"/>
          <w:jc w:val="center"/>
        </w:trPr>
        <w:tc>
          <w:tcPr>
            <w:tcW w:w="69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114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2.明确追什么？明确从以高风险、大宗重点品种作为追溯重点，防止眉毛胡子一把抓，结果什么也追不成；重点产品目录由政府部门确定公布。</w:t>
            </w:r>
          </w:p>
        </w:tc>
      </w:tr>
      <w:tr w:rsidR="001D3263" w:rsidTr="000B795F">
        <w:trPr>
          <w:trHeight w:val="567"/>
          <w:jc w:val="center"/>
        </w:trPr>
        <w:tc>
          <w:tcPr>
            <w:tcW w:w="69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114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明确怎么追？一是源头追溯，即两个源头。（1）省内：生产高风险、大宗食品的生产企业；（2）省外：将外省产品向我省销售的生产经营企业。二是技术支撑，建立信息化追溯平台（溯源信息大数据中心），由政府部门统一建立，向生产经营企业开发接口，溯源信息有序向社会开放；横向纵向实现数据共享。</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4.明确跨省经营的市场主体有义务提供食品追溯信息</w:t>
            </w:r>
          </w:p>
        </w:tc>
      </w:tr>
      <w:tr w:rsidR="001D3263" w:rsidTr="000B795F">
        <w:trPr>
          <w:trHeight w:val="567"/>
          <w:jc w:val="center"/>
        </w:trPr>
        <w:tc>
          <w:tcPr>
            <w:tcW w:w="69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三</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行政许可、备案、登记</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1.明确行政审批、综合执法部门为食品安全监管部门，并明晰其职责。</w:t>
            </w:r>
          </w:p>
        </w:tc>
      </w:tr>
      <w:tr w:rsidR="001D3263" w:rsidTr="000B795F">
        <w:trPr>
          <w:trHeight w:val="567"/>
          <w:jc w:val="center"/>
        </w:trPr>
        <w:tc>
          <w:tcPr>
            <w:tcW w:w="69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114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2.明确食品生产小作坊、小经营店、摊贩、“乡厨”等的备案、登记应达到的条件及行政机关法定审查要件；</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3.明确行政许可职权集中行使的条件下的对外</w:t>
            </w:r>
            <w:proofErr w:type="gramStart"/>
            <w:r>
              <w:rPr>
                <w:rFonts w:hint="eastAsia"/>
              </w:rPr>
              <w:t>作出</w:t>
            </w:r>
            <w:proofErr w:type="gramEnd"/>
            <w:r>
              <w:rPr>
                <w:rFonts w:hint="eastAsia"/>
              </w:rPr>
              <w:t>行政许可的机关；</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4.可否对适用登记、备案的生产经营者开展登记、备案前的现场核实，充分核实其生产、经营条件是否符合开展食品生</w:t>
            </w:r>
            <w:proofErr w:type="gramStart"/>
            <w:r>
              <w:rPr>
                <w:rFonts w:hint="eastAsia"/>
              </w:rPr>
              <w:t>茶经营</w:t>
            </w:r>
            <w:proofErr w:type="gramEnd"/>
            <w:r>
              <w:rPr>
                <w:rFonts w:hint="eastAsia"/>
              </w:rPr>
              <w:t>的法定要。。</w:t>
            </w:r>
          </w:p>
        </w:tc>
      </w:tr>
      <w:tr w:rsidR="001D3263" w:rsidTr="000B795F">
        <w:trPr>
          <w:trHeight w:val="567"/>
          <w:jc w:val="center"/>
        </w:trPr>
        <w:tc>
          <w:tcPr>
            <w:tcW w:w="69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四</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重点场所、重点环节监管</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1.强化学校、养老机构等重点场所集体餐饮服务提供者的主体责任；</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2.明确学校周边食品摊贩等的经营地域范围；</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3.增加乡村集体餐饮活动举办者、承办者报告义务；</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4.从事食品贮存、冷链运输服务的经营者的查验义务；</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5.整合基层执法力量，加强建立完善的乡村具体餐饮食品安全监管体系。</w:t>
            </w:r>
          </w:p>
        </w:tc>
      </w:tr>
      <w:tr w:rsidR="001D3263" w:rsidTr="000B795F">
        <w:trPr>
          <w:trHeight w:val="567"/>
          <w:jc w:val="center"/>
        </w:trPr>
        <w:tc>
          <w:tcPr>
            <w:tcW w:w="694" w:type="dxa"/>
            <w:vMerge w:val="restart"/>
            <w:tcBorders>
              <w:top w:val="nil"/>
              <w:left w:val="single" w:sz="4" w:space="0" w:color="auto"/>
              <w:right w:val="single" w:sz="4" w:space="0" w:color="auto"/>
            </w:tcBorders>
            <w:shd w:val="clear" w:color="auto" w:fill="auto"/>
            <w:noWrap/>
            <w:vAlign w:val="center"/>
          </w:tcPr>
          <w:p w:rsidR="001D3263" w:rsidRDefault="001D3263" w:rsidP="000B795F">
            <w:pPr>
              <w:jc w:val="center"/>
            </w:pPr>
            <w:r>
              <w:rPr>
                <w:rFonts w:hint="eastAsia"/>
              </w:rPr>
              <w:t>五</w:t>
            </w:r>
          </w:p>
        </w:tc>
        <w:tc>
          <w:tcPr>
            <w:tcW w:w="1144" w:type="dxa"/>
            <w:vMerge w:val="restart"/>
            <w:tcBorders>
              <w:top w:val="nil"/>
              <w:left w:val="single" w:sz="4" w:space="0" w:color="auto"/>
              <w:right w:val="single" w:sz="4" w:space="0" w:color="auto"/>
            </w:tcBorders>
            <w:shd w:val="clear" w:color="auto" w:fill="auto"/>
            <w:noWrap/>
            <w:vAlign w:val="center"/>
          </w:tcPr>
          <w:p w:rsidR="001D3263" w:rsidRDefault="001D3263" w:rsidP="000B795F">
            <w:pPr>
              <w:jc w:val="center"/>
            </w:pPr>
            <w:r>
              <w:rPr>
                <w:rFonts w:hint="eastAsia"/>
              </w:rPr>
              <w:t>食品检验</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1.明确地方政府整合检测机构的职责；</w:t>
            </w:r>
          </w:p>
        </w:tc>
      </w:tr>
      <w:tr w:rsidR="001D3263" w:rsidTr="000B795F">
        <w:trPr>
          <w:trHeight w:val="567"/>
          <w:jc w:val="center"/>
        </w:trPr>
        <w:tc>
          <w:tcPr>
            <w:tcW w:w="694" w:type="dxa"/>
            <w:vMerge/>
            <w:tcBorders>
              <w:left w:val="single" w:sz="4" w:space="0" w:color="auto"/>
              <w:right w:val="single" w:sz="4" w:space="0" w:color="auto"/>
            </w:tcBorders>
            <w:vAlign w:val="center"/>
          </w:tcPr>
          <w:p w:rsidR="001D3263" w:rsidRDefault="001D3263" w:rsidP="000B795F"/>
        </w:tc>
        <w:tc>
          <w:tcPr>
            <w:tcW w:w="1144" w:type="dxa"/>
            <w:vMerge/>
            <w:tcBorders>
              <w:left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2.加强检测、检验的费用保障，纳入地方财政预算，并确定</w:t>
            </w:r>
            <w:proofErr w:type="gramStart"/>
            <w:r>
              <w:rPr>
                <w:rFonts w:hint="eastAsia"/>
              </w:rPr>
              <w:t>每年较</w:t>
            </w:r>
            <w:proofErr w:type="gramEnd"/>
            <w:r>
              <w:rPr>
                <w:rFonts w:hint="eastAsia"/>
              </w:rPr>
              <w:t>前一年有一定比例上浮；</w:t>
            </w:r>
          </w:p>
        </w:tc>
      </w:tr>
      <w:tr w:rsidR="001D3263" w:rsidTr="000B795F">
        <w:trPr>
          <w:trHeight w:val="567"/>
          <w:jc w:val="center"/>
        </w:trPr>
        <w:tc>
          <w:tcPr>
            <w:tcW w:w="694" w:type="dxa"/>
            <w:vMerge/>
            <w:tcBorders>
              <w:left w:val="single" w:sz="4" w:space="0" w:color="auto"/>
              <w:right w:val="single" w:sz="4" w:space="0" w:color="auto"/>
            </w:tcBorders>
            <w:vAlign w:val="center"/>
          </w:tcPr>
          <w:p w:rsidR="001D3263" w:rsidRDefault="001D3263" w:rsidP="000B795F"/>
        </w:tc>
        <w:tc>
          <w:tcPr>
            <w:tcW w:w="1144" w:type="dxa"/>
            <w:vMerge/>
            <w:tcBorders>
              <w:left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3.食品检测机构对其出具的检测报告应承担相应法律责任</w:t>
            </w:r>
          </w:p>
        </w:tc>
      </w:tr>
      <w:tr w:rsidR="001D3263" w:rsidTr="000B795F">
        <w:trPr>
          <w:trHeight w:val="567"/>
          <w:jc w:val="center"/>
        </w:trPr>
        <w:tc>
          <w:tcPr>
            <w:tcW w:w="694" w:type="dxa"/>
            <w:vMerge/>
            <w:tcBorders>
              <w:left w:val="single" w:sz="4" w:space="0" w:color="auto"/>
              <w:bottom w:val="single" w:sz="4" w:space="0" w:color="auto"/>
              <w:right w:val="single" w:sz="4" w:space="0" w:color="auto"/>
            </w:tcBorders>
            <w:vAlign w:val="center"/>
          </w:tcPr>
          <w:p w:rsidR="001D3263" w:rsidRDefault="001D3263" w:rsidP="000B795F"/>
        </w:tc>
        <w:tc>
          <w:tcPr>
            <w:tcW w:w="1144" w:type="dxa"/>
            <w:vMerge/>
            <w:tcBorders>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4.进一步明确快检技术的使用管理，采用国家公布的快检方法进行快检，应委托有资质的检验机构对快检设备、试剂进行验证后才能使用，解决快检设备成摆设的问题。</w:t>
            </w:r>
          </w:p>
        </w:tc>
      </w:tr>
      <w:tr w:rsidR="001D3263" w:rsidTr="000B795F">
        <w:trPr>
          <w:trHeight w:val="567"/>
          <w:jc w:val="center"/>
        </w:trPr>
        <w:tc>
          <w:tcPr>
            <w:tcW w:w="694" w:type="dxa"/>
            <w:vMerge w:val="restart"/>
            <w:tcBorders>
              <w:top w:val="nil"/>
              <w:left w:val="single" w:sz="4" w:space="0" w:color="auto"/>
              <w:right w:val="single" w:sz="4" w:space="0" w:color="auto"/>
            </w:tcBorders>
            <w:shd w:val="clear" w:color="auto" w:fill="auto"/>
            <w:noWrap/>
            <w:vAlign w:val="center"/>
          </w:tcPr>
          <w:p w:rsidR="001D3263" w:rsidRDefault="001D3263" w:rsidP="000B795F">
            <w:pPr>
              <w:jc w:val="center"/>
            </w:pPr>
            <w:r>
              <w:rPr>
                <w:rFonts w:hint="eastAsia"/>
              </w:rPr>
              <w:t>六</w:t>
            </w:r>
          </w:p>
        </w:tc>
        <w:tc>
          <w:tcPr>
            <w:tcW w:w="1144" w:type="dxa"/>
            <w:vMerge w:val="restart"/>
            <w:tcBorders>
              <w:top w:val="nil"/>
              <w:left w:val="single" w:sz="4" w:space="0" w:color="auto"/>
              <w:right w:val="single" w:sz="4" w:space="0" w:color="auto"/>
            </w:tcBorders>
            <w:shd w:val="clear" w:color="auto" w:fill="auto"/>
            <w:noWrap/>
            <w:vAlign w:val="center"/>
          </w:tcPr>
          <w:p w:rsidR="001D3263" w:rsidRDefault="001D3263" w:rsidP="000B795F">
            <w:pPr>
              <w:jc w:val="center"/>
            </w:pPr>
            <w:r>
              <w:rPr>
                <w:rFonts w:hint="eastAsia"/>
              </w:rPr>
              <w:t>食品安全标准</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1.鼓励、引导地方特色食品的食品安全标准；</w:t>
            </w:r>
          </w:p>
        </w:tc>
      </w:tr>
      <w:tr w:rsidR="001D3263" w:rsidTr="000B795F">
        <w:trPr>
          <w:trHeight w:val="567"/>
          <w:jc w:val="center"/>
        </w:trPr>
        <w:tc>
          <w:tcPr>
            <w:tcW w:w="694" w:type="dxa"/>
            <w:vMerge/>
            <w:tcBorders>
              <w:left w:val="single" w:sz="4" w:space="0" w:color="auto"/>
              <w:right w:val="single" w:sz="4" w:space="0" w:color="auto"/>
            </w:tcBorders>
            <w:vAlign w:val="center"/>
          </w:tcPr>
          <w:p w:rsidR="001D3263" w:rsidRDefault="001D3263" w:rsidP="000B795F"/>
        </w:tc>
        <w:tc>
          <w:tcPr>
            <w:tcW w:w="1144" w:type="dxa"/>
            <w:vMerge/>
            <w:tcBorders>
              <w:left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2.加强企业食品安全标准管理，企业采用企业标准但又未按标准生产处罚需要进一步细化。</w:t>
            </w:r>
          </w:p>
        </w:tc>
      </w:tr>
      <w:tr w:rsidR="001D3263" w:rsidTr="000B795F">
        <w:trPr>
          <w:trHeight w:val="567"/>
          <w:jc w:val="center"/>
        </w:trPr>
        <w:tc>
          <w:tcPr>
            <w:tcW w:w="694" w:type="dxa"/>
            <w:vMerge/>
            <w:tcBorders>
              <w:left w:val="single" w:sz="4" w:space="0" w:color="auto"/>
              <w:bottom w:val="single" w:sz="4" w:space="0" w:color="000000"/>
              <w:right w:val="single" w:sz="4" w:space="0" w:color="auto"/>
            </w:tcBorders>
            <w:vAlign w:val="center"/>
          </w:tcPr>
          <w:p w:rsidR="001D3263" w:rsidRDefault="001D3263" w:rsidP="000B795F"/>
        </w:tc>
        <w:tc>
          <w:tcPr>
            <w:tcW w:w="1144" w:type="dxa"/>
            <w:vMerge/>
            <w:tcBorders>
              <w:left w:val="single" w:sz="4" w:space="0" w:color="auto"/>
              <w:bottom w:val="single" w:sz="4" w:space="0" w:color="000000"/>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3.企业采用推荐标准生产，但又未达到标准要求，处罚细节需要进一步明确。</w:t>
            </w:r>
          </w:p>
        </w:tc>
      </w:tr>
      <w:tr w:rsidR="001D3263" w:rsidTr="000B795F">
        <w:trPr>
          <w:trHeight w:val="567"/>
          <w:jc w:val="center"/>
        </w:trPr>
        <w:tc>
          <w:tcPr>
            <w:tcW w:w="69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七</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特殊食品</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1.细化保健品经营者违法宣传的法律责任；</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2.参照药品销售监管做法，禁止特殊食品销售者通过赠送礼品（如鸡蛋、牛奶）、免费用餐、免费旅游等方式推销保健品；</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3.禁止特殊食品销售者在卖场以过期空包装货进行宣传展示。</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4.增加保健品展销会、宣讲会等大型现场宣传活动的组织者向活动所在地有关部门报告的义务；</w:t>
            </w:r>
          </w:p>
        </w:tc>
      </w:tr>
      <w:tr w:rsidR="001D3263" w:rsidTr="000B795F">
        <w:trPr>
          <w:trHeight w:val="567"/>
          <w:jc w:val="center"/>
        </w:trPr>
        <w:tc>
          <w:tcPr>
            <w:tcW w:w="694" w:type="dxa"/>
            <w:vMerge w:val="restart"/>
            <w:tcBorders>
              <w:top w:val="nil"/>
              <w:left w:val="single" w:sz="4" w:space="0" w:color="auto"/>
              <w:right w:val="single" w:sz="4" w:space="0" w:color="auto"/>
            </w:tcBorders>
            <w:vAlign w:val="center"/>
          </w:tcPr>
          <w:p w:rsidR="001D3263" w:rsidRDefault="001D3263" w:rsidP="000B795F">
            <w:pPr>
              <w:jc w:val="center"/>
            </w:pPr>
            <w:r>
              <w:rPr>
                <w:rFonts w:hint="eastAsia"/>
              </w:rPr>
              <w:t>八</w:t>
            </w:r>
          </w:p>
        </w:tc>
        <w:tc>
          <w:tcPr>
            <w:tcW w:w="1144" w:type="dxa"/>
            <w:vMerge w:val="restart"/>
            <w:tcBorders>
              <w:top w:val="nil"/>
              <w:left w:val="single" w:sz="4" w:space="0" w:color="auto"/>
              <w:right w:val="single" w:sz="4" w:space="0" w:color="auto"/>
            </w:tcBorders>
            <w:vAlign w:val="center"/>
          </w:tcPr>
          <w:p w:rsidR="001D3263" w:rsidRDefault="001D3263" w:rsidP="000B795F">
            <w:pPr>
              <w:jc w:val="center"/>
            </w:pPr>
            <w:r>
              <w:rPr>
                <w:rFonts w:hint="eastAsia"/>
              </w:rPr>
              <w:t>粮食安全</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1.粮食安全，突出粮食生产源头管理，食品安全条例与粮食安全法规做好有效衔接</w:t>
            </w:r>
          </w:p>
        </w:tc>
      </w:tr>
      <w:tr w:rsidR="001D3263" w:rsidTr="000B795F">
        <w:trPr>
          <w:trHeight w:val="567"/>
          <w:jc w:val="center"/>
        </w:trPr>
        <w:tc>
          <w:tcPr>
            <w:tcW w:w="694" w:type="dxa"/>
            <w:vMerge/>
            <w:tcBorders>
              <w:left w:val="single" w:sz="4" w:space="0" w:color="auto"/>
              <w:right w:val="single" w:sz="4" w:space="0" w:color="auto"/>
            </w:tcBorders>
            <w:vAlign w:val="center"/>
          </w:tcPr>
          <w:p w:rsidR="001D3263" w:rsidRDefault="001D3263" w:rsidP="000B795F"/>
        </w:tc>
        <w:tc>
          <w:tcPr>
            <w:tcW w:w="1144" w:type="dxa"/>
            <w:vMerge/>
            <w:tcBorders>
              <w:left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2.对于将陈化粮销售给学校等单位的严重行为进行从重处罚。</w:t>
            </w:r>
          </w:p>
        </w:tc>
      </w:tr>
      <w:tr w:rsidR="001D3263" w:rsidTr="000B795F">
        <w:trPr>
          <w:trHeight w:val="567"/>
          <w:jc w:val="center"/>
        </w:trPr>
        <w:tc>
          <w:tcPr>
            <w:tcW w:w="694" w:type="dxa"/>
            <w:vMerge/>
            <w:tcBorders>
              <w:left w:val="single" w:sz="4" w:space="0" w:color="auto"/>
              <w:right w:val="single" w:sz="4" w:space="0" w:color="auto"/>
            </w:tcBorders>
            <w:vAlign w:val="center"/>
          </w:tcPr>
          <w:p w:rsidR="001D3263" w:rsidRDefault="001D3263" w:rsidP="000B795F"/>
        </w:tc>
        <w:tc>
          <w:tcPr>
            <w:tcW w:w="1144" w:type="dxa"/>
            <w:vMerge/>
            <w:tcBorders>
              <w:left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3.要明确粮食收储者的责任，禁止收储不合格粮食，送检发现超标粮食，不得向食品加工者销售，禁止超标粮食流入市场。</w:t>
            </w:r>
          </w:p>
        </w:tc>
      </w:tr>
      <w:tr w:rsidR="001D3263" w:rsidTr="000B795F">
        <w:trPr>
          <w:trHeight w:val="567"/>
          <w:jc w:val="center"/>
        </w:trPr>
        <w:tc>
          <w:tcPr>
            <w:tcW w:w="694" w:type="dxa"/>
            <w:vMerge/>
            <w:tcBorders>
              <w:left w:val="single" w:sz="4" w:space="0" w:color="auto"/>
              <w:bottom w:val="single" w:sz="4" w:space="0" w:color="auto"/>
              <w:right w:val="single" w:sz="4" w:space="0" w:color="auto"/>
            </w:tcBorders>
            <w:vAlign w:val="center"/>
          </w:tcPr>
          <w:p w:rsidR="001D3263" w:rsidRDefault="001D3263" w:rsidP="000B795F"/>
        </w:tc>
        <w:tc>
          <w:tcPr>
            <w:tcW w:w="1144" w:type="dxa"/>
            <w:vMerge/>
            <w:tcBorders>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4.进一步明确粮食加工者对原料质量安全的主体责任，不得购买超标粮食进行加工。</w:t>
            </w:r>
          </w:p>
        </w:tc>
      </w:tr>
      <w:tr w:rsidR="001D3263" w:rsidTr="000B795F">
        <w:trPr>
          <w:trHeight w:val="567"/>
          <w:jc w:val="center"/>
        </w:trPr>
        <w:tc>
          <w:tcPr>
            <w:tcW w:w="694" w:type="dxa"/>
            <w:vMerge w:val="restart"/>
            <w:tcBorders>
              <w:top w:val="nil"/>
              <w:left w:val="single" w:sz="4" w:space="0" w:color="auto"/>
              <w:right w:val="single" w:sz="4" w:space="0" w:color="auto"/>
            </w:tcBorders>
            <w:shd w:val="clear" w:color="auto" w:fill="auto"/>
            <w:noWrap/>
            <w:vAlign w:val="center"/>
          </w:tcPr>
          <w:p w:rsidR="001D3263" w:rsidRDefault="001D3263" w:rsidP="000B795F">
            <w:pPr>
              <w:jc w:val="center"/>
            </w:pPr>
            <w:r>
              <w:rPr>
                <w:rFonts w:hint="eastAsia"/>
              </w:rPr>
              <w:lastRenderedPageBreak/>
              <w:t>九</w:t>
            </w:r>
          </w:p>
        </w:tc>
        <w:tc>
          <w:tcPr>
            <w:tcW w:w="1144" w:type="dxa"/>
            <w:vMerge w:val="restart"/>
            <w:tcBorders>
              <w:top w:val="nil"/>
              <w:left w:val="single" w:sz="4" w:space="0" w:color="auto"/>
              <w:right w:val="single" w:sz="4" w:space="0" w:color="auto"/>
            </w:tcBorders>
            <w:shd w:val="clear" w:color="auto" w:fill="auto"/>
            <w:noWrap/>
            <w:vAlign w:val="center"/>
          </w:tcPr>
          <w:p w:rsidR="001D3263" w:rsidRDefault="001D3263" w:rsidP="000B795F">
            <w:pPr>
              <w:jc w:val="center"/>
            </w:pPr>
            <w:r>
              <w:rPr>
                <w:rFonts w:hint="eastAsia"/>
              </w:rPr>
              <w:t>食用农产品交易市场</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1.解决市场开办主体不明问题。市场建设方、运营方或承包</w:t>
            </w:r>
            <w:proofErr w:type="gramStart"/>
            <w:r>
              <w:rPr>
                <w:rFonts w:hint="eastAsia"/>
              </w:rPr>
              <w:t>经营方谁是</w:t>
            </w:r>
            <w:proofErr w:type="gramEnd"/>
            <w:r>
              <w:rPr>
                <w:rFonts w:hint="eastAsia"/>
              </w:rPr>
              <w:t>开办主体需要明确，职责边界是什么。同时，要求各级市场监管部门应建立市场开办方档案。</w:t>
            </w:r>
          </w:p>
        </w:tc>
      </w:tr>
      <w:tr w:rsidR="001D3263" w:rsidTr="000B795F">
        <w:trPr>
          <w:trHeight w:val="567"/>
          <w:jc w:val="center"/>
        </w:trPr>
        <w:tc>
          <w:tcPr>
            <w:tcW w:w="69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1144" w:type="dxa"/>
            <w:vMerge/>
            <w:tcBorders>
              <w:left w:val="single" w:sz="4" w:space="0" w:color="auto"/>
              <w:right w:val="single" w:sz="4" w:space="0" w:color="auto"/>
            </w:tcBorders>
            <w:shd w:val="clear" w:color="auto" w:fill="auto"/>
            <w:noWrap/>
            <w:vAlign w:val="center"/>
          </w:tcPr>
          <w:p w:rsidR="001D3263" w:rsidRDefault="001D3263" w:rsidP="000B795F">
            <w:pPr>
              <w:jc w:val="center"/>
            </w:pP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2.明确规定食用农产品交易市场开办者应当查验入场销售者、入场销售食品相关证明的义务</w:t>
            </w:r>
          </w:p>
        </w:tc>
      </w:tr>
      <w:tr w:rsidR="001D3263" w:rsidTr="000B795F">
        <w:trPr>
          <w:trHeight w:val="567"/>
          <w:jc w:val="center"/>
        </w:trPr>
        <w:tc>
          <w:tcPr>
            <w:tcW w:w="694" w:type="dxa"/>
            <w:vMerge/>
            <w:tcBorders>
              <w:left w:val="single" w:sz="4" w:space="0" w:color="auto"/>
              <w:right w:val="single" w:sz="4" w:space="0" w:color="auto"/>
            </w:tcBorders>
            <w:vAlign w:val="center"/>
          </w:tcPr>
          <w:p w:rsidR="001D3263" w:rsidRDefault="001D3263" w:rsidP="000B795F"/>
        </w:tc>
        <w:tc>
          <w:tcPr>
            <w:tcW w:w="1144" w:type="dxa"/>
            <w:vMerge/>
            <w:tcBorders>
              <w:left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3.明确各相关部门对食用农产品交易市场的监管职责；</w:t>
            </w:r>
          </w:p>
        </w:tc>
      </w:tr>
      <w:tr w:rsidR="001D3263" w:rsidTr="000B795F">
        <w:trPr>
          <w:trHeight w:val="567"/>
          <w:jc w:val="center"/>
        </w:trPr>
        <w:tc>
          <w:tcPr>
            <w:tcW w:w="694" w:type="dxa"/>
            <w:vMerge/>
            <w:tcBorders>
              <w:left w:val="single" w:sz="4" w:space="0" w:color="auto"/>
              <w:bottom w:val="single" w:sz="4" w:space="0" w:color="000000"/>
              <w:right w:val="single" w:sz="4" w:space="0" w:color="auto"/>
            </w:tcBorders>
            <w:vAlign w:val="center"/>
          </w:tcPr>
          <w:p w:rsidR="001D3263" w:rsidRDefault="001D3263" w:rsidP="000B795F"/>
        </w:tc>
        <w:tc>
          <w:tcPr>
            <w:tcW w:w="1144" w:type="dxa"/>
            <w:vMerge/>
            <w:tcBorders>
              <w:left w:val="single" w:sz="4" w:space="0" w:color="auto"/>
              <w:bottom w:val="single" w:sz="4" w:space="0" w:color="000000"/>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4.将农产品市场规范化建设纳入立法范畴，明确地方政府职责，提高农产品市场食品安全保障能力。</w:t>
            </w:r>
          </w:p>
        </w:tc>
      </w:tr>
      <w:tr w:rsidR="001D3263" w:rsidTr="000B795F">
        <w:trPr>
          <w:trHeight w:val="567"/>
          <w:jc w:val="center"/>
        </w:trPr>
        <w:tc>
          <w:tcPr>
            <w:tcW w:w="694" w:type="dxa"/>
            <w:vMerge w:val="restart"/>
            <w:tcBorders>
              <w:top w:val="nil"/>
              <w:left w:val="single" w:sz="4" w:space="0" w:color="auto"/>
              <w:right w:val="single" w:sz="4" w:space="0" w:color="auto"/>
            </w:tcBorders>
            <w:shd w:val="clear" w:color="auto" w:fill="auto"/>
            <w:noWrap/>
            <w:vAlign w:val="center"/>
          </w:tcPr>
          <w:p w:rsidR="001D3263" w:rsidRDefault="001D3263" w:rsidP="000B795F">
            <w:pPr>
              <w:jc w:val="center"/>
            </w:pPr>
            <w:r>
              <w:rPr>
                <w:rFonts w:hint="eastAsia"/>
              </w:rPr>
              <w:t>十</w:t>
            </w:r>
          </w:p>
        </w:tc>
        <w:tc>
          <w:tcPr>
            <w:tcW w:w="1144" w:type="dxa"/>
            <w:vMerge w:val="restart"/>
            <w:tcBorders>
              <w:top w:val="nil"/>
              <w:left w:val="nil"/>
              <w:right w:val="single" w:sz="4" w:space="0" w:color="auto"/>
            </w:tcBorders>
            <w:shd w:val="clear" w:color="auto" w:fill="auto"/>
            <w:noWrap/>
            <w:vAlign w:val="center"/>
          </w:tcPr>
          <w:p w:rsidR="001D3263" w:rsidRDefault="001D3263" w:rsidP="000B795F">
            <w:pPr>
              <w:jc w:val="center"/>
            </w:pPr>
            <w:r>
              <w:rPr>
                <w:rFonts w:hint="eastAsia"/>
              </w:rPr>
              <w:t xml:space="preserve">食品安全监管体系　</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1.进一步厘清各相关部门在食品安全监管领域的职责职权；</w:t>
            </w:r>
          </w:p>
        </w:tc>
      </w:tr>
      <w:tr w:rsidR="001D3263" w:rsidTr="000B795F">
        <w:trPr>
          <w:trHeight w:val="567"/>
          <w:jc w:val="center"/>
        </w:trPr>
        <w:tc>
          <w:tcPr>
            <w:tcW w:w="694" w:type="dxa"/>
            <w:vMerge/>
            <w:tcBorders>
              <w:left w:val="single" w:sz="4" w:space="0" w:color="auto"/>
              <w:bottom w:val="single" w:sz="4" w:space="0" w:color="auto"/>
              <w:right w:val="single" w:sz="4" w:space="0" w:color="auto"/>
            </w:tcBorders>
            <w:shd w:val="clear" w:color="auto" w:fill="auto"/>
            <w:noWrap/>
            <w:vAlign w:val="center"/>
          </w:tcPr>
          <w:p w:rsidR="001D3263" w:rsidRDefault="001D3263" w:rsidP="000B795F"/>
        </w:tc>
        <w:tc>
          <w:tcPr>
            <w:tcW w:w="1144" w:type="dxa"/>
            <w:vMerge/>
            <w:tcBorders>
              <w:left w:val="nil"/>
              <w:bottom w:val="single" w:sz="4" w:space="0" w:color="auto"/>
              <w:right w:val="single" w:sz="4" w:space="0" w:color="auto"/>
            </w:tcBorders>
            <w:shd w:val="clear" w:color="auto" w:fill="auto"/>
            <w:noWrap/>
            <w:vAlign w:val="center"/>
          </w:tcPr>
          <w:p w:rsidR="001D3263" w:rsidRDefault="001D3263" w:rsidP="000B795F">
            <w:pPr>
              <w:jc w:val="center"/>
            </w:pP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2.落实食品安全监管党政同责。</w:t>
            </w:r>
          </w:p>
        </w:tc>
      </w:tr>
      <w:tr w:rsidR="001D3263" w:rsidTr="000B795F">
        <w:trPr>
          <w:trHeight w:val="567"/>
          <w:jc w:val="center"/>
        </w:trPr>
        <w:tc>
          <w:tcPr>
            <w:tcW w:w="69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十一</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tcPr>
          <w:p w:rsidR="001D3263" w:rsidRDefault="001D3263" w:rsidP="000B795F">
            <w:pPr>
              <w:jc w:val="center"/>
            </w:pPr>
            <w:r>
              <w:rPr>
                <w:rFonts w:hint="eastAsia"/>
              </w:rPr>
              <w:t>法律责任</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1.适用登记、备案的生产经营者未依法登记、备案即开展生产经营的法律责任</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2.细化“标签、标识”瑕疵的认定标准；</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3.建立完善信用监管体系，对违法从事食品生产、经营的行为人进行个人、企业信用信息公示</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4.细化行政处罚中行政机关</w:t>
            </w:r>
            <w:proofErr w:type="gramStart"/>
            <w:r>
              <w:rPr>
                <w:rFonts w:hint="eastAsia"/>
              </w:rPr>
              <w:t>作出</w:t>
            </w:r>
            <w:proofErr w:type="gramEnd"/>
            <w:r>
              <w:rPr>
                <w:rFonts w:hint="eastAsia"/>
              </w:rPr>
              <w:t>处罚的程序（含抽检流程等）</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5.明确食品生产经营者应对食品生产经营从业者开展定期培训，未履行培训义务的，应给予相应的行政处罚。</w:t>
            </w:r>
          </w:p>
        </w:tc>
      </w:tr>
      <w:tr w:rsidR="001D3263" w:rsidTr="000B795F">
        <w:trPr>
          <w:trHeight w:val="567"/>
          <w:jc w:val="center"/>
        </w:trPr>
        <w:tc>
          <w:tcPr>
            <w:tcW w:w="69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1144" w:type="dxa"/>
            <w:vMerge/>
            <w:tcBorders>
              <w:top w:val="nil"/>
              <w:left w:val="single" w:sz="4" w:space="0" w:color="auto"/>
              <w:bottom w:val="single" w:sz="4" w:space="0" w:color="auto"/>
              <w:right w:val="single" w:sz="4" w:space="0" w:color="auto"/>
            </w:tcBorders>
            <w:vAlign w:val="center"/>
          </w:tcPr>
          <w:p w:rsidR="001D3263" w:rsidRDefault="001D3263" w:rsidP="000B795F"/>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6.对于职业举报人对标签标识的投诉，采取首次不处罚原则，以给与企业改正机会。</w:t>
            </w:r>
          </w:p>
        </w:tc>
      </w:tr>
      <w:tr w:rsidR="001D3263" w:rsidTr="000B795F">
        <w:trPr>
          <w:trHeight w:val="567"/>
          <w:jc w:val="center"/>
        </w:trPr>
        <w:tc>
          <w:tcPr>
            <w:tcW w:w="694" w:type="dxa"/>
            <w:tcBorders>
              <w:top w:val="nil"/>
              <w:left w:val="single" w:sz="4" w:space="0" w:color="auto"/>
              <w:bottom w:val="single" w:sz="4" w:space="0" w:color="auto"/>
              <w:right w:val="single" w:sz="4" w:space="0" w:color="auto"/>
            </w:tcBorders>
            <w:vAlign w:val="center"/>
          </w:tcPr>
          <w:p w:rsidR="001D3263" w:rsidRDefault="001D3263" w:rsidP="000B795F">
            <w:r>
              <w:rPr>
                <w:rFonts w:hint="eastAsia"/>
              </w:rPr>
              <w:t>十二</w:t>
            </w:r>
          </w:p>
        </w:tc>
        <w:tc>
          <w:tcPr>
            <w:tcW w:w="1144" w:type="dxa"/>
            <w:tcBorders>
              <w:top w:val="nil"/>
              <w:left w:val="single" w:sz="4" w:space="0" w:color="auto"/>
              <w:bottom w:val="single" w:sz="4" w:space="0" w:color="auto"/>
              <w:right w:val="single" w:sz="4" w:space="0" w:color="auto"/>
            </w:tcBorders>
            <w:vAlign w:val="center"/>
          </w:tcPr>
          <w:p w:rsidR="001D3263" w:rsidRDefault="001D3263" w:rsidP="000B795F">
            <w:r>
              <w:rPr>
                <w:rFonts w:hint="eastAsia"/>
              </w:rPr>
              <w:t>其他</w:t>
            </w:r>
          </w:p>
        </w:tc>
        <w:tc>
          <w:tcPr>
            <w:tcW w:w="7397" w:type="dxa"/>
            <w:tcBorders>
              <w:top w:val="nil"/>
              <w:left w:val="nil"/>
              <w:bottom w:val="single" w:sz="4" w:space="0" w:color="auto"/>
              <w:right w:val="single" w:sz="4" w:space="0" w:color="auto"/>
            </w:tcBorders>
            <w:shd w:val="clear" w:color="auto" w:fill="auto"/>
            <w:vAlign w:val="center"/>
          </w:tcPr>
          <w:p w:rsidR="001D3263" w:rsidRDefault="001D3263" w:rsidP="000B795F">
            <w:r>
              <w:rPr>
                <w:rFonts w:hint="eastAsia"/>
              </w:rPr>
              <w:t>强化行政处罚与刑事案件立案侦查的衔接。</w:t>
            </w:r>
          </w:p>
        </w:tc>
      </w:tr>
    </w:tbl>
    <w:p w:rsidR="00ED0B77" w:rsidRPr="001D3263" w:rsidRDefault="00ED0B77"/>
    <w:sectPr w:rsidR="00ED0B77" w:rsidRPr="001D32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63"/>
    <w:rsid w:val="001D3263"/>
    <w:rsid w:val="00ED0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6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6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2021-07-29T06:59:00Z</dcterms:created>
  <dcterms:modified xsi:type="dcterms:W3CDTF">2021-07-29T07:00:00Z</dcterms:modified>
</cp:coreProperties>
</file>