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0D2" w:rsidRPr="002E00D2" w:rsidRDefault="002E00D2" w:rsidP="002E00D2">
      <w:pPr>
        <w:spacing w:after="0" w:line="600" w:lineRule="exact"/>
        <w:jc w:val="center"/>
        <w:rPr>
          <w:rFonts w:ascii="Times New Roman" w:eastAsia="方正小标宋简体" w:hAnsi="Times New Roman" w:cs="Times New Roman"/>
          <w:sz w:val="44"/>
        </w:rPr>
      </w:pPr>
      <w:r w:rsidRPr="002E00D2">
        <w:rPr>
          <w:rFonts w:ascii="Times New Roman" w:eastAsia="方正小标宋简体" w:hAnsi="Times New Roman" w:cs="Times New Roman" w:hint="eastAsia"/>
          <w:sz w:val="44"/>
        </w:rPr>
        <w:t>《四川省市场监管领域部门联合抽查事项清单（第二版）》</w:t>
      </w:r>
    </w:p>
    <w:tbl>
      <w:tblPr>
        <w:tblW w:w="15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8"/>
        <w:gridCol w:w="1173"/>
        <w:gridCol w:w="2135"/>
        <w:gridCol w:w="1493"/>
        <w:gridCol w:w="718"/>
        <w:gridCol w:w="1029"/>
        <w:gridCol w:w="2476"/>
        <w:gridCol w:w="992"/>
        <w:gridCol w:w="847"/>
        <w:gridCol w:w="1299"/>
        <w:gridCol w:w="1880"/>
        <w:gridCol w:w="897"/>
      </w:tblGrid>
      <w:tr w:rsidR="002E00D2" w:rsidRPr="002E00D2" w:rsidTr="00347F86">
        <w:trPr>
          <w:tblHeader/>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序号</w:t>
            </w: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抽查类别</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牵头发起部门抽查事项</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抽查对象</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事项</w:t>
            </w:r>
          </w:p>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类别</w:t>
            </w:r>
          </w:p>
        </w:tc>
        <w:tc>
          <w:tcPr>
            <w:tcW w:w="5344" w:type="dxa"/>
            <w:gridSpan w:val="4"/>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牵头发起部门</w:t>
            </w:r>
          </w:p>
        </w:tc>
        <w:tc>
          <w:tcPr>
            <w:tcW w:w="129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联合抽查部门</w:t>
            </w:r>
          </w:p>
        </w:tc>
        <w:tc>
          <w:tcPr>
            <w:tcW w:w="1880" w:type="dxa"/>
            <w:vMerge w:val="restart"/>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联合抽查部门</w:t>
            </w:r>
          </w:p>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抽查事项</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对照部委</w:t>
            </w:r>
          </w:p>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清单事项</w:t>
            </w:r>
          </w:p>
        </w:tc>
      </w:tr>
      <w:tr w:rsidR="002E00D2" w:rsidRPr="002E00D2" w:rsidTr="00347F86">
        <w:trPr>
          <w:tblHeader/>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仿宋_GB2312"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Times New Roman" w:eastAsia="仿宋_GB2312"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仿宋_GB2312"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仿宋_GB2312"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仿宋简体" w:hAnsi="Times New Roman" w:cs="Times New Roman"/>
                <w:snapToGrid w:val="0"/>
                <w:sz w:val="18"/>
                <w:szCs w:val="18"/>
              </w:rPr>
            </w:pP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部门名称</w:t>
            </w:r>
          </w:p>
        </w:tc>
        <w:tc>
          <w:tcPr>
            <w:tcW w:w="2476" w:type="dxa"/>
            <w:shd w:val="clear" w:color="auto" w:fill="FFFFFF"/>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抽查内容</w:t>
            </w:r>
          </w:p>
        </w:tc>
        <w:tc>
          <w:tcPr>
            <w:tcW w:w="992" w:type="dxa"/>
            <w:shd w:val="clear" w:color="auto" w:fill="FFFFFF"/>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抽查方式</w:t>
            </w:r>
          </w:p>
        </w:tc>
        <w:tc>
          <w:tcPr>
            <w:tcW w:w="847" w:type="dxa"/>
            <w:shd w:val="clear" w:color="auto" w:fill="FFFFFF"/>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方正黑体简体" w:hAnsi="Times New Roman" w:cs="Times New Roman"/>
                <w:snapToGrid w:val="0"/>
                <w:sz w:val="18"/>
                <w:szCs w:val="18"/>
              </w:rPr>
            </w:pPr>
            <w:r w:rsidRPr="002E00D2">
              <w:rPr>
                <w:rFonts w:ascii="Times New Roman" w:eastAsia="方正黑体简体" w:hAnsi="Times New Roman" w:cs="Times New Roman" w:hint="eastAsia"/>
                <w:snapToGrid w:val="0"/>
                <w:sz w:val="18"/>
                <w:szCs w:val="18"/>
              </w:rPr>
              <w:t>实施层级</w:t>
            </w:r>
          </w:p>
        </w:tc>
        <w:tc>
          <w:tcPr>
            <w:tcW w:w="129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Times New Roman" w:eastAsia="仿宋_GB2312" w:hAnsi="Times New Roman" w:cs="Times New Roman"/>
                <w:snapToGrid w:val="0"/>
                <w:sz w:val="18"/>
                <w:szCs w:val="18"/>
              </w:rPr>
            </w:pPr>
          </w:p>
        </w:tc>
        <w:tc>
          <w:tcPr>
            <w:tcW w:w="1880" w:type="dxa"/>
            <w:vMerge/>
            <w:vAlign w:val="center"/>
          </w:tcPr>
          <w:p w:rsidR="002E00D2" w:rsidRPr="002E00D2" w:rsidRDefault="002E00D2" w:rsidP="002E00D2">
            <w:pPr>
              <w:widowControl w:val="0"/>
              <w:adjustRightInd/>
              <w:snapToGrid/>
              <w:spacing w:after="0" w:line="240" w:lineRule="exact"/>
              <w:jc w:val="center"/>
              <w:rPr>
                <w:rFonts w:ascii="Times New Roman" w:eastAsia="仿宋_GB2312" w:hAnsi="Times New Roman" w:cs="Times New Roman"/>
                <w:snapToGrid w:val="0"/>
                <w:sz w:val="18"/>
                <w:szCs w:val="18"/>
              </w:rPr>
            </w:pPr>
          </w:p>
        </w:tc>
        <w:tc>
          <w:tcPr>
            <w:tcW w:w="897" w:type="dxa"/>
            <w:vMerge/>
            <w:vAlign w:val="center"/>
          </w:tcPr>
          <w:p w:rsidR="002E00D2" w:rsidRPr="002E00D2" w:rsidRDefault="002E00D2" w:rsidP="002E00D2">
            <w:pPr>
              <w:widowControl w:val="0"/>
              <w:adjustRightInd/>
              <w:snapToGrid/>
              <w:spacing w:after="0" w:line="240" w:lineRule="exact"/>
              <w:jc w:val="center"/>
              <w:rPr>
                <w:rFonts w:ascii="Times New Roman"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学校办学情况抽查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校外培训机构的办学资质、办学行为的检查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全省校外培训机构</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教育部门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按照《四川省人民政府办公厅关于印发四川省规范校外培训机构发展实施方案的通知》(川办发〔2018〕95号)要求实施</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民政部门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民非登记情况检查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w:t>
            </w:r>
          </w:p>
        </w:tc>
      </w:tr>
      <w:tr w:rsidR="002E00D2" w:rsidRPr="002E00D2" w:rsidTr="00347F86">
        <w:trPr>
          <w:cantSplit/>
          <w:trHeight w:val="849"/>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校外培训机构自媒体广告发布情况的检查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学校办学情况抽查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学校食堂食品安全情况的检查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学校机构食堂</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经营资质、人员管理、过程控制等。</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教育部门</w:t>
            </w:r>
          </w:p>
        </w:tc>
        <w:tc>
          <w:tcPr>
            <w:tcW w:w="1880" w:type="dxa"/>
            <w:vAlign w:val="center"/>
          </w:tcPr>
          <w:p w:rsidR="002E00D2" w:rsidRPr="002E00D2" w:rsidRDefault="002E00D2" w:rsidP="002E00D2">
            <w:pPr>
              <w:autoSpaceDE w:val="0"/>
              <w:autoSpaceDN w:val="0"/>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学校食堂信息的公示情况检查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w:t>
            </w:r>
          </w:p>
        </w:tc>
      </w:tr>
      <w:tr w:rsidR="002E00D2" w:rsidRPr="002E00D2" w:rsidTr="00347F86">
        <w:trPr>
          <w:cantSplit/>
          <w:trHeight w:val="77"/>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娱乐场所取得娱乐经营许可证情况的检查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依照《娱乐场所管理条例》开展。</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个体、企业经营主体资格照、证的检查以及发现经营过程中涉嫌存在违法行为的查处</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部委清单序号3</w:t>
            </w:r>
          </w:p>
        </w:tc>
      </w:tr>
      <w:tr w:rsidR="002E00D2" w:rsidRPr="002E00D2" w:rsidTr="00347F86">
        <w:trPr>
          <w:cantSplit/>
          <w:trHeight w:val="74"/>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娱乐场所备案的检查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74"/>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消防救援总部门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娱乐场所在投入使用、营业前消防安全检查情况</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74"/>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卫生健康部门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取得卫生许可证、卫生情况的检查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934"/>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娱乐场所经营情况的检查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依照《娱乐场所管理条例》开展。</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个体、企业经营主体资格照、证的检查以及发现经营过程中涉嫌存在违法行为的查处</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部委清单序号3</w:t>
            </w:r>
          </w:p>
        </w:tc>
      </w:tr>
      <w:tr w:rsidR="002E00D2" w:rsidRPr="002E00D2" w:rsidTr="00347F86">
        <w:trPr>
          <w:cantSplit/>
          <w:trHeight w:val="554"/>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对娱乐场所制定强化内部安全的检查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highlight w:val="yellow"/>
              </w:rPr>
            </w:pPr>
          </w:p>
        </w:tc>
      </w:tr>
      <w:tr w:rsidR="002E00D2" w:rsidRPr="002E00D2" w:rsidTr="00347F86">
        <w:trPr>
          <w:cantSplit/>
          <w:trHeight w:val="392"/>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消防救援部门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娱乐场所日常消防安全管理情况</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highlight w:val="yellow"/>
              </w:rPr>
            </w:pPr>
          </w:p>
        </w:tc>
      </w:tr>
      <w:tr w:rsidR="002E00D2" w:rsidRPr="002E00D2" w:rsidTr="00347F86">
        <w:trPr>
          <w:cantSplit/>
          <w:trHeight w:val="457"/>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卫生健康部门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取得卫生许可证、卫生情况的检查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highlight w:val="yellow"/>
              </w:rPr>
            </w:pPr>
          </w:p>
        </w:tc>
      </w:tr>
      <w:tr w:rsidR="002E00D2" w:rsidRPr="002E00D2" w:rsidTr="00347F86">
        <w:trPr>
          <w:cantSplit/>
          <w:trHeight w:val="45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对公共娱乐场所履行消防安全主体责任情况及消防安全条件进行检查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电影院及各类娱乐场所</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消防救援部门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按照《消防法》《四川省消防条例》要求实施。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娱乐场所取得娱乐经营许可证情况的检查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部委清单序号3</w:t>
            </w: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旅馆业抽查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住宿人员登记情况，治安防范情况检查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纳入旅馆业系统管理的宾馆、旅店</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1.住宿人员登记情况，是否达到“四实”要求；</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2.按照《旅馆业治安管理办法》和《四川省旅馆业治安管理办法》的具体要求实施。</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实地检查、网络检查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部委清单序号4</w:t>
            </w: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卫生健康部门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取得卫生许可证、卫生情况的检查</w:t>
            </w:r>
          </w:p>
        </w:tc>
        <w:tc>
          <w:tcPr>
            <w:tcW w:w="897" w:type="dxa"/>
            <w:vMerge/>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255"/>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旅馆业抽查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宾馆、旅店取得卫生许可证、卫生情况的检查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宾馆、旅店</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卫生健康部门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按照《公共场所卫生管理条例》相关卫生管理要求实施。</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现场检查、查阅资料</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部委清单序号4</w:t>
            </w:r>
          </w:p>
        </w:tc>
      </w:tr>
      <w:tr w:rsidR="002E00D2" w:rsidRPr="002E00D2" w:rsidTr="00347F86">
        <w:trPr>
          <w:cantSplit/>
          <w:trHeight w:val="602"/>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住宿人员登记情况，治安防范情况检查</w:t>
            </w:r>
          </w:p>
        </w:tc>
        <w:tc>
          <w:tcPr>
            <w:tcW w:w="897" w:type="dxa"/>
            <w:vMerge/>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highlight w:val="yellow"/>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旅馆业抽查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对宾馆、饭店履行消防安全主体责任情况及消防安全条件进行检查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各类宾馆、饭店</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消防救援部门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按照《消防法》《四川省消防条例》要求实施。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卫生健康部门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取得卫生许可证、卫生情况的检查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部委清单序号4</w:t>
            </w:r>
          </w:p>
        </w:tc>
      </w:tr>
      <w:tr w:rsidR="002E00D2" w:rsidRPr="002E00D2" w:rsidTr="00347F86">
        <w:trPr>
          <w:cantSplit/>
          <w:trHeight w:val="45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公示信息年度报告抽查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各类企业年报信息</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1.登记信息检查；</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2.公示信息检查。</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现场检查、网络检查、专业机构核查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人力资源社会保障部门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劳动保障监督检查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部委清单序号5</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涉消耗臭氧层物质（ODS）的企业和单位抽查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消耗臭氧层物质含氢氯氟烃（HCFCs）年度生产配额、使用配额（100吨及以上）和使用备案（100吨以下）情况的检查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HCFCs的生产企业和使用企业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按照《消耗臭氧层物质管理条例》等要求实施。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w:t>
            </w:r>
          </w:p>
        </w:tc>
        <w:tc>
          <w:tcPr>
            <w:tcW w:w="129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部委清单序号6</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涉消耗臭氧层物质（ODS）的企业和单位抽查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对销售ODS企业和单位备案情况的检查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销售ODS企业和单位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按照《消耗臭氧层物质管理条例》等要求实施。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w:t>
            </w:r>
          </w:p>
        </w:tc>
        <w:tc>
          <w:tcPr>
            <w:tcW w:w="129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部委清单序号6</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涉消耗臭氧层物质（ODS）的企业和单位抽查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对含ODS的制冷设备、制冷系统或者灭火系统的维修、报废处理，ODS回收、再生利用或者销毁等经营活动单位备案情况的检查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含ODS的制冷设备、制冷系统或者灭火系统的维修、报废处理，ODS回收、再生利用或者销毁等经营活动</w:t>
            </w:r>
          </w:p>
          <w:p w:rsidR="002E00D2" w:rsidRPr="002E00D2" w:rsidRDefault="002E00D2" w:rsidP="002E00D2">
            <w:pPr>
              <w:widowControl w:val="0"/>
              <w:overflowPunct w:val="0"/>
              <w:topLinePunct/>
              <w:adjustRightInd/>
              <w:snapToGrid/>
              <w:spacing w:after="0" w:line="240" w:lineRule="exact"/>
              <w:ind w:firstLineChars="200" w:firstLine="360"/>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的单位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按照《消耗臭氧层物质管理条例》等要求实施。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w:t>
            </w:r>
          </w:p>
        </w:tc>
        <w:tc>
          <w:tcPr>
            <w:tcW w:w="129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部委清单序号6</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涉消耗臭氧层物质（ODS）的企业和单位抽查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副产四氯化碳（CTC）的甲烷氯化物企业合法销售和处置CTC情况的检查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副产四氯化碳（CTC）的甲烷氯化物企业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按照《消耗臭氧层物质管理条例》等要求实施。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w:t>
            </w:r>
          </w:p>
        </w:tc>
        <w:tc>
          <w:tcPr>
            <w:tcW w:w="129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部委清单序号6</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涉消耗臭氧层物质（ODS）的企业和单位抽查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使用ODS作为化工原料用途的企业的ODS采购和使用情况的检查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使用ODS作为化工原料用途的企业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按照《消耗臭氧层物质管理条例》等要求实施。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w:t>
            </w:r>
          </w:p>
        </w:tc>
        <w:tc>
          <w:tcPr>
            <w:tcW w:w="129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部委清单序号6</w:t>
            </w: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生态环境监测机构抽查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生态环境监测机构开展监测情况的检查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生态环境监测机构</w:t>
            </w:r>
          </w:p>
        </w:tc>
        <w:tc>
          <w:tcPr>
            <w:tcW w:w="718"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按照《中华人民共和国环境保护法》《四川省环境保护条例》等要求实施。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w:t>
            </w:r>
          </w:p>
        </w:tc>
        <w:tc>
          <w:tcPr>
            <w:tcW w:w="1299" w:type="dxa"/>
            <w:shd w:val="clear" w:color="auto" w:fill="auto"/>
            <w:tcMar>
              <w:top w:w="15" w:type="dxa"/>
              <w:left w:w="15" w:type="dxa"/>
              <w:right w:w="15" w:type="dxa"/>
            </w:tcMar>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生态环境监测机构监督检查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部委清单序号7</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机动车销售企业抽查</w:t>
            </w:r>
          </w:p>
        </w:tc>
        <w:tc>
          <w:tcPr>
            <w:tcW w:w="0" w:type="auto"/>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机动车、非道路移动机械大气污染物排放状况信息公开情况的监督检查</w:t>
            </w:r>
          </w:p>
        </w:tc>
        <w:tc>
          <w:tcPr>
            <w:tcW w:w="1493"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机动车、非道路移动机械销售企业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生态环境厅</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按照《中华人民共和国大气污染防治法》等要求实施。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部委清单序号9</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机动车销售企业抽查</w:t>
            </w:r>
          </w:p>
        </w:tc>
        <w:tc>
          <w:tcPr>
            <w:tcW w:w="0" w:type="auto"/>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机动车获得强制性产品认证情况检查</w:t>
            </w:r>
          </w:p>
        </w:tc>
        <w:tc>
          <w:tcPr>
            <w:tcW w:w="1493"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机动车销售企业</w:t>
            </w:r>
          </w:p>
        </w:tc>
        <w:tc>
          <w:tcPr>
            <w:tcW w:w="718"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2476" w:type="dxa"/>
            <w:shd w:val="clear" w:color="auto" w:fill="auto"/>
            <w:tcMar>
              <w:top w:w="15" w:type="dxa"/>
              <w:left w:w="15" w:type="dxa"/>
              <w:right w:w="15" w:type="dxa"/>
            </w:tcMar>
            <w:vAlign w:val="center"/>
          </w:tcPr>
          <w:p w:rsidR="002E00D2" w:rsidRPr="002E00D2" w:rsidRDefault="002E00D2" w:rsidP="002E00D2">
            <w:pPr>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在售机动车是否获得强制性产品认证，并加贴CCC认证标志。</w:t>
            </w:r>
          </w:p>
        </w:tc>
        <w:tc>
          <w:tcPr>
            <w:tcW w:w="992"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商务部门</w:t>
            </w:r>
          </w:p>
        </w:tc>
        <w:tc>
          <w:tcPr>
            <w:tcW w:w="1880" w:type="dxa"/>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按照《汽车销售管理办法》对汽车销售企业进行管理</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部委清单序号9</w:t>
            </w:r>
          </w:p>
        </w:tc>
      </w:tr>
      <w:tr w:rsidR="002E00D2" w:rsidRPr="002E00D2" w:rsidTr="00347F86">
        <w:trPr>
          <w:cantSplit/>
          <w:trHeight w:val="1075"/>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生态环境监测机构抽查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生态环境监测机构监督检查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生态环境监测机构</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市场监管</w:t>
            </w:r>
            <w:r w:rsidRPr="002E00D2">
              <w:rPr>
                <w:rFonts w:ascii="方正仿宋简体" w:eastAsia="方正仿宋简体" w:hAnsi="Times New Roman" w:cs="Times New Roman" w:hint="eastAsia"/>
                <w:snapToGrid w:val="0"/>
                <w:sz w:val="18"/>
                <w:szCs w:val="18"/>
              </w:rPr>
              <w:t>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按照《检验检测机构资质认定管理办法》要求确定并实施。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生态环境监测数据质量情况</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部委清单序号10</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民用枪支经营使用单位抽查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民用枪支制造企业经营情况的检查；民用枪支配售企业经营情况的检查；民用枪支配置使用单位使用枪支情况的检查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民用枪支经营使用单位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1.枪弹库室值守情况；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2.物防、技防设施建设情况；</w:t>
            </w:r>
            <w:r w:rsidRPr="002E00D2">
              <w:rPr>
                <w:rFonts w:ascii="方正仿宋简体" w:eastAsia="方正仿宋简体" w:hAnsi="Times New Roman" w:cs="Times New Roman" w:hint="eastAsia"/>
                <w:snapToGrid w:val="0"/>
                <w:sz w:val="18"/>
                <w:szCs w:val="18"/>
              </w:rPr>
              <w:br/>
              <w:t>3.枪弹库存与领用登记情况。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实地核查、网络检查、书面检查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个体、企业经营主体资格照、证的检查以及发现经营过程中涉嫌存在违法行为的查处</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部委清单序号11</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保安行业相关单位抽查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保安服务单位基本情况、经营情况、人防设施设备、内部管理、规章制度、装备管理、在岗培训和权益保障工作落实情况的检查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保安行业相关单位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公安厅</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1.保安服务合同和监控影像资料、报警记录留存制度落实情况；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2.保安服务中涉及的安全技术防范产品、设备安装、变更、使用情况；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3.保安服务管理制度、岗位责任制度、保安员管理制度和紧急情况应急预案建立落实情况；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4.从事武装守护押运服务的保安服务公司公务用枪安全管理制度和保管设施建设情况；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5.保安员及其服装、保安服务标志与装备管理情况；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6.保安员在岗培训和权益保障工作落实情况；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7.被投诉举报事项纠正情况。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人力资源和社会保障部门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劳动保障监督检查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部委清单序号12</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保安行业相关单位抽查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保安培训单位基本情况、教学情况、强制使用培训和安全管理、设施设备情况的检查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保安行业相关单位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公安厅</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1.保安培训单位基本情况；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2.保安培训教学情况；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3.枪支使用培训单位备案情况和枪支安全管理制度与保管设施建设管理情况。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人力资源和社会保障部门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劳动保障监督检查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部委清单序号12</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爆破作业单位抽查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民用爆破物仓储情况和爆破作业单位的检查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爆破作业单位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1.爆破作业人员和民爆物品的品种、数量、来源与公安机关许可信息是否一致；</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2.民爆物品储存库技防、人防、物防、犬防等治安防范措施落实情况；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3.民爆物品流向信息的查验、登记、备案、信息采集和报送情况；</w:t>
            </w:r>
            <w:r w:rsidRPr="002E00D2">
              <w:rPr>
                <w:rFonts w:ascii="方正仿宋简体" w:eastAsia="方正仿宋简体" w:hAnsi="Times New Roman" w:cs="Times New Roman" w:hint="eastAsia"/>
                <w:snapToGrid w:val="0"/>
                <w:sz w:val="18"/>
                <w:szCs w:val="18"/>
              </w:rPr>
              <w:br/>
              <w:t>4.实有民爆物品的品种、数量、来源、登记标示与台账结存信息是否一致；</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5.实有民爆物品的警示、登记标示质量是否可靠、信息是否准确。</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实地核查、网络检查、书面检查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交通运输情况的检查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部委清单序号13</w:t>
            </w: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交通运输行业抽查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道路危险货物运输企业的检查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道路危险货物运输企业</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对道路危险货物运输企业经营活动进行检查</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实地核查、网络检查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经济和信息化部门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《道路机动车辆生产企业及产品公告》内的危险货物运输车辆生产企业的检查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部委清单序号14</w:t>
            </w: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剧毒化学品道路运输通行证和危险货物运输车辆线路管理检查</w:t>
            </w:r>
          </w:p>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民爆物品、烟花爆竹、放射性物品运输许可检查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放射性物品运输容器的设计、制造和使用的检查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应急管理部门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危险化学品生产、储存、使用和经营环节安全生产情况的检查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299"/>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highlight w:val="yellow"/>
              </w:rPr>
            </w:pPr>
            <w:r w:rsidRPr="002E00D2">
              <w:rPr>
                <w:rFonts w:ascii="方正仿宋简体" w:eastAsia="方正仿宋简体" w:hAnsi="Times New Roman" w:cs="Times New Roman" w:hint="eastAsia"/>
                <w:kern w:val="2"/>
                <w:sz w:val="18"/>
                <w:szCs w:val="18"/>
              </w:rPr>
              <w:t>市场监管</w:t>
            </w:r>
            <w:r w:rsidRPr="002E00D2">
              <w:rPr>
                <w:rFonts w:ascii="方正仿宋简体" w:eastAsia="方正仿宋简体" w:hAnsi="Times New Roman" w:cs="Times New Roman" w:hint="eastAsia"/>
                <w:snapToGrid w:val="0"/>
                <w:sz w:val="18"/>
                <w:szCs w:val="18"/>
              </w:rPr>
              <w:t>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kern w:val="2"/>
                <w:sz w:val="18"/>
                <w:szCs w:val="18"/>
              </w:rPr>
            </w:pPr>
            <w:r w:rsidRPr="002E00D2">
              <w:rPr>
                <w:rFonts w:ascii="方正仿宋简体" w:eastAsia="方正仿宋简体" w:hAnsi="Times New Roman" w:cs="Times New Roman" w:hint="eastAsia"/>
                <w:kern w:val="2"/>
                <w:sz w:val="18"/>
                <w:szCs w:val="18"/>
              </w:rPr>
              <w:t>年度报告公示信息的检查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交通运输行业抽查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网约车平台公司的检查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网约车平台公司</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对网约车平台公司经营活动进行检查</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实地核查、网络检查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kern w:val="2"/>
                <w:sz w:val="18"/>
                <w:szCs w:val="18"/>
              </w:rPr>
              <w:t>对虚假或者引人误解的商业宣传行为的检查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部委清单序号14</w:t>
            </w: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网信办</w:t>
            </w:r>
          </w:p>
        </w:tc>
        <w:tc>
          <w:tcPr>
            <w:tcW w:w="1880" w:type="dxa"/>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信息安全管理制度和技术保障措施落实情况的检查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信息安全、数据安全、实名认证等环节的网络安全情况检查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省通信管理局</w:t>
            </w:r>
          </w:p>
        </w:tc>
        <w:tc>
          <w:tcPr>
            <w:tcW w:w="1880" w:type="dxa"/>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网络安全管理制度和安全保护技术措施落实情况的检查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四川省银监局</w:t>
            </w:r>
          </w:p>
        </w:tc>
        <w:tc>
          <w:tcPr>
            <w:tcW w:w="1880" w:type="dxa"/>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支付业务合规性的检查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568"/>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税务部门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纳税人（扣款义务人）税收缴纳情况</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交通运输行业抽查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交通基础设施建设的产品质量</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交通运输产品生产企业、经销企业和工程建设单位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交通运输产品质量</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现场检查、抽样检查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部委清单序号14</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农业生产资料抽查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农药监督检查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农药生产经营者</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生产经营资质、档案管理、台账管理、农药标识标签等。</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现场检查、抽样检测</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kern w:val="2"/>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部委清单序号15</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农业生产资料抽查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肥料监督检查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肥料生产经营者</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肥料产品质量、肥料登记证及肥料标签等。</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现场检查、抽样监测</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肥料产品质量监督抽查、化肥生产许可获证企业监督检查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部委清单序号15</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农业生产资料抽查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种子监督检查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种子生产经营者</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经营主体是否合法，是否依法备案登记；种子标签和使用说明是否规范；销售行为合法性及种子质量是否达标。</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现场检查、书面检查、抽样检测</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kern w:val="2"/>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部委清单序号15</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农业生产资料抽查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兽药监督检查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兽药生产企业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执行《兽药生产质量管理规范》情况，安全生产情况。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应急管理部门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兽药生产企业的安全生产情况。</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部委清单序号15</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农业生产资料抽查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饲料、饲料添加剂监督检查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饲料和饲料添加剂生产企业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执行《饲料质量安全管理规范》情况，安全生产情况。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应急管理部门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饲料和饲料添加剂生产企业的安全生产情况。</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部委清单序号15</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农业生产资料抽查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通过农业机械推广鉴定的产品及证书监督检查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农业机械生产经营企业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制造商名称、地址一致性；获证产品一致性；证书和标志使用情况。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省市场监管局</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部委清单序号15</w:t>
            </w: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农业转基因生物抽查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农业转基因生物安全管理监督检查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从事农业转基因 生产、加工、经营和进口、出口活动的单位和个人</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农业转基因生物生产、加工、经营和进出口安全有关情况。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jc w:val="center"/>
              <w:rPr>
                <w:rFonts w:ascii="方正仿宋简体" w:eastAsia="方正仿宋简体"/>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部委清单序号16</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种畜禽、水生野生动物养殖抽查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种畜禽质量监督检查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从事种畜禽生产经营的单位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检查种畜禽质量及生产经营许可证情况。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jc w:val="center"/>
              <w:rPr>
                <w:rFonts w:ascii="方正仿宋简体" w:eastAsia="方正仿宋简体"/>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部委清单序号17</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种畜禽、水生野生动物养殖抽查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水生野生动物及其制品经营利用活动监督检查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经营利用水生野生动物及其制品的企业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水生野生动物经营利用证是否有效、是否年检、经营品种及数量是否符合规定。</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jc w:val="center"/>
              <w:rPr>
                <w:rFonts w:ascii="方正仿宋简体" w:eastAsia="方正仿宋简体"/>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部委清单序号17</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消防安全抽查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对使用领域消防产品质量进行监督检查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使用领域消防产品</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消防救援部门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按照《消防法》《四川省消防条例》要求实施。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部委清单序号18</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工业企业安全生产情况抽查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工业企业安全生产情况的检查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工业企业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w:t>
            </w:r>
          </w:p>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应急管理部门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1.企业是否按规定取得相应许可证情况。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2.工业企业的安全生产主体责任、法律、法规、规章、制度等落实情况。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查阅安全生产资料、实地现场检查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特种设备使用单位的检查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部委清单序号19</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工业企业安全生产情况抽查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重大工程项目起重机械安全专项检查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国家级、省级重大工程项目施工工地</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省市场监管局</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起重机械质量安全。</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实地核查、抽样检测</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应急厅</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安装智能安全监控系统的检查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部委清单序号19</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经营性互联网文化单位抽查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经营性互联网文化单位经营情况的检查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经营性互联网文化单位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依照《互联网文化管理暂行规定》开展。</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税务部门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iCs/>
                <w:snapToGrid w:val="0"/>
                <w:sz w:val="18"/>
                <w:szCs w:val="18"/>
              </w:rPr>
              <w:t>经营性互联网文化单位经营情况的检查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部委清单序号20</w:t>
            </w: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营业性演出经营活动从业单位抽查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营业性演出经营活动从业单位取得许可证情况的检查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营业性演出从业单位</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依照《营业性演出管理条例》开展。</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部委清单序号21</w:t>
            </w:r>
          </w:p>
        </w:tc>
      </w:tr>
      <w:tr w:rsidR="002E00D2" w:rsidRPr="002E00D2" w:rsidTr="00347F86">
        <w:trPr>
          <w:cantSplit/>
          <w:trHeight w:val="150"/>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textAlignment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安全保卫工作的检查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149"/>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textAlignment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卫生健康部门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取得卫生许可证、卫生情况的检查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营业性演出经营活动从业单位抽查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营业性演出经营活动从业单位经营情况的检查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营业性演出从业单位</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依照《营业性演出管理条例》开展。</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部委清单序号21</w:t>
            </w:r>
          </w:p>
        </w:tc>
      </w:tr>
      <w:tr w:rsidR="002E00D2" w:rsidRPr="002E00D2" w:rsidTr="00347F86">
        <w:trPr>
          <w:cantSplit/>
          <w:trHeight w:val="150"/>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安全保卫工作的检查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149"/>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消防救援部门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日常消防安全管理情况的检查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艺术品经营单位抽查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艺术品经营单位经营活动的检查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艺术品经营单位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依照《艺术品经营管理办法》开展。</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企业经营行为的检查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部委清单序号22</w:t>
            </w: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艺术品经营单位抽查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艺术品经营单位备案情况的检查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艺术品经营单位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依照《艺术品经营管理办法》开展。</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企业经营行为的检查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部委清单序号22</w:t>
            </w: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旅行社行业抽查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旅行社取得许可证情况的检查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旅行社</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依照《中华人民共和国旅游法》开展。</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部委清单序号23</w:t>
            </w: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旅行社行业抽查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旅行社经营情况的检查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旅行社</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依照《中华人民共和国旅游法》开展。</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部委清单序号23</w:t>
            </w: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旅行社用车行为的检查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人力资源社会保障部门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劳动保障监督检查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通过网络经营旅行社业务抽查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通过网络经营旅行社业务抽查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通过网络经营旅行社业务的企业及平台</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依照《在线旅游经营服务管理暂行办法》开展。</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网络检查</w:t>
            </w:r>
          </w:p>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highlight w:val="yellow"/>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部委清单序号24</w:t>
            </w: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通过网络经营旅行社业务抽查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发布旅游经营信息网站抽查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发布旅游经营信息的网站</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文化和旅游部门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依照《在线旅游经营服务管理暂行办法》开展。</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网络检查</w:t>
            </w:r>
          </w:p>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highlight w:val="yellow"/>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部委清单序号24</w:t>
            </w:r>
          </w:p>
        </w:tc>
      </w:tr>
      <w:tr w:rsidR="002E00D2" w:rsidRPr="002E00D2" w:rsidTr="00347F86">
        <w:trPr>
          <w:cantSplit/>
          <w:trHeight w:val="632"/>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汽车流通市场抽查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新车销售市场监管</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汽车销售经销商（主要是新车4S店）</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商务部门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按照《汽车销售管理办法》内容要求，根据职能职责进行抽查。</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部委清单序号25</w:t>
            </w: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汽车流通市场抽查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二手车交易市场监管</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二手车交易市场和二手车经营主体</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商务部门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按照《二手车流通管理办法》内容要求，根据职能职责进行抽查。</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部委清单序号25</w:t>
            </w: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汽车流通市场抽查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报废机动车回收拆解活动监管</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报废机动车回收拆解企业</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商务部门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按照《报废机动车回收管理办法》及《实施细则》内容要求，根据职能职责进行抽查</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部委清单序号25</w:t>
            </w: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对报废机动车回收拆解活动的日常监督检查并处理相关违法行为</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单用途商业预付卡抽查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单用途商业预付卡业务检查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单用途商业预付卡发卡企业和售卡企业</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商务部门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单用途商业预付卡业务活动、内部控制和风险状况等。</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部委清单序号26</w:t>
            </w: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防范打击借预付消费名义进行的非法集资等犯罪行为</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税务部门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纳税人（扣款义务人）税收缴纳情况</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房地产市场抽查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对房地产开发企业经营行为的监督检查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房地产开发企业</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住房城乡建设部门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房地产开发企业的经营活动是否符合房地产开发相关规定。</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现场检查、书面检查、网络检查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市场监督管理部门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房地产开发企业自媒体广告发布情况的检查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部委清单序号27</w:t>
            </w:r>
          </w:p>
        </w:tc>
      </w:tr>
      <w:tr w:rsidR="002E00D2" w:rsidRPr="002E00D2" w:rsidTr="00347F86">
        <w:trPr>
          <w:cantSplit/>
          <w:trHeight w:val="600"/>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银保监会四川监管局</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对企业融资行为的检查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房地产市场抽查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对房地产估价机构及注册房地产估价师的监督检查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房地产估价机构及注册房地产估价师</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住房城乡建设部门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1、企业固定经营服务场所情况、内部管理制度情况、专职注册房地产估价师人员到岗及从业情况、房地产估价报告完成质量、档案管理情况等是否符合规定；</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2、注册房地产估价师及其聘用单位是否按规定向注册机关提供真实、准确、完整的注册房地产估价师信用档案信息；</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3、注册房地产估价师是否到岗、是否参加继续教育。</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现场检查、书面检查、网络检查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kern w:val="2"/>
                <w:sz w:val="18"/>
                <w:szCs w:val="18"/>
              </w:rPr>
            </w:pPr>
            <w:r w:rsidRPr="002E00D2">
              <w:rPr>
                <w:rFonts w:ascii="方正仿宋简体" w:eastAsia="方正仿宋简体" w:hAnsi="Times New Roman" w:cs="Times New Roman" w:hint="eastAsia"/>
                <w:kern w:val="2"/>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部委清单序号27</w:t>
            </w: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房地产市场抽查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对房地产经纪机构和房地产经纪人员的监督检查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房地产经纪机构和房地产经纪人员</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住房城乡建设部门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房地产经纪人员在岗情况，房地产经纪服务合同签订情况，服务项目、服务内容、收费标准公示情况，提供代办贷款、代办房地产登记等服务情况是否符合规定。</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现场检查、书面检查、网络检查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对经纪机构价格行为的检查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部委清单序号27</w:t>
            </w: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防范打击“高收低租”、违规开展金融业务等可能涉嫌的犯罪行为</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银保监会四川监管局</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对经纪机构提供贷款行为的检查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650"/>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房地产市场抽查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房地产行业定价情况的检查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房地产从业单位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房地产行业是否存在不正当价格行为</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住房城乡建设部门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对房地产经纪机构和房地产经纪人员的监督检查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部委清单序号27</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建筑市场抽查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对建筑“两工地”租赁、安装、拆卸、使用建筑起重机械行为的监督检查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租赁、安装、拆卸、使用建筑起重机械的单位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住房城乡建设部门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起重机械设备使用是否违反《建筑起重机械安全监督管理规定》第十七条、第二十八条、第二十九条、第三十条、第三十一条、第三十二条、第三十三条等规定。</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“两工地”起重机械检验机构持续满足许可情况检查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部委清单序号28</w:t>
            </w:r>
          </w:p>
        </w:tc>
      </w:tr>
      <w:tr w:rsidR="002E00D2" w:rsidRPr="002E00D2" w:rsidTr="00347F86">
        <w:trPr>
          <w:cantSplit/>
          <w:trHeight w:val="1007"/>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建筑市场抽查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建设领域检测机构监督检查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建设领域检测机构</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按照《检验检测机构资质认定管理办法》、《建设工程质量检测管理办法》要求确定并实施。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住房城乡建设部门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建设工程质量检测机构质量管理体系运行、技术能力、检测行为核查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部委清单序号28</w:t>
            </w:r>
          </w:p>
        </w:tc>
      </w:tr>
      <w:tr w:rsidR="002E00D2" w:rsidRPr="002E00D2" w:rsidTr="00347F86">
        <w:trPr>
          <w:cantSplit/>
          <w:trHeight w:val="1930"/>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燃气经营抽查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对燃气经营许可证取得情况和燃气安全生产经营管理情况的监督检查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燃气企业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住房城乡建设部门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1、是否取得燃气经营许可证；</w:t>
            </w:r>
            <w:r w:rsidRPr="002E00D2">
              <w:rPr>
                <w:rFonts w:ascii="方正仿宋简体" w:eastAsia="方正仿宋简体" w:hAnsi="Times New Roman" w:cs="Times New Roman" w:hint="eastAsia"/>
                <w:snapToGrid w:val="0"/>
                <w:sz w:val="18"/>
                <w:szCs w:val="18"/>
              </w:rPr>
              <w:br/>
              <w:t>2、燃气经营许可证是否在有效期内；</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3、是否在许可证所规定的经营范围内进行经营活动；</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4、燃气安全生产经营管理情况是否符合规定。</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现场检查、书面检查、网络检查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kern w:val="2"/>
                <w:sz w:val="18"/>
                <w:szCs w:val="18"/>
              </w:rPr>
            </w:pPr>
            <w:r w:rsidRPr="002E00D2">
              <w:rPr>
                <w:rFonts w:ascii="方正仿宋简体" w:eastAsia="方正仿宋简体" w:hAnsi="Times New Roman" w:cs="Times New Roman" w:hint="eastAsia"/>
                <w:kern w:val="2"/>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部委清单序号29</w:t>
            </w:r>
          </w:p>
        </w:tc>
      </w:tr>
      <w:tr w:rsidR="002E00D2" w:rsidRPr="002E00D2" w:rsidTr="00347F86">
        <w:trPr>
          <w:cantSplit/>
          <w:trHeight w:val="792"/>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市政工程抽查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城乡污水处理设施污染防治情况的检查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城乡污水处理厂（站）</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按照《中华人民共和国水污染防治法》等要求实施。</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住房城乡建设部门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城镇生活污水处理设施运维情况及管网配套情况的检查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部委清单序号30</w:t>
            </w:r>
          </w:p>
        </w:tc>
      </w:tr>
      <w:tr w:rsidR="002E00D2" w:rsidRPr="002E00D2" w:rsidTr="00347F86">
        <w:trPr>
          <w:cantSplit/>
          <w:trHeight w:val="392"/>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水利厅</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按部门职责开展检查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838"/>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市政工程抽查</w:t>
            </w:r>
          </w:p>
        </w:tc>
        <w:tc>
          <w:tcPr>
            <w:tcW w:w="0" w:type="auto"/>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省级及以上工业园区污水处理设施污染防治情况的检查</w:t>
            </w:r>
          </w:p>
        </w:tc>
        <w:tc>
          <w:tcPr>
            <w:tcW w:w="1493"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工业园区污水处理厂</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按照《中华人民共和国水污染防治法》等要求实施。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经济和信息化部门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按部门职责开展检查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部委清单序号30</w:t>
            </w:r>
          </w:p>
        </w:tc>
      </w:tr>
      <w:tr w:rsidR="002E00D2" w:rsidRPr="002E00D2" w:rsidTr="00347F86">
        <w:trPr>
          <w:cantSplit/>
          <w:trHeight w:val="1097"/>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出口商品生产企业抽查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对出口商品生产企业的检查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出口商品生产企业</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成都海关</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1.出口饲料和饲料添加剂注册生产、加工、存放企业核查；</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2.出境竹木草制品生产加工企业监督管理核查；</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3.出口商品质量安全检查抽查；</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4.出口化妆品生产企业核查；</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5.出口备案食品生产企业核查。</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网络检查、现场核查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各隶属关</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年报公示信息检查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部委清单序号33</w:t>
            </w:r>
          </w:p>
        </w:tc>
      </w:tr>
      <w:tr w:rsidR="002E00D2" w:rsidRPr="002E00D2" w:rsidTr="00347F86">
        <w:trPr>
          <w:cantSplit/>
          <w:trHeight w:val="1096"/>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税务部门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对出口商品生产企业的检查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劳动用工抽查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各类用人单位（与劳动者建立劳动关系）工资支付情况检查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各类用人单位（与劳动者建立劳动关系）</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人力资源和社会保障部门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遵守工资支付有关法律法规情况</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现场检查网络检查、第三方机构审计</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Merge w:val="restart"/>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部委清单序号34</w:t>
            </w: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textAlignment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税务部门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iCs/>
                <w:snapToGrid w:val="0"/>
                <w:sz w:val="18"/>
                <w:szCs w:val="18"/>
              </w:rPr>
              <w:t>各类用人单位（与劳动者建立劳动关系）工资支付情况检查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劳动用工抽查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劳务派遣用工检查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劳务派遣相关单位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人力资源和社会保障部门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遵守劳务派遣有关法律法规情况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部委清单序号34</w:t>
            </w:r>
          </w:p>
        </w:tc>
      </w:tr>
      <w:tr w:rsidR="002E00D2" w:rsidRPr="002E00D2" w:rsidTr="00347F86">
        <w:trPr>
          <w:cantSplit/>
          <w:trHeight w:val="1680"/>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烟花爆竹生产经营企业抽查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烟花爆竹生产经营企业运输、燃放情况的检查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烟花爆竹生产经营企业</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1.《烟花爆竹道路运输许可证》是否合法有效，托运人、承运人、一次性运输有效期限、起始地点、行驶路线、经停地点、烟花爆竹的种类、规格和数量与许可证信息是否一致；</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2.承运人、运输车辆、驾驶员、押运员是否具有危险货物运输资质、资格；</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3.生产企业按规定粘贴烟花爆竹流向登记标签，应用信息系统采集、上报产品出入库信息落实情况；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4.烟花爆竹的装载是否符合国家有关标准和规范。</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实地核查、网络检查、书面检查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应急管理部门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企业安全生产经营情况的检查</w:t>
            </w:r>
          </w:p>
        </w:tc>
        <w:tc>
          <w:tcPr>
            <w:tcW w:w="897" w:type="dxa"/>
            <w:vMerge w:val="restart"/>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1680"/>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交通运输情况的检查</w:t>
            </w:r>
          </w:p>
        </w:tc>
        <w:tc>
          <w:tcPr>
            <w:tcW w:w="897" w:type="dxa"/>
            <w:vMerge/>
            <w:vAlign w:val="center"/>
          </w:tcPr>
          <w:p w:rsidR="002E00D2" w:rsidRPr="002E00D2" w:rsidRDefault="002E00D2" w:rsidP="002E00D2">
            <w:pPr>
              <w:widowControl w:val="0"/>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烟花爆竹生产经营企业抽查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烟花爆竹生产经营企业安全生产经营情况的检查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烟花爆竹生产经营企业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应急部门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1.烟花爆竹生产经营企业是否按规定取得相应许可证情况。</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2.烟花爆竹生产经营企业的安全生产主体责任、法律、法规、规章、制度等落实情况。</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查阅安全生产资料、实地现场检查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烟花爆竹生产经营企业运输、燃放情况的检查。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印章刻制业抽查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公章刻制系统备案情况，治安防范情况检查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纳入联网四川印章业系统管理的印章刻制企业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1.按照《四川省公安厅关于开展公章刻制业特种行业许可证合法的通知》的具体要求实施；</w:t>
            </w:r>
          </w:p>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2.按照《全国联网四川印章业治安管理信息系统公章刻制备案指南》的要求实施。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实地检查、网络检查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物业服务抽查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对物业服务企业的监督检查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物业服务企业</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住房城乡建设部门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物业服务企业经营活动是否符合《物业管理条例》《四川省物业管理条例》的规定。</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现场检查、书面检查、网络检查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市场监督管理部门</w:t>
            </w:r>
          </w:p>
        </w:tc>
        <w:tc>
          <w:tcPr>
            <w:tcW w:w="1880" w:type="dxa"/>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电梯等特种设备使用安全管理的检查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对物业服务企业安全防范工作的检查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车辆维修企业的检查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车辆维修企业经营情况的检查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汽车维修企业</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对车辆维修企业经营活动进行检查</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实地核查、网络检查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1880" w:type="dxa"/>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维修企业污染防治措施的检查</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684"/>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治安防范情况、查验登记承修车辆信息情况</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互联网上网服务营业场所抽查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互联网上网服务营业场所经营情况检查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互联网上网服务营业场所</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市、县文化和旅游部门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依照《互联网上网服务营业场所管理条例》开展。</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上网实名制落实情况的检查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特种设备抽查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特种使用单位</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特种设备使用单位</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重点检查事项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三落实、两有证、一检验、一预案。</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市、县</w:t>
            </w:r>
          </w:p>
        </w:tc>
        <w:tc>
          <w:tcPr>
            <w:tcW w:w="1299" w:type="dxa"/>
            <w:shd w:val="clear" w:color="auto" w:fill="auto"/>
            <w:tcMar>
              <w:top w:w="15" w:type="dxa"/>
              <w:left w:w="15" w:type="dxa"/>
              <w:right w:w="15" w:type="dxa"/>
            </w:tcMar>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应急管理部门</w:t>
            </w:r>
          </w:p>
        </w:tc>
        <w:tc>
          <w:tcPr>
            <w:tcW w:w="1880" w:type="dxa"/>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特种作业人员持证情况的检查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商标代理机构抽查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商标代理机构监督检查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商标代理机构、在国家知识产权局商标局备案开展代理服务的律师事务所</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按照《商标法》、《商标法实施条例》、《商标代理管理办法》相关要求确定并实施。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实地核查、网络检查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司法部门</w:t>
            </w:r>
          </w:p>
        </w:tc>
        <w:tc>
          <w:tcPr>
            <w:tcW w:w="1880" w:type="dxa"/>
            <w:vAlign w:val="center"/>
          </w:tcPr>
          <w:p w:rsidR="002E00D2" w:rsidRPr="002E00D2" w:rsidRDefault="002E00D2" w:rsidP="002E00D2">
            <w:pPr>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按《律师法》等法律法规相关要求确定并实施</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食品农产品检验检测机构抽查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食品农产品检验检测机构监督检查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食品农产品检验检测机构</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按照《检验检测机构资质认定管理办法》、《农产品质量安全检测机构考核办法》要求确定并实施。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农业农村部门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是否符合《农产品质量安全检测机构考核办法》</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1035"/>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机动车检验机构抽查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机动车检验机构监督检查</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机动车检验机构</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按照《检验检测机构资质认定管理办法》相关要求确定并实施。</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交通运输部门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机动车维修检验检测机构是否严格落实落实“三检合一”政策，严格执行GB38900标准开展道路运输车辆技术等级评定工作</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公安部门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抽查机动车检验机构是否严格按照《机动车安全技术检验项目与方法》（GB38900、GB21861）开展机动车安全技术检验行为</w:t>
            </w:r>
          </w:p>
        </w:tc>
        <w:tc>
          <w:tcPr>
            <w:tcW w:w="897" w:type="dxa"/>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trHeight w:val="866"/>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生态环境部门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对机动车排放检验情况的检查</w:t>
            </w:r>
          </w:p>
        </w:tc>
        <w:tc>
          <w:tcPr>
            <w:tcW w:w="897" w:type="dxa"/>
            <w:vAlign w:val="center"/>
          </w:tcPr>
          <w:p w:rsidR="002E00D2" w:rsidRPr="002E00D2" w:rsidRDefault="002E00D2" w:rsidP="002E00D2">
            <w:pPr>
              <w:widowControl w:val="0"/>
              <w:overflowPunct w:val="0"/>
              <w:topLinePunct/>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val="restart"/>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外商投资年度报告抽查</w:t>
            </w:r>
          </w:p>
        </w:tc>
        <w:tc>
          <w:tcPr>
            <w:tcW w:w="0" w:type="auto"/>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外商投资企业或外国投资者是否在进行信息报告时隐瞒真实情况，提供误导性或虚假性信息</w:t>
            </w:r>
          </w:p>
        </w:tc>
        <w:tc>
          <w:tcPr>
            <w:tcW w:w="1493"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外商投资企业或外国投资者通过国家企业信用信息公示系统报送的年度报告信息</w:t>
            </w:r>
          </w:p>
        </w:tc>
        <w:tc>
          <w:tcPr>
            <w:tcW w:w="718"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一般检查事项</w:t>
            </w:r>
          </w:p>
        </w:tc>
        <w:tc>
          <w:tcPr>
            <w:tcW w:w="1029"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经济合作部门（含自贡市商务局）</w:t>
            </w:r>
          </w:p>
        </w:tc>
        <w:tc>
          <w:tcPr>
            <w:tcW w:w="2476"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按照《外商投资信息报告办法》要求确定并实施</w:t>
            </w:r>
          </w:p>
        </w:tc>
        <w:tc>
          <w:tcPr>
            <w:tcW w:w="992"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现场检查、书面检查</w:t>
            </w:r>
          </w:p>
        </w:tc>
        <w:tc>
          <w:tcPr>
            <w:tcW w:w="847" w:type="dxa"/>
            <w:vMerge w:val="restart"/>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省、市、县以及自由贸易试验区、国家级经济技术开发区的相关机构</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市场监管部门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年报公示信息等内容</w:t>
            </w:r>
          </w:p>
        </w:tc>
        <w:tc>
          <w:tcPr>
            <w:tcW w:w="897" w:type="dxa"/>
            <w:vMerge w:val="restart"/>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税务部门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iCs/>
                <w:snapToGrid w:val="0"/>
                <w:sz w:val="18"/>
                <w:szCs w:val="18"/>
              </w:rPr>
              <w:t>外商投资企业或外国投资者是否在进行信息报告时隐瞒其实情况 ,提供误导性或虚假信息</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vMerge/>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0" w:type="auto"/>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493"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718"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029"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2476"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Times New Roman" w:cs="Times New Roman"/>
                <w:snapToGrid w:val="0"/>
                <w:sz w:val="18"/>
                <w:szCs w:val="18"/>
              </w:rPr>
            </w:pPr>
          </w:p>
        </w:tc>
        <w:tc>
          <w:tcPr>
            <w:tcW w:w="992"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847" w:type="dxa"/>
            <w:vMerge/>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国家外汇管理局四川省分局</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r w:rsidRPr="002E00D2">
              <w:rPr>
                <w:rFonts w:ascii="方正仿宋简体" w:eastAsia="方正仿宋简体" w:hAnsi="Times New Roman" w:cs="Times New Roman" w:hint="eastAsia"/>
                <w:snapToGrid w:val="0"/>
                <w:sz w:val="18"/>
                <w:szCs w:val="18"/>
              </w:rPr>
              <w:t>外汇管理部门年报事项检查</w:t>
            </w:r>
          </w:p>
        </w:tc>
        <w:tc>
          <w:tcPr>
            <w:tcW w:w="897" w:type="dxa"/>
            <w:vMerge/>
            <w:vAlign w:val="center"/>
          </w:tcPr>
          <w:p w:rsidR="002E00D2" w:rsidRPr="002E00D2" w:rsidRDefault="002E00D2" w:rsidP="002E00D2">
            <w:pPr>
              <w:widowControl w:val="0"/>
              <w:adjustRightInd/>
              <w:snapToGrid/>
              <w:spacing w:after="0" w:line="240" w:lineRule="exact"/>
              <w:jc w:val="center"/>
              <w:rPr>
                <w:rFonts w:ascii="方正仿宋简体" w:eastAsia="方正仿宋简体" w:hAnsi="Times New Roman" w:cs="Times New Roman"/>
                <w:snapToGrid w:val="0"/>
                <w:sz w:val="18"/>
                <w:szCs w:val="18"/>
              </w:rPr>
            </w:pPr>
          </w:p>
        </w:tc>
      </w:tr>
      <w:tr w:rsidR="002E00D2" w:rsidRPr="002E00D2" w:rsidTr="00347F86">
        <w:trPr>
          <w:cantSplit/>
          <w:jc w:val="center"/>
        </w:trPr>
        <w:tc>
          <w:tcPr>
            <w:tcW w:w="488" w:type="dxa"/>
            <w:shd w:val="clear" w:color="auto" w:fill="auto"/>
            <w:tcMar>
              <w:top w:w="15" w:type="dxa"/>
              <w:left w:w="15" w:type="dxa"/>
              <w:right w:w="15" w:type="dxa"/>
            </w:tcMar>
            <w:vAlign w:val="center"/>
          </w:tcPr>
          <w:p w:rsidR="002E00D2" w:rsidRPr="002E00D2" w:rsidRDefault="002E00D2" w:rsidP="002E00D2">
            <w:pPr>
              <w:widowControl w:val="0"/>
              <w:numPr>
                <w:ilvl w:val="0"/>
                <w:numId w:val="3"/>
              </w:numPr>
              <w:adjustRightInd/>
              <w:snapToGrid/>
              <w:spacing w:after="0" w:line="240" w:lineRule="exact"/>
              <w:jc w:val="center"/>
              <w:rPr>
                <w:rFonts w:ascii="方正仿宋简体" w:eastAsia="方正仿宋简体" w:hAnsi="Times New Roman" w:cs="Times New Roman"/>
                <w:snapToGrid w:val="0"/>
                <w:sz w:val="18"/>
                <w:szCs w:val="18"/>
              </w:rPr>
            </w:pPr>
          </w:p>
        </w:tc>
        <w:tc>
          <w:tcPr>
            <w:tcW w:w="1173"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征信评级执业合规</w:t>
            </w:r>
            <w:r w:rsidRPr="002E00D2">
              <w:rPr>
                <w:rFonts w:ascii="方正仿宋简体" w:eastAsia="方正仿宋简体" w:hAnsi="Times New Roman" w:cs="Times New Roman" w:hint="eastAsia"/>
                <w:snapToGrid w:val="0"/>
                <w:sz w:val="18"/>
                <w:szCs w:val="18"/>
              </w:rPr>
              <w:t>抽查</w:t>
            </w:r>
          </w:p>
        </w:tc>
        <w:tc>
          <w:tcPr>
            <w:tcW w:w="0" w:type="auto"/>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征信评级机构备案和许可、年度报告、信息安全、执业合规情况的检查</w:t>
            </w:r>
          </w:p>
        </w:tc>
        <w:tc>
          <w:tcPr>
            <w:tcW w:w="1493"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名称、经营范围含“征信”“信用评级”的企业</w:t>
            </w:r>
          </w:p>
        </w:tc>
        <w:tc>
          <w:tcPr>
            <w:tcW w:w="718"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一般检查事项</w:t>
            </w:r>
          </w:p>
        </w:tc>
        <w:tc>
          <w:tcPr>
            <w:tcW w:w="102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人行成都分行</w:t>
            </w:r>
          </w:p>
        </w:tc>
        <w:tc>
          <w:tcPr>
            <w:tcW w:w="2476"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按照《征信业管理条例》《信用评级业管理暂行办法》《征信机构管理办法》《企业征信机构备案管理办法》要求实施。</w:t>
            </w:r>
          </w:p>
        </w:tc>
        <w:tc>
          <w:tcPr>
            <w:tcW w:w="992"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现场检查、网络检查、书面检查</w:t>
            </w:r>
          </w:p>
        </w:tc>
        <w:tc>
          <w:tcPr>
            <w:tcW w:w="847"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市、县</w:t>
            </w:r>
          </w:p>
        </w:tc>
        <w:tc>
          <w:tcPr>
            <w:tcW w:w="1299" w:type="dxa"/>
            <w:shd w:val="clear" w:color="auto" w:fill="auto"/>
            <w:tcMar>
              <w:top w:w="15" w:type="dxa"/>
              <w:left w:w="15" w:type="dxa"/>
              <w:right w:w="15" w:type="dxa"/>
            </w:tcMar>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市场监管</w:t>
            </w:r>
            <w:r w:rsidRPr="002E00D2">
              <w:rPr>
                <w:rFonts w:ascii="方正仿宋简体" w:eastAsia="方正仿宋简体" w:hAnsi="Times New Roman" w:cs="Times New Roman" w:hint="eastAsia"/>
                <w:snapToGrid w:val="0"/>
                <w:sz w:val="18"/>
                <w:szCs w:val="18"/>
              </w:rPr>
              <w:t>部门</w:t>
            </w:r>
          </w:p>
        </w:tc>
        <w:tc>
          <w:tcPr>
            <w:tcW w:w="1880"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r w:rsidRPr="002E00D2">
              <w:rPr>
                <w:rFonts w:ascii="方正仿宋简体" w:eastAsia="方正仿宋简体" w:hAnsi="仿宋" w:cs="Times New Roman" w:hint="eastAsia"/>
                <w:snapToGrid w:val="0"/>
                <w:sz w:val="18"/>
                <w:szCs w:val="18"/>
              </w:rPr>
              <w:t>年度报告公示信息的检查</w:t>
            </w:r>
          </w:p>
        </w:tc>
        <w:tc>
          <w:tcPr>
            <w:tcW w:w="897" w:type="dxa"/>
            <w:vAlign w:val="center"/>
          </w:tcPr>
          <w:p w:rsidR="002E00D2" w:rsidRPr="002E00D2" w:rsidRDefault="002E00D2" w:rsidP="002E00D2">
            <w:pPr>
              <w:widowControl w:val="0"/>
              <w:adjustRightInd/>
              <w:snapToGrid/>
              <w:spacing w:after="0" w:line="240" w:lineRule="exact"/>
              <w:jc w:val="center"/>
              <w:rPr>
                <w:rFonts w:ascii="方正仿宋简体" w:eastAsia="方正仿宋简体" w:hAnsi="仿宋" w:cs="Times New Roman"/>
                <w:snapToGrid w:val="0"/>
                <w:sz w:val="18"/>
                <w:szCs w:val="18"/>
              </w:rPr>
            </w:pPr>
          </w:p>
        </w:tc>
      </w:tr>
    </w:tbl>
    <w:p w:rsidR="00EB7E1D" w:rsidRPr="006B45CD" w:rsidRDefault="00EB7E1D" w:rsidP="00A82515">
      <w:pPr>
        <w:spacing w:after="0" w:line="560" w:lineRule="exact"/>
        <w:ind w:firstLineChars="200" w:firstLine="640"/>
        <w:rPr>
          <w:rFonts w:ascii="方正仿宋简体" w:eastAsia="方正仿宋简体"/>
          <w:sz w:val="32"/>
        </w:rPr>
      </w:pPr>
    </w:p>
    <w:sectPr w:rsidR="00EB7E1D" w:rsidRPr="006B45CD" w:rsidSect="002E00D2">
      <w:pgSz w:w="16838" w:h="11906" w:orient="landscape"/>
      <w:pgMar w:top="1588" w:right="2098" w:bottom="1474"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Tahoma">
    <w:altName w:val="DejaVu Sans"/>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23809"/>
    <w:multiLevelType w:val="hybridMultilevel"/>
    <w:tmpl w:val="6BDE8C7A"/>
    <w:lvl w:ilvl="0" w:tplc="8118FB9E">
      <w:start w:val="1"/>
      <w:numFmt w:val="decimal"/>
      <w:lvlText w:val="  %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285C75"/>
    <w:multiLevelType w:val="hybridMultilevel"/>
    <w:tmpl w:val="86F299A0"/>
    <w:lvl w:ilvl="0" w:tplc="8118FB9E">
      <w:start w:val="1"/>
      <w:numFmt w:val="decimal"/>
      <w:lvlText w:val="  %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3C7AEE"/>
    <w:multiLevelType w:val="hybridMultilevel"/>
    <w:tmpl w:val="A1E2FB2C"/>
    <w:lvl w:ilvl="0" w:tplc="8118FB9E">
      <w:start w:val="1"/>
      <w:numFmt w:val="decimal"/>
      <w:lvlText w:val="  %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48C3ABE"/>
    <w:multiLevelType w:val="multilevel"/>
    <w:tmpl w:val="9E26B6DA"/>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A81331D"/>
    <w:multiLevelType w:val="hybridMultilevel"/>
    <w:tmpl w:val="6BDE8C7A"/>
    <w:lvl w:ilvl="0" w:tplc="8118FB9E">
      <w:start w:val="1"/>
      <w:numFmt w:val="decimal"/>
      <w:lvlText w:val="  %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mirrorMargins/>
  <w:bordersDoNotSurroundHeader/>
  <w:bordersDoNotSurroundFooter/>
  <w:defaultTabStop w:val="720"/>
  <w:drawingGridHorizontalSpacing w:val="110"/>
  <w:displayHorizontalDrawingGridEvery w:val="2"/>
  <w:characterSpacingControl w:val="doNotCompress"/>
  <w:compat>
    <w:useFELayout/>
  </w:compat>
  <w:rsids>
    <w:rsidRoot w:val="00D31D50"/>
    <w:rsid w:val="000D0598"/>
    <w:rsid w:val="00231F24"/>
    <w:rsid w:val="002E00D2"/>
    <w:rsid w:val="00323B43"/>
    <w:rsid w:val="00394DCC"/>
    <w:rsid w:val="003B38E4"/>
    <w:rsid w:val="003D37D8"/>
    <w:rsid w:val="00426133"/>
    <w:rsid w:val="004358AB"/>
    <w:rsid w:val="004C13A2"/>
    <w:rsid w:val="005E493F"/>
    <w:rsid w:val="00693870"/>
    <w:rsid w:val="006B45CD"/>
    <w:rsid w:val="008B7726"/>
    <w:rsid w:val="00905386"/>
    <w:rsid w:val="00930185"/>
    <w:rsid w:val="00A71FFA"/>
    <w:rsid w:val="00A82515"/>
    <w:rsid w:val="00B12E7C"/>
    <w:rsid w:val="00B90F19"/>
    <w:rsid w:val="00C75D9C"/>
    <w:rsid w:val="00C96F4F"/>
    <w:rsid w:val="00D31D50"/>
    <w:rsid w:val="00DB564D"/>
    <w:rsid w:val="00EB7E1D"/>
    <w:rsid w:val="00FE76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00D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E00D2"/>
    <w:rPr>
      <w:rFonts w:ascii="Tahoma" w:hAnsi="Tahoma"/>
      <w:sz w:val="18"/>
      <w:szCs w:val="18"/>
    </w:rPr>
  </w:style>
  <w:style w:type="paragraph" w:styleId="a4">
    <w:name w:val="footer"/>
    <w:basedOn w:val="a"/>
    <w:link w:val="Char0"/>
    <w:uiPriority w:val="99"/>
    <w:unhideWhenUsed/>
    <w:rsid w:val="002E00D2"/>
    <w:pPr>
      <w:tabs>
        <w:tab w:val="center" w:pos="4153"/>
        <w:tab w:val="right" w:pos="8306"/>
      </w:tabs>
    </w:pPr>
    <w:rPr>
      <w:sz w:val="18"/>
      <w:szCs w:val="18"/>
    </w:rPr>
  </w:style>
  <w:style w:type="character" w:customStyle="1" w:styleId="Char0">
    <w:name w:val="页脚 Char"/>
    <w:basedOn w:val="a0"/>
    <w:link w:val="a4"/>
    <w:uiPriority w:val="99"/>
    <w:rsid w:val="002E00D2"/>
    <w:rPr>
      <w:rFonts w:ascii="Tahoma" w:hAnsi="Tahoma"/>
      <w:sz w:val="18"/>
      <w:szCs w:val="18"/>
    </w:rPr>
  </w:style>
  <w:style w:type="character" w:styleId="a5">
    <w:name w:val="Hyperlink"/>
    <w:basedOn w:val="a0"/>
    <w:uiPriority w:val="99"/>
    <w:unhideWhenUsed/>
    <w:rsid w:val="002E00D2"/>
    <w:rPr>
      <w:color w:val="0000FF" w:themeColor="hyperlink"/>
      <w:u w:val="single"/>
    </w:rPr>
  </w:style>
  <w:style w:type="paragraph" w:styleId="a6">
    <w:name w:val="List Paragraph"/>
    <w:basedOn w:val="a"/>
    <w:uiPriority w:val="99"/>
    <w:qFormat/>
    <w:rsid w:val="002E00D2"/>
    <w:pPr>
      <w:widowControl w:val="0"/>
      <w:adjustRightInd/>
      <w:snapToGrid/>
      <w:spacing w:after="0"/>
      <w:ind w:firstLineChars="200" w:firstLine="420"/>
      <w:jc w:val="both"/>
    </w:pPr>
    <w:rPr>
      <w:rFonts w:asciiTheme="minorHAnsi" w:eastAsiaTheme="minorEastAsia" w:hAnsiTheme="minorHAnsi"/>
      <w:kern w:val="2"/>
      <w:sz w:val="21"/>
      <w:szCs w:val="24"/>
    </w:rPr>
  </w:style>
  <w:style w:type="paragraph" w:customStyle="1" w:styleId="NewNewNewNewNewNewNewNewNewNewNewNewNewNew">
    <w:name w:val="正文 New New New New New New New New New New New New New New"/>
    <w:rsid w:val="002E00D2"/>
    <w:pPr>
      <w:widowControl w:val="0"/>
      <w:spacing w:after="0" w:line="240" w:lineRule="auto"/>
      <w:jc w:val="both"/>
    </w:pPr>
    <w:rPr>
      <w:rFonts w:ascii="Calibri" w:eastAsia="宋体" w:hAnsi="Calibri" w:cs="黑体"/>
      <w:kern w:val="2"/>
      <w:sz w:val="21"/>
      <w:szCs w:val="24"/>
    </w:rPr>
  </w:style>
  <w:style w:type="paragraph" w:customStyle="1" w:styleId="NewNewNewNewNewNewNewNewNewNewNewNewNewNewNew">
    <w:name w:val="正文 New New New New New New New New New New New New New New New"/>
    <w:rsid w:val="002E00D2"/>
    <w:pPr>
      <w:widowControl w:val="0"/>
      <w:spacing w:after="0" w:line="240" w:lineRule="auto"/>
      <w:jc w:val="both"/>
    </w:pPr>
    <w:rPr>
      <w:rFonts w:ascii="Calibri" w:eastAsia="宋体" w:hAnsi="Calibri" w:cs="黑体"/>
      <w:kern w:val="2"/>
      <w:sz w:val="21"/>
    </w:rPr>
  </w:style>
  <w:style w:type="character" w:customStyle="1" w:styleId="Other1">
    <w:name w:val="Other|1_"/>
    <w:basedOn w:val="a0"/>
    <w:link w:val="Other10"/>
    <w:qFormat/>
    <w:locked/>
    <w:rsid w:val="002E00D2"/>
    <w:rPr>
      <w:rFonts w:ascii="宋体" w:hAnsi="宋体" w:cs="宋体"/>
      <w:color w:val="000000"/>
      <w:sz w:val="19"/>
      <w:szCs w:val="19"/>
      <w:lang w:val="zh-TW" w:eastAsia="zh-TW" w:bidi="zh-TW"/>
    </w:rPr>
  </w:style>
  <w:style w:type="paragraph" w:customStyle="1" w:styleId="Other10">
    <w:name w:val="Other|1"/>
    <w:basedOn w:val="a"/>
    <w:link w:val="Other1"/>
    <w:qFormat/>
    <w:rsid w:val="002E00D2"/>
    <w:pPr>
      <w:widowControl w:val="0"/>
      <w:adjustRightInd/>
      <w:snapToGrid/>
      <w:spacing w:after="0"/>
    </w:pPr>
    <w:rPr>
      <w:rFonts w:ascii="宋体" w:hAnsi="宋体" w:cs="宋体"/>
      <w:color w:val="000000"/>
      <w:sz w:val="19"/>
      <w:szCs w:val="19"/>
      <w:lang w:val="zh-TW" w:eastAsia="zh-TW" w:bidi="zh-TW"/>
    </w:rPr>
  </w:style>
  <w:style w:type="paragraph" w:styleId="a7">
    <w:name w:val="Balloon Text"/>
    <w:basedOn w:val="a"/>
    <w:link w:val="Char1"/>
    <w:uiPriority w:val="99"/>
    <w:semiHidden/>
    <w:unhideWhenUsed/>
    <w:rsid w:val="002E00D2"/>
    <w:pPr>
      <w:spacing w:after="0"/>
    </w:pPr>
    <w:rPr>
      <w:sz w:val="18"/>
      <w:szCs w:val="18"/>
    </w:rPr>
  </w:style>
  <w:style w:type="character" w:customStyle="1" w:styleId="Char1">
    <w:name w:val="批注框文本 Char"/>
    <w:basedOn w:val="a0"/>
    <w:link w:val="a7"/>
    <w:uiPriority w:val="99"/>
    <w:semiHidden/>
    <w:rsid w:val="002E00D2"/>
    <w:rPr>
      <w:rFonts w:ascii="Tahoma" w:hAnsi="Tahoma"/>
      <w:sz w:val="18"/>
      <w:szCs w:val="18"/>
    </w:rPr>
  </w:style>
  <w:style w:type="table" w:styleId="a8">
    <w:name w:val="Table Grid"/>
    <w:basedOn w:val="a1"/>
    <w:uiPriority w:val="39"/>
    <w:qFormat/>
    <w:rsid w:val="002E00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00D2"/>
    <w:pPr>
      <w:widowControl w:val="0"/>
      <w:autoSpaceDE w:val="0"/>
      <w:autoSpaceDN w:val="0"/>
      <w:adjustRightInd w:val="0"/>
      <w:spacing w:after="0" w:line="240" w:lineRule="auto"/>
    </w:pPr>
    <w:rPr>
      <w:rFonts w:ascii="仿宋_GB2312" w:hAnsi="仿宋_GB2312" w:cs="仿宋_GB2312"/>
      <w:color w:val="000000"/>
      <w:sz w:val="24"/>
      <w:szCs w:val="24"/>
    </w:rPr>
  </w:style>
  <w:style w:type="paragraph" w:styleId="2">
    <w:name w:val="Body Text Indent 2"/>
    <w:basedOn w:val="a"/>
    <w:next w:val="a"/>
    <w:link w:val="2Char"/>
    <w:qFormat/>
    <w:rsid w:val="002E00D2"/>
    <w:pPr>
      <w:spacing w:after="120" w:line="480" w:lineRule="auto"/>
      <w:ind w:leftChars="200" w:left="420"/>
    </w:pPr>
    <w:rPr>
      <w:rFonts w:ascii="Times New Roman" w:hAnsi="Times New Roman"/>
    </w:rPr>
  </w:style>
  <w:style w:type="character" w:customStyle="1" w:styleId="2Char">
    <w:name w:val="正文文本缩进 2 Char"/>
    <w:basedOn w:val="a0"/>
    <w:link w:val="2"/>
    <w:rsid w:val="002E00D2"/>
    <w:rPr>
      <w:rFonts w:ascii="Times New Roman" w:hAnsi="Times New Roman"/>
    </w:rPr>
  </w:style>
  <w:style w:type="numbering" w:customStyle="1" w:styleId="1">
    <w:name w:val="无列表1"/>
    <w:next w:val="a2"/>
    <w:uiPriority w:val="99"/>
    <w:semiHidden/>
    <w:unhideWhenUsed/>
    <w:rsid w:val="002E00D2"/>
  </w:style>
  <w:style w:type="character" w:styleId="a9">
    <w:name w:val="Emphasis"/>
    <w:qFormat/>
    <w:rsid w:val="002E00D2"/>
    <w:rPr>
      <w:i/>
      <w:iCs/>
    </w:rPr>
  </w:style>
  <w:style w:type="paragraph" w:customStyle="1" w:styleId="p0">
    <w:name w:val="p0"/>
    <w:basedOn w:val="a"/>
    <w:rsid w:val="002E00D2"/>
    <w:pPr>
      <w:adjustRightInd/>
      <w:snapToGrid/>
      <w:spacing w:before="100" w:beforeAutospacing="1" w:after="100" w:afterAutospacing="1"/>
    </w:pPr>
    <w:rPr>
      <w:rFonts w:ascii="宋体" w:eastAsia="方正仿宋简体" w:hAnsi="宋体" w:cs="宋体"/>
      <w:sz w:val="24"/>
      <w:szCs w:val="24"/>
    </w:rPr>
  </w:style>
  <w:style w:type="character" w:customStyle="1" w:styleId="20">
    <w:name w:val="正文文本缩进 2 字符"/>
    <w:rsid w:val="002E00D2"/>
    <w:rPr>
      <w:kern w:val="2"/>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14</Pages>
  <Words>1829</Words>
  <Characters>10428</Characters>
  <Application>Microsoft Office Word</Application>
  <DocSecurity>0</DocSecurity>
  <Lines>86</Lines>
  <Paragraphs>24</Paragraphs>
  <ScaleCrop>false</ScaleCrop>
  <Company/>
  <LinksUpToDate>false</LinksUpToDate>
  <CharactersWithSpaces>12233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张伟</cp:lastModifiedBy>
  <cp:revision>79</cp:revision>
  <dcterms:created xsi:type="dcterms:W3CDTF">2008-09-11T17:20:00Z</dcterms:created>
  <dcterms:modified xsi:type="dcterms:W3CDTF">2021-11-08T08:46:00Z</dcterms:modified>
</cp:coreProperties>
</file>