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4B" w:rsidRDefault="00A9254B" w:rsidP="00A9254B">
      <w:pPr>
        <w:spacing w:line="560" w:lineRule="exact"/>
        <w:rPr>
          <w:rFonts w:hint="eastAsia"/>
          <w:szCs w:val="40"/>
        </w:rPr>
      </w:pPr>
      <w:r>
        <w:rPr>
          <w:rFonts w:ascii="黑体" w:eastAsia="黑体" w:hAnsi="黑体" w:cs="黑体" w:hint="eastAsia"/>
          <w:szCs w:val="40"/>
        </w:rPr>
        <w:t>附件1</w:t>
      </w:r>
    </w:p>
    <w:p w:rsidR="00A9254B" w:rsidRDefault="00A9254B" w:rsidP="00A9254B">
      <w:pPr>
        <w:spacing w:line="560" w:lineRule="exact"/>
        <w:rPr>
          <w:rFonts w:hint="eastAsia"/>
          <w:szCs w:val="40"/>
        </w:rPr>
      </w:pPr>
    </w:p>
    <w:p w:rsidR="00A9254B" w:rsidRDefault="00A9254B" w:rsidP="00A9254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四川省食品安全工作先进集体名单</w:t>
      </w:r>
    </w:p>
    <w:bookmarkEnd w:id="0"/>
    <w:p w:rsidR="00A9254B" w:rsidRDefault="00A9254B" w:rsidP="00A9254B">
      <w:pPr>
        <w:spacing w:line="560" w:lineRule="exact"/>
        <w:jc w:val="center"/>
        <w:rPr>
          <w:rFonts w:ascii="方正楷体简体" w:eastAsia="方正楷体简体" w:hAnsi="方正楷体简体" w:cs="方正楷体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</w:t>
      </w:r>
      <w:r>
        <w:rPr>
          <w:rFonts w:eastAsia="方正楷体简体"/>
          <w:szCs w:val="32"/>
        </w:rPr>
        <w:t>97</w:t>
      </w:r>
      <w:r>
        <w:rPr>
          <w:rFonts w:ascii="方正楷体简体" w:eastAsia="方正楷体简体" w:hAnsi="方正楷体简体" w:cs="方正楷体简体" w:hint="eastAsia"/>
          <w:szCs w:val="32"/>
        </w:rPr>
        <w:t>个）</w:t>
      </w:r>
    </w:p>
    <w:p w:rsidR="00A9254B" w:rsidRDefault="00A9254B" w:rsidP="00A9254B">
      <w:pPr>
        <w:spacing w:line="560" w:lineRule="exact"/>
        <w:jc w:val="center"/>
        <w:rPr>
          <w:rFonts w:ascii="方正仿宋简体" w:hAnsi="方正仿宋简体" w:cs="方正仿宋简体" w:hint="eastAsia"/>
          <w:szCs w:val="32"/>
        </w:rPr>
      </w:pP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成都市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成都市教育局应急管理处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成都市疾病预防控制中心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成都高新区石羊街道市场监督管理所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成都市成华区市场监督管理局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成都市新都区市场监督管理局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成都市双流区市场监督管理局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自贡市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自贡市大安区农业农村局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自贡市沿滩区市场监督管理局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荣县市场监督管理局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自贡日报社编辑中心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攀枝花市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攀枝花市教育和体育局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攀枝花市市场监督管理局食品安全抽检监测科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攀枝花市东区市场监督管理局东华市场监督管理所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攀枝花市西区市场监督管理局清香</w:t>
      </w:r>
      <w:proofErr w:type="gramStart"/>
      <w:r>
        <w:rPr>
          <w:rFonts w:ascii="方正仿宋简体" w:hint="eastAsia"/>
          <w:bCs/>
          <w:snapToGrid w:val="0"/>
          <w:szCs w:val="32"/>
          <w:lang w:bidi="ar"/>
        </w:rPr>
        <w:t>坪市场</w:t>
      </w:r>
      <w:proofErr w:type="gramEnd"/>
      <w:r>
        <w:rPr>
          <w:rFonts w:ascii="方正仿宋简体" w:hint="eastAsia"/>
          <w:bCs/>
          <w:snapToGrid w:val="0"/>
          <w:szCs w:val="32"/>
          <w:lang w:bidi="ar"/>
        </w:rPr>
        <w:t>监督管理所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lastRenderedPageBreak/>
        <w:t>泸州市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泸州市教育和体育局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泸州市江阳区公安分局食品药品犯罪侦查大队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泸州市江阳区市场监督管理局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泸县市场监督管理局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合江县市场监督管理局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德阳市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德阳市教育局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德阳市农业农村局农产品质量监管与品牌培育科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德阳市市场监督管理局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中江县市场监督管理局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绵阳市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绵阳市公安局食品药品环境犯罪侦查支队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绵阳市市场监督管理局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绵阳市疾病预防控制中心公共卫生监测所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盐亭县农业农村局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三台县市场监督管理局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广元市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广元市公安局网络安全保卫支队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广元市农业农村局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广元市市场监督管理局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广元市利州区市场监督管理局大石市场监督管理所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lastRenderedPageBreak/>
        <w:t>广元市昭化区市场监督管理局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遂宁市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遂宁市农业农村局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遂宁市市场监督管理局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射洪市市场监督管理局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内江市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内江市农业农村局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内江市市场监督管理局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威远县市场监督管理局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隆昌市产品质量检验所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乐山市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乐山市公安局治安管理支队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乐山市市场监督管理局高新区分局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乐山市</w:t>
      </w:r>
      <w:proofErr w:type="gramStart"/>
      <w:r>
        <w:rPr>
          <w:rFonts w:ascii="方正仿宋简体" w:hint="eastAsia"/>
          <w:bCs/>
          <w:snapToGrid w:val="0"/>
          <w:szCs w:val="32"/>
          <w:lang w:bidi="ar"/>
        </w:rPr>
        <w:t>市</w:t>
      </w:r>
      <w:proofErr w:type="gramEnd"/>
      <w:r>
        <w:rPr>
          <w:rFonts w:ascii="方正仿宋简体" w:hint="eastAsia"/>
          <w:bCs/>
          <w:snapToGrid w:val="0"/>
          <w:szCs w:val="32"/>
          <w:lang w:bidi="ar"/>
        </w:rPr>
        <w:t>中区市场监督管理局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夹江县市场监督管理局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南充市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南充市公安局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南充市市场监督管理局食品安全综合协调科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南充市高坪区市场监督管理局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西充县市场监督管理局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蓬安县市场监督管理局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宜宾市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lastRenderedPageBreak/>
        <w:t>宜宾市卫生健康委员会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宜宾市粮油质量监测站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宜宾市翠屏区市场监督管理局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宜宾市南溪区市场监督管理局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兴文县市场监督管理局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广安市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广安市教育和体育局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广安市市场监督管理局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岳池县市场监督管理局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邻水县市场监督管理局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达州市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达州市公安局食品药品和环境犯罪侦查支队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达州市财政局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达州市农业农村局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万源市市场监督管理局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宣汉县市场监督管理局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巴中市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巴中市公安局食品药品环境知识产权犯罪侦查支队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巴中市民政局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巴中市市场监督管理局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巴中市恩阳区市场监督管理局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雅安市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lastRenderedPageBreak/>
        <w:t>雅安市市场监督管理局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雅安市雨城区市场监督管理局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宝兴县市场监督管理局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石棉县市场监督管理局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眉山市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眉山市公安局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眉山市市场监督管理局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洪雅县市场监督管理局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资阳市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安岳县市场监督管理局李家市场监督管理所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阿坝州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阿坝</w:t>
      </w:r>
      <w:proofErr w:type="gramStart"/>
      <w:r>
        <w:rPr>
          <w:rFonts w:ascii="方正仿宋简体" w:hint="eastAsia"/>
          <w:bCs/>
          <w:snapToGrid w:val="0"/>
          <w:szCs w:val="32"/>
          <w:lang w:bidi="ar"/>
        </w:rPr>
        <w:t>州农业</w:t>
      </w:r>
      <w:proofErr w:type="gramEnd"/>
      <w:r>
        <w:rPr>
          <w:rFonts w:ascii="方正仿宋简体" w:hint="eastAsia"/>
          <w:bCs/>
          <w:snapToGrid w:val="0"/>
          <w:szCs w:val="32"/>
          <w:lang w:bidi="ar"/>
        </w:rPr>
        <w:t>农村局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阿坝州市场监督管理局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松潘县市场监督管理局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甘孜州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甘孜州市场监督管理局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甘孜州农产品质</w:t>
      </w:r>
      <w:proofErr w:type="gramStart"/>
      <w:r>
        <w:rPr>
          <w:rFonts w:ascii="方正仿宋简体" w:hint="eastAsia"/>
          <w:bCs/>
          <w:snapToGrid w:val="0"/>
          <w:szCs w:val="32"/>
          <w:lang w:bidi="ar"/>
        </w:rPr>
        <w:t>量安全</w:t>
      </w:r>
      <w:proofErr w:type="gramEnd"/>
      <w:r>
        <w:rPr>
          <w:rFonts w:ascii="方正仿宋简体" w:hint="eastAsia"/>
          <w:bCs/>
          <w:snapToGrid w:val="0"/>
          <w:szCs w:val="32"/>
          <w:lang w:bidi="ar"/>
        </w:rPr>
        <w:t>中心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康定市市场监督管理局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泸定县市场监督管理局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凉山州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凉山州教育和体育局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凉山州市场监督管理局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lastRenderedPageBreak/>
        <w:t>德昌县市场监督管理局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金阳县市场监督管理局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越西县市场监督管理局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省级单位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四川省经济和信息化厅农产品加工处</w:t>
      </w:r>
    </w:p>
    <w:p w:rsidR="00A9254B" w:rsidRDefault="00A9254B" w:rsidP="00A9254B">
      <w:pPr>
        <w:pStyle w:val="a3"/>
        <w:spacing w:after="0" w:line="240" w:lineRule="auto"/>
        <w:ind w:firstLineChars="200" w:firstLine="624"/>
        <w:rPr>
          <w:rFonts w:ascii="方正仿宋简体" w:hint="eastAsia"/>
          <w:bCs/>
          <w:snapToGrid w:val="0"/>
          <w:spacing w:val="-4"/>
          <w:szCs w:val="32"/>
          <w:lang w:bidi="ar"/>
        </w:rPr>
      </w:pPr>
      <w:r>
        <w:rPr>
          <w:rFonts w:ascii="方正仿宋简体" w:hint="eastAsia"/>
          <w:bCs/>
          <w:snapToGrid w:val="0"/>
          <w:spacing w:val="-4"/>
          <w:szCs w:val="32"/>
          <w:lang w:bidi="ar"/>
        </w:rPr>
        <w:t>四川省公安厅食品药品环境犯罪侦查总队食品犯罪侦查支队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四川省生态环境</w:t>
      </w:r>
      <w:proofErr w:type="gramStart"/>
      <w:r>
        <w:rPr>
          <w:rFonts w:ascii="方正仿宋简体" w:hint="eastAsia"/>
          <w:bCs/>
          <w:snapToGrid w:val="0"/>
          <w:szCs w:val="32"/>
          <w:lang w:bidi="ar"/>
        </w:rPr>
        <w:t>厅农村</w:t>
      </w:r>
      <w:proofErr w:type="gramEnd"/>
      <w:r>
        <w:rPr>
          <w:rFonts w:ascii="方正仿宋简体" w:hint="eastAsia"/>
          <w:bCs/>
          <w:snapToGrid w:val="0"/>
          <w:szCs w:val="32"/>
          <w:lang w:bidi="ar"/>
        </w:rPr>
        <w:t>生态环境处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四川省住房和城乡建设厅城市建设与管理处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szCs w:val="32"/>
          <w:lang w:bidi="ar"/>
        </w:rPr>
      </w:pPr>
      <w:r>
        <w:rPr>
          <w:rFonts w:ascii="方正仿宋简体" w:hint="eastAsia"/>
          <w:bCs/>
          <w:snapToGrid w:val="0"/>
          <w:szCs w:val="32"/>
          <w:lang w:bidi="ar"/>
        </w:rPr>
        <w:t>四川省市场监督管理局食品安全抽检监测处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color w:val="000000"/>
          <w:szCs w:val="32"/>
          <w:lang w:bidi="ar"/>
        </w:rPr>
      </w:pPr>
      <w:r>
        <w:rPr>
          <w:rFonts w:ascii="方正仿宋简体" w:hint="eastAsia"/>
          <w:bCs/>
          <w:snapToGrid w:val="0"/>
          <w:color w:val="000000"/>
          <w:szCs w:val="32"/>
          <w:lang w:bidi="ar"/>
        </w:rPr>
        <w:t>四川省学校基本建设与后勤产业中心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color w:val="000000"/>
          <w:szCs w:val="32"/>
          <w:lang w:bidi="ar"/>
        </w:rPr>
      </w:pPr>
      <w:r>
        <w:rPr>
          <w:rFonts w:ascii="方正仿宋简体" w:hint="eastAsia"/>
          <w:bCs/>
          <w:snapToGrid w:val="0"/>
          <w:color w:val="000000"/>
          <w:szCs w:val="32"/>
          <w:lang w:bidi="ar"/>
        </w:rPr>
        <w:t>四川省农产品质</w:t>
      </w:r>
      <w:proofErr w:type="gramStart"/>
      <w:r>
        <w:rPr>
          <w:rFonts w:ascii="方正仿宋简体" w:hint="eastAsia"/>
          <w:bCs/>
          <w:snapToGrid w:val="0"/>
          <w:color w:val="000000"/>
          <w:szCs w:val="32"/>
          <w:lang w:bidi="ar"/>
        </w:rPr>
        <w:t>量安全</w:t>
      </w:r>
      <w:proofErr w:type="gramEnd"/>
      <w:r>
        <w:rPr>
          <w:rFonts w:ascii="方正仿宋简体" w:hint="eastAsia"/>
          <w:bCs/>
          <w:snapToGrid w:val="0"/>
          <w:color w:val="000000"/>
          <w:szCs w:val="32"/>
          <w:lang w:bidi="ar"/>
        </w:rPr>
        <w:t>中心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color w:val="000000"/>
          <w:szCs w:val="32"/>
          <w:lang w:bidi="ar"/>
        </w:rPr>
      </w:pPr>
      <w:r>
        <w:rPr>
          <w:rFonts w:ascii="方正仿宋简体" w:hint="eastAsia"/>
          <w:bCs/>
          <w:snapToGrid w:val="0"/>
          <w:color w:val="000000"/>
          <w:szCs w:val="32"/>
          <w:lang w:bidi="ar"/>
        </w:rPr>
        <w:t>四川省疾病预防控制中心营养与食品卫生安全所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color w:val="000000"/>
          <w:szCs w:val="32"/>
          <w:lang w:bidi="ar"/>
        </w:rPr>
      </w:pPr>
      <w:r>
        <w:rPr>
          <w:rFonts w:ascii="方正仿宋简体" w:hint="eastAsia"/>
          <w:bCs/>
          <w:snapToGrid w:val="0"/>
          <w:color w:val="000000"/>
          <w:szCs w:val="32"/>
          <w:lang w:bidi="ar"/>
        </w:rPr>
        <w:t>四川达州国家粮食质量监测站</w:t>
      </w:r>
    </w:p>
    <w:p w:rsidR="00A9254B" w:rsidRDefault="00A9254B" w:rsidP="00A9254B">
      <w:pPr>
        <w:ind w:firstLineChars="200" w:firstLine="640"/>
        <w:rPr>
          <w:rFonts w:ascii="方正黑体简体" w:eastAsia="方正黑体简体" w:hAnsi="方正黑体_GBK" w:cs="方正黑体_GBK" w:hint="eastAsia"/>
          <w:bCs/>
          <w:szCs w:val="32"/>
        </w:rPr>
      </w:pPr>
      <w:r>
        <w:rPr>
          <w:rFonts w:ascii="方正黑体简体" w:eastAsia="方正黑体简体" w:hAnsi="方正黑体_GBK" w:cs="方正黑体_GBK" w:hint="eastAsia"/>
          <w:bCs/>
          <w:szCs w:val="32"/>
        </w:rPr>
        <w:t>中央在川单位</w:t>
      </w:r>
    </w:p>
    <w:p w:rsidR="00A9254B" w:rsidRDefault="00A9254B" w:rsidP="00A9254B">
      <w:pPr>
        <w:pStyle w:val="a3"/>
        <w:spacing w:after="0" w:line="240" w:lineRule="auto"/>
        <w:ind w:firstLineChars="200" w:firstLine="640"/>
        <w:rPr>
          <w:rFonts w:ascii="方正仿宋简体" w:hint="eastAsia"/>
          <w:bCs/>
          <w:snapToGrid w:val="0"/>
          <w:color w:val="000000"/>
          <w:szCs w:val="32"/>
          <w:lang w:bidi="ar"/>
        </w:rPr>
      </w:pPr>
      <w:r>
        <w:rPr>
          <w:rFonts w:ascii="方正仿宋简体" w:hint="eastAsia"/>
          <w:bCs/>
          <w:snapToGrid w:val="0"/>
          <w:color w:val="000000"/>
          <w:szCs w:val="32"/>
          <w:lang w:bidi="ar"/>
        </w:rPr>
        <w:t>中华人民共和国锦城海关</w:t>
      </w:r>
    </w:p>
    <w:p w:rsidR="002E498B" w:rsidRPr="00A9254B" w:rsidRDefault="002E498B"/>
    <w:sectPr w:rsidR="002E498B" w:rsidRPr="00A9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4B"/>
    <w:rsid w:val="002E498B"/>
    <w:rsid w:val="00A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4B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9254B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A9254B"/>
    <w:rPr>
      <w:rFonts w:ascii="Times New Roman" w:eastAsia="方正仿宋简体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4B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9254B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A9254B"/>
    <w:rPr>
      <w:rFonts w:ascii="Times New Roman" w:eastAsia="方正仿宋简体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2021-12-15T03:11:00Z</dcterms:created>
  <dcterms:modified xsi:type="dcterms:W3CDTF">2021-12-15T03:11:00Z</dcterms:modified>
</cp:coreProperties>
</file>