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napToGrid w:val="0"/>
        <w:spacing w:before="0" w:beforeAutospacing="0" w:after="0" w:afterAutospacing="0"/>
        <w:ind w:right="641"/>
        <w:rPr>
          <w:rFonts w:ascii="方正黑体简体" w:eastAsia="方正黑体简体"/>
          <w:color w:val="000000" w:themeColor="text1"/>
          <w:sz w:val="32"/>
          <w:szCs w:val="32"/>
          <w14:textFill>
            <w14:solidFill>
              <w14:schemeClr w14:val="tx1"/>
            </w14:solidFill>
          </w14:textFill>
        </w:rPr>
      </w:pPr>
      <w:r>
        <w:rPr>
          <w:rFonts w:hint="eastAsia" w:ascii="方正黑体简体" w:eastAsia="方正黑体简体"/>
          <w:color w:val="000000" w:themeColor="text1"/>
          <w:sz w:val="32"/>
          <w:szCs w:val="32"/>
          <w14:textFill>
            <w14:solidFill>
              <w14:schemeClr w14:val="tx1"/>
            </w14:solidFill>
          </w14:textFill>
        </w:rPr>
        <w:t>附件</w:t>
      </w:r>
    </w:p>
    <w:p>
      <w:pPr>
        <w:pStyle w:val="5"/>
        <w:shd w:val="clear" w:color="auto" w:fill="FFFFFF"/>
        <w:spacing w:before="0" w:beforeAutospacing="0" w:after="0" w:afterAutospacing="0"/>
        <w:ind w:right="64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w:t>
      </w:r>
      <w:r>
        <w:rPr>
          <w:rFonts w:hint="eastAsia" w:ascii="方正小标宋简体" w:eastAsia="方正小标宋简体"/>
          <w:color w:val="000000" w:themeColor="text1"/>
          <w:sz w:val="44"/>
          <w:szCs w:val="44"/>
          <w:lang w:val="en-US" w:eastAsia="zh-CN"/>
          <w14:textFill>
            <w14:solidFill>
              <w14:schemeClr w14:val="tx1"/>
            </w14:solidFill>
          </w14:textFill>
        </w:rPr>
        <w:t>20</w:t>
      </w:r>
      <w:r>
        <w:rPr>
          <w:rFonts w:hint="eastAsia" w:ascii="方正小标宋简体" w:eastAsia="方正小标宋简体"/>
          <w:color w:val="000000" w:themeColor="text1"/>
          <w:sz w:val="44"/>
          <w:szCs w:val="44"/>
          <w14:textFill>
            <w14:solidFill>
              <w14:schemeClr w14:val="tx1"/>
            </w14:solidFill>
          </w14:textFill>
        </w:rPr>
        <w:t>年度地方标准制修订项目立项计划</w:t>
      </w:r>
      <w:r>
        <w:rPr>
          <w:rFonts w:hint="eastAsia" w:ascii="方正小标宋简体" w:eastAsia="方正小标宋简体"/>
          <w:color w:val="000000" w:themeColor="text1"/>
          <w:sz w:val="44"/>
          <w:szCs w:val="44"/>
          <w:lang w:eastAsia="zh-CN"/>
          <w14:textFill>
            <w14:solidFill>
              <w14:schemeClr w14:val="tx1"/>
            </w14:solidFill>
          </w14:textFill>
        </w:rPr>
        <w:t>（第二批）</w:t>
      </w:r>
      <w:r>
        <w:rPr>
          <w:rFonts w:hint="eastAsia" w:ascii="方正小标宋简体" w:eastAsia="方正小标宋简体"/>
          <w:color w:val="000000" w:themeColor="text1"/>
          <w:sz w:val="44"/>
          <w:szCs w:val="44"/>
          <w14:textFill>
            <w14:solidFill>
              <w14:schemeClr w14:val="tx1"/>
            </w14:solidFill>
          </w14:textFill>
        </w:rPr>
        <w:t>汇总表</w:t>
      </w:r>
    </w:p>
    <w:p>
      <w:pPr>
        <w:rPr>
          <w:color w:val="000000" w:themeColor="text1"/>
          <w14:textFill>
            <w14:solidFill>
              <w14:schemeClr w14:val="tx1"/>
            </w14:solidFill>
          </w14:textFill>
        </w:rPr>
      </w:pPr>
    </w:p>
    <w:tbl>
      <w:tblPr>
        <w:tblStyle w:val="4"/>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5"/>
        <w:gridCol w:w="5869"/>
        <w:gridCol w:w="1843"/>
        <w:gridCol w:w="4944"/>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5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序号</w:t>
            </w:r>
          </w:p>
        </w:tc>
        <w:tc>
          <w:tcPr>
            <w:tcW w:w="586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ind w:left="0" w:leftChars="0" w:right="0" w:rightChars="0" w:firstLine="0" w:firstLineChars="0"/>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标准名称</w:t>
            </w:r>
          </w:p>
        </w:tc>
        <w:tc>
          <w:tcPr>
            <w:tcW w:w="184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ind w:left="0" w:leftChars="0" w:right="0" w:rightChars="0" w:firstLine="0" w:firstLineChars="0"/>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项目归口单位</w:t>
            </w:r>
          </w:p>
        </w:tc>
        <w:tc>
          <w:tcPr>
            <w:tcW w:w="494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ind w:left="0" w:leftChars="0" w:right="0" w:rightChars="0" w:firstLine="0" w:firstLineChars="0"/>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主要起草单位</w:t>
            </w:r>
          </w:p>
        </w:tc>
        <w:tc>
          <w:tcPr>
            <w:tcW w:w="79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400" w:lineRule="exact"/>
              <w:jc w:val="center"/>
              <w:rPr>
                <w:rFonts w:hint="eastAsia" w:ascii="方正黑体简体" w:hAnsi="宋体" w:eastAsia="方正黑体简体" w:cs="宋体"/>
                <w:bCs/>
                <w:color w:val="auto"/>
                <w:kern w:val="0"/>
                <w:sz w:val="24"/>
                <w:szCs w:val="24"/>
              </w:rPr>
            </w:pPr>
            <w:r>
              <w:rPr>
                <w:rFonts w:hint="eastAsia" w:ascii="方正黑体简体" w:hAnsi="宋体" w:eastAsia="方正黑体简体" w:cs="宋体"/>
                <w:bCs/>
                <w:color w:val="auto"/>
                <w:kern w:val="0"/>
                <w:sz w:val="24"/>
                <w:szCs w:val="24"/>
                <w:lang w:val="en-US" w:eastAsia="zh-CN"/>
              </w:rPr>
              <w:t>制修订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四川省绿色企业服务导则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省发展改革委</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四川联合环境交易所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四川省绿色项目服务导则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省发展改革委</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四川联合环境交易所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四川省山地（齿轨）轨道交通接触轨防护系统技术规范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中铁二院工程集团有限责任公司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轮轨擦伤实验评价规范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西南交通大学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城市夜景照明技术规范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四川省照明电器协会</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多功能灯杆应用技术规范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四川省照明电器协会</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重型装备防锈内包装通用技术条件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二重（德阳）重型装备有限公司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便携式制氧机技术要求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理塘县珠衡供氧设备有限责任公司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变压吸附制氧机技术要求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理塘县珠衡供氧设备有限责任公司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通用技术指南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西南化工研究设计院有限公司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客车供氧通用技术要求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中国测试技术研究院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高原健康用氧  液态氧供氧设备与系统技术要求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经济和信息化厅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四川梅塞而气体产品有限公司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教育装备产品的基础参数检测验收规范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教育厅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四川省教育厅技术物资装备管理指导中心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中小学校学生宿舍（公寓）管理服务规范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教育厅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四川省教育厅学校后勤与产业管理指导中心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中小学校食堂建设和管理服务规范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教育厅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四川省教育厅学校后勤与产业管理指导中心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农业科技成果经济效益计算及评价规范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科技厅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四川省农村科技发展中心、四川农业大学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社会救助综合服务平台建设规范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民政厅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四川省民政厅社会救助处</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四川省社会组织建设治理规范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民政厅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四川省民政厅社会救助处</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社区矫正社会服务工作规范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司法厅社区矫正管理局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社区矫正教育矫正规范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司法厅社区矫正管理局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未成年人社区矫正规范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司法厅社区矫正管理局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四川省行政复议工作规范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司法厅行政复议与应诉局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四川省重大执法决定法制审核事项标准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南充市司法局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四川省行政执法用语标准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广安市司法局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四川省行政执法案件编号标准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德阳市司法局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四川省“法律七进”工作规范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司法厅普法与依法治理处</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第1部分：网络化运营组织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第2部分：客流风险管控</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第3部分：车辆系统风险管控</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第4部分：司机规范化操作</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城市轨道交通运营与服务 第5部分：地铁运行信息化</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成都轨道交通集团有限公司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高速公路新型中央分隔带SAm级混凝土护栏技术指南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四川省公路隧道超前地质预报技术规程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山区公路混凝土结构桥梁安全风险监测指标体系设计与预警技术指南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沥青路面厂拌热再生技术指南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公路隧道竖井技术规程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四川省高速公路景观及绿化设计指南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四川省公路规划勘察设计研究院有限公司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四川高速公路桥梁养护管理技术规程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交通运输厅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四川省交通运输厅高速公路管理局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农业社会化服务  综合服务平台建设规范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农业农村厅服务体系建设指导处、成都大学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四川省油菜全程机械化分段收获生产技术规程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四川省农业科学院作物研究所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西瓜设施生产技术规程DB51/T1535-2012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四川省农业科学院园艺所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青稞全程机械化生产技术规程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四川省农业机械研究设计院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四川水稻机械化育秧技术规程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四川省农机化技术推广总站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马铃薯全程机械化生产作业技术规范</w:t>
            </w:r>
            <w:bookmarkStart w:id="0" w:name="_GoBack"/>
            <w:bookmarkEnd w:id="0"/>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四川省农机化技术推广总站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生猪自动化饲喂设备安装技术规范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农业农村厅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四川省农业机械鉴定站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化工企业危险与可操作性分析(HAZOP分析)质量审查标准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化工企业保护层分析（LOPA分析）质量审查标准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城市安全风险评估导则（试行）</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工业园（集中）区安全风险评估导则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经济开发区安全风险评估导则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四川省安全科学技术研究院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页岩气安全规程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中国石油天然气股份有限公司西南油气田分公司工程技术研究院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爆竹机械装药安全技术规程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四川省烟花爆竹安全监督质量检测站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烟花爆竹生产单位动火作业安全规程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四川省烟花爆竹安全监督质量检测站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烟花药物机械混合安全技术规程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应急厅</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四川省烟花爆竹安全监督质量检测站</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地震危险区域内电梯安全防护规范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省特种设备检验研究院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高含硫气田用压力管道定期检验技术要求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省特种设备检验研究院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DB51/T 1764-2014机械式停车设备维修保养安全技术规范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省特种设备检验研究院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DB51/T 2001-2015 大型游乐设施日常维护保养规范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省特种设备检验研究院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微生物检测领域设施和环境条件监测指南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省市场监管局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四川省产品质量监督检验检测院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救灾物资储存技术规范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省粮食和储备局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四川省救灾物资储备中心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川产道地药材认证 通则(DB51/T2565-2018川产道地药材认证 通则)</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四川省中医药科学院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川产道地药材认证 党参(DB51/T 2563-2018 川产道地药材认证 党参(九寨))</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川产道地药材生产技术规程 泽泻(DB51/T1065-2010 泽泻生产技术规程)</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四川农业大学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川产道地药材商品规格等级 麦冬</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成都中医药大学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川产药材商品规格等级 灵芝</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四川省中医药科学院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川产道地药材生产技术规程 川芎</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成都中医药大学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67</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川产药材生产技术规程 桑葚</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四川黑金椹阳光农业有限公司</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68</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川产道地药材种子种苗 川牛膝</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四川农业大学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69</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四川省中医药装备标准体系表编制指南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四川省机械研究设计院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70</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中药电子束辐照通用技术规范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西南科技大学</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71</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四川省中药智能装备标准编写规范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四川省机械研究设计院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72</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川产药材追溯 追溯体系通用要求</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四川省中医药科学院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73</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川产药材生产技术规程 红景天</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省中医药管理局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四川省草原科学研究院</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74</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四川省政务信息资源目录编制指南</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省大数据中心</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省大数据中心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75</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四川省公共数据开放技术规范</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省大数据中心</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省大数据中心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76</w:t>
            </w:r>
          </w:p>
        </w:tc>
        <w:tc>
          <w:tcPr>
            <w:tcW w:w="5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川西高原中小河流暴雨洪涝气象风险预警指标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省气象局</w:t>
            </w:r>
          </w:p>
        </w:tc>
        <w:tc>
          <w:tcPr>
            <w:tcW w:w="4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四川省气候中心</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制定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47158"/>
    <w:rsid w:val="17AD6A2C"/>
    <w:rsid w:val="27F4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2020-06-03T01:40:00Z</dcterms:created>
  <dc:creator>admin</dc:creator>
  <cp:lastModifiedBy>admin</cp:lastModifiedBy>
  <dcterms:modified xsi:type="dcterms:W3CDTF">2020-06-03T03:20:38Z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