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40A" w:rsidRDefault="003B6FD4">
      <w:pPr>
        <w:jc w:val="center"/>
        <w:rPr>
          <w:rFonts w:ascii="黑体" w:eastAsia="黑体" w:hAnsi="黑体" w:cs="黑体"/>
          <w:sz w:val="32"/>
          <w:szCs w:val="32"/>
        </w:rPr>
      </w:pPr>
      <w:r>
        <w:rPr>
          <w:rFonts w:ascii="黑体" w:eastAsia="黑体" w:hAnsi="黑体" w:cs="黑体" w:hint="eastAsia"/>
          <w:sz w:val="32"/>
          <w:szCs w:val="32"/>
        </w:rPr>
        <w:t>2020年四川省金属家具产品质量省级监督抽查实施细则</w:t>
      </w:r>
    </w:p>
    <w:p w:rsidR="0087340A" w:rsidRDefault="003B6FD4">
      <w:pPr>
        <w:jc w:val="center"/>
        <w:rPr>
          <w:rFonts w:ascii="黑体" w:eastAsia="黑体" w:hAnsi="黑体" w:cs="黑体"/>
          <w:sz w:val="32"/>
          <w:szCs w:val="32"/>
        </w:rPr>
      </w:pPr>
      <w:r>
        <w:rPr>
          <w:rFonts w:ascii="黑体" w:eastAsia="黑体" w:hAnsi="黑体" w:cs="黑体" w:hint="eastAsia"/>
          <w:sz w:val="30"/>
          <w:szCs w:val="30"/>
        </w:rPr>
        <w:t>SCSG—ZY—723—2020</w:t>
      </w:r>
    </w:p>
    <w:p w:rsidR="0087340A" w:rsidRDefault="003B6FD4" w:rsidP="006675E9">
      <w:pPr>
        <w:spacing w:beforeLines="100" w:afterLines="100"/>
        <w:rPr>
          <w:rFonts w:ascii="黑体" w:eastAsia="黑体" w:hAnsi="黑体" w:cs="黑体"/>
        </w:rPr>
      </w:pPr>
      <w:r>
        <w:rPr>
          <w:rFonts w:ascii="黑体" w:eastAsia="黑体" w:hAnsi="黑体" w:cs="黑体" w:hint="eastAsia"/>
        </w:rPr>
        <w:t>1 抽样方法</w:t>
      </w:r>
    </w:p>
    <w:p w:rsidR="0087340A" w:rsidRDefault="003B6FD4">
      <w:pPr>
        <w:pStyle w:val="1"/>
      </w:pPr>
      <w:r>
        <w:rPr>
          <w:rFonts w:hint="eastAsia"/>
        </w:rPr>
        <w:t>以随机抽样的方式在被抽样生产者、销售者的待销产品中抽取。</w:t>
      </w:r>
    </w:p>
    <w:p w:rsidR="0087340A" w:rsidRDefault="003B6FD4">
      <w:pPr>
        <w:pStyle w:val="1"/>
      </w:pPr>
      <w:r>
        <w:rPr>
          <w:rFonts w:hint="eastAsia"/>
        </w:rPr>
        <w:t>抽查样品基数满足抽样数量即可。</w:t>
      </w:r>
    </w:p>
    <w:p w:rsidR="0087340A" w:rsidRDefault="003B6FD4">
      <w:pPr>
        <w:pStyle w:val="1"/>
      </w:pPr>
      <w:r>
        <w:rPr>
          <w:rFonts w:hint="eastAsia"/>
        </w:rPr>
        <w:t>随机数一般可使用随机数表、骰子或扑克牌等方法产生。</w:t>
      </w:r>
    </w:p>
    <w:p w:rsidR="0087340A" w:rsidRDefault="003B6FD4" w:rsidP="006675E9">
      <w:pPr>
        <w:spacing w:beforeLines="100" w:afterLines="100"/>
        <w:rPr>
          <w:rFonts w:ascii="黑体" w:eastAsia="黑体" w:hAnsi="黑体" w:cs="黑体"/>
        </w:rPr>
      </w:pPr>
      <w:r>
        <w:rPr>
          <w:rFonts w:ascii="黑体" w:eastAsia="黑体" w:hAnsi="黑体" w:cs="黑体" w:hint="eastAsia"/>
        </w:rPr>
        <w:t>2检验依据</w:t>
      </w:r>
    </w:p>
    <w:p w:rsidR="0087340A" w:rsidRDefault="003B6FD4" w:rsidP="006675E9">
      <w:pPr>
        <w:spacing w:beforeLines="50" w:afterLines="50"/>
        <w:jc w:val="center"/>
        <w:rPr>
          <w:rFonts w:ascii="黑体" w:eastAsia="黑体" w:hAnsi="黑体" w:cs="黑体"/>
        </w:rPr>
      </w:pPr>
      <w:r>
        <w:rPr>
          <w:rFonts w:ascii="黑体" w:eastAsia="黑体" w:hAnsi="黑体" w:cs="黑体" w:hint="eastAsia"/>
        </w:rPr>
        <w:t>表1  金属家具检验项目</w:t>
      </w: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08"/>
        <w:gridCol w:w="2465"/>
        <w:gridCol w:w="2268"/>
        <w:gridCol w:w="3017"/>
      </w:tblGrid>
      <w:tr w:rsidR="0087340A">
        <w:trPr>
          <w:trHeight w:val="691"/>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外观性能-木制件封边处理</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中表3序号18</w:t>
            </w: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 中6.3.3条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结构安全</w:t>
            </w:r>
          </w:p>
        </w:tc>
        <w:tc>
          <w:tcPr>
            <w:tcW w:w="2268"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3325-2017中表4</w:t>
            </w: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3325-2017中6.4.1条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708"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有害物质限量</w:t>
            </w:r>
          </w:p>
        </w:tc>
        <w:tc>
          <w:tcPr>
            <w:tcW w:w="2465"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人造板部件甲醛释放量</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3325-2017中6.4.2条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70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465"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3325-2017中6.4.2条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70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465"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皮革可分解芳香胺</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3325-2017中6.4.2条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70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465"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纺织面料可分解芳香胺</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3325-2017中6.4.2条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金属喷漆（塑）涂层耐腐蚀</w:t>
            </w:r>
          </w:p>
        </w:tc>
        <w:tc>
          <w:tcPr>
            <w:tcW w:w="2268"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3325-2017中表5</w:t>
            </w: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3325-2017中6.5.1条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金属电镀层抗盐雾</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3325-2017中6.5.1条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708"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力学性能</w:t>
            </w:r>
          </w:p>
        </w:tc>
        <w:tc>
          <w:tcPr>
            <w:tcW w:w="2465"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桌类稳定性</w:t>
            </w:r>
          </w:p>
        </w:tc>
        <w:tc>
          <w:tcPr>
            <w:tcW w:w="2268"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3325-2017中5.6条</w:t>
            </w: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3325-2017中6.6条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w:t>
            </w:r>
          </w:p>
        </w:tc>
        <w:tc>
          <w:tcPr>
            <w:tcW w:w="70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465"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椅凳类稳定性</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3325-2017中6.6条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w:t>
            </w:r>
          </w:p>
        </w:tc>
        <w:tc>
          <w:tcPr>
            <w:tcW w:w="70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465"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柜类稳定性</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3325-2017中6.6条</w:t>
            </w:r>
          </w:p>
        </w:tc>
      </w:tr>
      <w:tr w:rsidR="0087340A">
        <w:trPr>
          <w:trHeight w:val="295"/>
          <w:jc w:val="center"/>
        </w:trPr>
        <w:tc>
          <w:tcPr>
            <w:tcW w:w="67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12</w:t>
            </w:r>
          </w:p>
        </w:tc>
        <w:tc>
          <w:tcPr>
            <w:tcW w:w="70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465"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双层床稳定性</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3017"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3325-2017中6.6条</w:t>
            </w:r>
          </w:p>
        </w:tc>
      </w:tr>
    </w:tbl>
    <w:p w:rsidR="0087340A" w:rsidRDefault="003B6FD4" w:rsidP="006675E9">
      <w:pPr>
        <w:spacing w:beforeLines="50" w:afterLines="50"/>
        <w:jc w:val="center"/>
        <w:rPr>
          <w:rFonts w:ascii="黑体" w:eastAsia="黑体" w:hAnsi="黑体" w:cs="黑体"/>
        </w:rPr>
      </w:pPr>
      <w:r>
        <w:rPr>
          <w:rFonts w:ascii="黑体" w:eastAsia="黑体" w:hAnsi="黑体" w:cs="黑体" w:hint="eastAsia"/>
        </w:rPr>
        <w:t>表2  单、复柱钢制书架检验项目</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6"/>
        <w:gridCol w:w="3173"/>
        <w:gridCol w:w="2268"/>
        <w:gridCol w:w="2828"/>
      </w:tblGrid>
      <w:tr w:rsidR="0087340A">
        <w:trPr>
          <w:trHeight w:val="691"/>
          <w:jc w:val="center"/>
        </w:trPr>
        <w:tc>
          <w:tcPr>
            <w:tcW w:w="88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82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7340A">
        <w:trPr>
          <w:trHeight w:val="295"/>
          <w:jc w:val="center"/>
        </w:trPr>
        <w:tc>
          <w:tcPr>
            <w:tcW w:w="88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外观性能-木制件封边处理</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中5.2.9条</w:t>
            </w:r>
          </w:p>
        </w:tc>
        <w:tc>
          <w:tcPr>
            <w:tcW w:w="282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3325-2017中6.3.3条</w:t>
            </w:r>
          </w:p>
        </w:tc>
      </w:tr>
      <w:tr w:rsidR="0087340A">
        <w:trPr>
          <w:trHeight w:val="295"/>
          <w:jc w:val="center"/>
        </w:trPr>
        <w:tc>
          <w:tcPr>
            <w:tcW w:w="88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金属喷漆（塑）涂层耐腐蚀</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中表3序号4</w:t>
            </w:r>
          </w:p>
        </w:tc>
        <w:tc>
          <w:tcPr>
            <w:tcW w:w="282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中6.3.1.5条</w:t>
            </w:r>
          </w:p>
        </w:tc>
      </w:tr>
      <w:tr w:rsidR="0087340A">
        <w:trPr>
          <w:trHeight w:val="295"/>
          <w:jc w:val="center"/>
        </w:trPr>
        <w:tc>
          <w:tcPr>
            <w:tcW w:w="88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木制件甲醛释放量</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中5.5条</w:t>
            </w:r>
          </w:p>
        </w:tc>
        <w:tc>
          <w:tcPr>
            <w:tcW w:w="282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中6.5条</w:t>
            </w:r>
          </w:p>
        </w:tc>
      </w:tr>
      <w:tr w:rsidR="0087340A">
        <w:trPr>
          <w:trHeight w:val="295"/>
          <w:jc w:val="center"/>
        </w:trPr>
        <w:tc>
          <w:tcPr>
            <w:tcW w:w="88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稳定性</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中5.6条</w:t>
            </w:r>
          </w:p>
        </w:tc>
        <w:tc>
          <w:tcPr>
            <w:tcW w:w="282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中6.6条</w:t>
            </w:r>
          </w:p>
        </w:tc>
      </w:tr>
    </w:tbl>
    <w:p w:rsidR="0087340A" w:rsidRDefault="0087340A" w:rsidP="006675E9">
      <w:pPr>
        <w:spacing w:beforeLines="50" w:afterLines="50"/>
        <w:jc w:val="center"/>
        <w:rPr>
          <w:rFonts w:ascii="黑体" w:eastAsia="黑体" w:hAnsi="黑体" w:cs="黑体"/>
        </w:rPr>
      </w:pPr>
    </w:p>
    <w:p w:rsidR="0087340A" w:rsidRDefault="003B6FD4" w:rsidP="006675E9">
      <w:pPr>
        <w:spacing w:beforeLines="50" w:afterLines="50"/>
        <w:jc w:val="center"/>
        <w:rPr>
          <w:rFonts w:ascii="黑体" w:eastAsia="黑体" w:hAnsi="黑体" w:cs="黑体"/>
        </w:rPr>
      </w:pPr>
      <w:r>
        <w:rPr>
          <w:rFonts w:ascii="黑体" w:eastAsia="黑体" w:hAnsi="黑体" w:cs="黑体" w:hint="eastAsia"/>
        </w:rPr>
        <w:lastRenderedPageBreak/>
        <w:t>表3  积层式钢制书架检验项目</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3173"/>
        <w:gridCol w:w="2268"/>
        <w:gridCol w:w="2656"/>
      </w:tblGrid>
      <w:tr w:rsidR="0087340A">
        <w:trPr>
          <w:trHeight w:val="370"/>
          <w:jc w:val="center"/>
        </w:trPr>
        <w:tc>
          <w:tcPr>
            <w:tcW w:w="110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65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7340A">
        <w:trPr>
          <w:trHeight w:val="295"/>
          <w:jc w:val="center"/>
        </w:trPr>
        <w:tc>
          <w:tcPr>
            <w:tcW w:w="110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金属喷漆（塑）涂层耐腐蚀</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13667.2-2017</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中5.2条</w:t>
            </w:r>
          </w:p>
        </w:tc>
        <w:tc>
          <w:tcPr>
            <w:tcW w:w="265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中6.3.1.5条</w:t>
            </w:r>
          </w:p>
        </w:tc>
      </w:tr>
      <w:tr w:rsidR="0087340A">
        <w:trPr>
          <w:trHeight w:val="295"/>
          <w:jc w:val="center"/>
        </w:trPr>
        <w:tc>
          <w:tcPr>
            <w:tcW w:w="110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连接板</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13667.2-2017</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中5.3.2条</w:t>
            </w:r>
          </w:p>
        </w:tc>
        <w:tc>
          <w:tcPr>
            <w:tcW w:w="265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13667.2-2017</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中6.3.2条</w:t>
            </w:r>
          </w:p>
        </w:tc>
      </w:tr>
      <w:tr w:rsidR="0087340A">
        <w:trPr>
          <w:trHeight w:val="295"/>
          <w:jc w:val="center"/>
        </w:trPr>
        <w:tc>
          <w:tcPr>
            <w:tcW w:w="110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连接套管</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13667.2-2017</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中5.3.3条</w:t>
            </w:r>
          </w:p>
        </w:tc>
        <w:tc>
          <w:tcPr>
            <w:tcW w:w="265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13667.2-2017</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中6.3.3条</w:t>
            </w:r>
          </w:p>
        </w:tc>
      </w:tr>
      <w:tr w:rsidR="0087340A">
        <w:trPr>
          <w:trHeight w:val="295"/>
          <w:jc w:val="center"/>
        </w:trPr>
        <w:tc>
          <w:tcPr>
            <w:tcW w:w="110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甲板外观质量</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13667.2-2017</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中5.3.5.1条</w:t>
            </w:r>
          </w:p>
        </w:tc>
        <w:tc>
          <w:tcPr>
            <w:tcW w:w="265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13667.2-2017</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中6.3.5条</w:t>
            </w:r>
          </w:p>
        </w:tc>
      </w:tr>
    </w:tbl>
    <w:p w:rsidR="0087340A" w:rsidRDefault="003B6FD4" w:rsidP="006675E9">
      <w:pPr>
        <w:spacing w:beforeLines="50" w:afterLines="50"/>
        <w:jc w:val="center"/>
        <w:rPr>
          <w:rFonts w:ascii="黑体" w:eastAsia="黑体" w:hAnsi="黑体" w:cs="黑体"/>
        </w:rPr>
      </w:pPr>
      <w:r>
        <w:rPr>
          <w:rFonts w:ascii="黑体" w:eastAsia="黑体" w:hAnsi="黑体" w:cs="黑体" w:hint="eastAsia"/>
        </w:rPr>
        <w:t>表4  手动密集钢制书架检验项目</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9"/>
        <w:gridCol w:w="2515"/>
        <w:gridCol w:w="2926"/>
        <w:gridCol w:w="2705"/>
      </w:tblGrid>
      <w:tr w:rsidR="0087340A">
        <w:trPr>
          <w:trHeight w:val="373"/>
          <w:jc w:val="center"/>
        </w:trPr>
        <w:tc>
          <w:tcPr>
            <w:tcW w:w="104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251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92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70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7340A">
        <w:trPr>
          <w:trHeight w:val="295"/>
          <w:jc w:val="center"/>
        </w:trPr>
        <w:tc>
          <w:tcPr>
            <w:tcW w:w="104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251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表面涂层耐腐蚀</w:t>
            </w:r>
          </w:p>
        </w:tc>
        <w:tc>
          <w:tcPr>
            <w:tcW w:w="292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中表2序号4</w:t>
            </w:r>
          </w:p>
        </w:tc>
        <w:tc>
          <w:tcPr>
            <w:tcW w:w="270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中表2序号4</w:t>
            </w:r>
          </w:p>
        </w:tc>
      </w:tr>
      <w:tr w:rsidR="0087340A">
        <w:trPr>
          <w:trHeight w:val="295"/>
          <w:jc w:val="center"/>
        </w:trPr>
        <w:tc>
          <w:tcPr>
            <w:tcW w:w="104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251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防倾倒</w:t>
            </w:r>
          </w:p>
        </w:tc>
        <w:tc>
          <w:tcPr>
            <w:tcW w:w="292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中表3序号8</w:t>
            </w:r>
          </w:p>
        </w:tc>
        <w:tc>
          <w:tcPr>
            <w:tcW w:w="270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中6.3.9条</w:t>
            </w:r>
          </w:p>
        </w:tc>
      </w:tr>
      <w:tr w:rsidR="0087340A">
        <w:trPr>
          <w:trHeight w:val="295"/>
          <w:jc w:val="center"/>
        </w:trPr>
        <w:tc>
          <w:tcPr>
            <w:tcW w:w="104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251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限位</w:t>
            </w:r>
          </w:p>
        </w:tc>
        <w:tc>
          <w:tcPr>
            <w:tcW w:w="292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中表3序号9</w:t>
            </w:r>
          </w:p>
        </w:tc>
        <w:tc>
          <w:tcPr>
            <w:tcW w:w="270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中6.3.10条</w:t>
            </w:r>
          </w:p>
        </w:tc>
      </w:tr>
      <w:tr w:rsidR="0087340A">
        <w:trPr>
          <w:trHeight w:val="295"/>
          <w:jc w:val="center"/>
        </w:trPr>
        <w:tc>
          <w:tcPr>
            <w:tcW w:w="104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251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固定</w:t>
            </w:r>
          </w:p>
        </w:tc>
        <w:tc>
          <w:tcPr>
            <w:tcW w:w="292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中表3序号10</w:t>
            </w:r>
          </w:p>
        </w:tc>
        <w:tc>
          <w:tcPr>
            <w:tcW w:w="270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中6.3.11条</w:t>
            </w:r>
          </w:p>
        </w:tc>
      </w:tr>
      <w:tr w:rsidR="0087340A">
        <w:trPr>
          <w:trHeight w:val="295"/>
          <w:jc w:val="center"/>
        </w:trPr>
        <w:tc>
          <w:tcPr>
            <w:tcW w:w="104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251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载重运行</w:t>
            </w:r>
          </w:p>
        </w:tc>
        <w:tc>
          <w:tcPr>
            <w:tcW w:w="292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中5.4.3条</w:t>
            </w:r>
          </w:p>
        </w:tc>
        <w:tc>
          <w:tcPr>
            <w:tcW w:w="270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中6.4.3条</w:t>
            </w:r>
          </w:p>
        </w:tc>
      </w:tr>
      <w:tr w:rsidR="0087340A">
        <w:trPr>
          <w:trHeight w:val="295"/>
          <w:jc w:val="center"/>
        </w:trPr>
        <w:tc>
          <w:tcPr>
            <w:tcW w:w="104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251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稳定性</w:t>
            </w:r>
          </w:p>
        </w:tc>
        <w:tc>
          <w:tcPr>
            <w:tcW w:w="292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中5.5条</w:t>
            </w:r>
          </w:p>
        </w:tc>
        <w:tc>
          <w:tcPr>
            <w:tcW w:w="2705"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中6.5条</w:t>
            </w:r>
          </w:p>
        </w:tc>
      </w:tr>
    </w:tbl>
    <w:p w:rsidR="0087340A" w:rsidRDefault="003B6FD4" w:rsidP="006675E9">
      <w:pPr>
        <w:spacing w:beforeLines="50" w:afterLines="50"/>
        <w:jc w:val="center"/>
        <w:rPr>
          <w:rFonts w:ascii="黑体" w:eastAsia="黑体" w:hAnsi="黑体" w:cs="黑体"/>
        </w:rPr>
      </w:pPr>
      <w:r>
        <w:rPr>
          <w:rFonts w:ascii="黑体" w:eastAsia="黑体" w:hAnsi="黑体" w:cs="黑体" w:hint="eastAsia"/>
        </w:rPr>
        <w:t>表5  电动密集钢制书架检验项目</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2"/>
        <w:gridCol w:w="3173"/>
        <w:gridCol w:w="2268"/>
        <w:gridCol w:w="2829"/>
      </w:tblGrid>
      <w:tr w:rsidR="0087340A">
        <w:trPr>
          <w:trHeight w:val="416"/>
          <w:jc w:val="center"/>
        </w:trPr>
        <w:tc>
          <w:tcPr>
            <w:tcW w:w="932"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82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7340A">
        <w:trPr>
          <w:trHeight w:val="295"/>
          <w:jc w:val="center"/>
        </w:trPr>
        <w:tc>
          <w:tcPr>
            <w:tcW w:w="932"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表面涂层耐腐蚀</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13667.4-2013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中5.2条</w:t>
            </w:r>
          </w:p>
        </w:tc>
        <w:tc>
          <w:tcPr>
            <w:tcW w:w="282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中表2序号4</w:t>
            </w:r>
          </w:p>
        </w:tc>
      </w:tr>
      <w:tr w:rsidR="0087340A">
        <w:trPr>
          <w:trHeight w:val="295"/>
          <w:jc w:val="center"/>
        </w:trPr>
        <w:tc>
          <w:tcPr>
            <w:tcW w:w="932"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防倾倒</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13667.4-2013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中5.3条</w:t>
            </w:r>
          </w:p>
        </w:tc>
        <w:tc>
          <w:tcPr>
            <w:tcW w:w="282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中6.3.9条</w:t>
            </w:r>
          </w:p>
        </w:tc>
      </w:tr>
      <w:tr w:rsidR="0087340A">
        <w:trPr>
          <w:trHeight w:val="295"/>
          <w:jc w:val="center"/>
        </w:trPr>
        <w:tc>
          <w:tcPr>
            <w:tcW w:w="932"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限位</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13667.4-2013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中5.3条</w:t>
            </w:r>
          </w:p>
        </w:tc>
        <w:tc>
          <w:tcPr>
            <w:tcW w:w="282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中6.3.10条</w:t>
            </w:r>
          </w:p>
        </w:tc>
      </w:tr>
      <w:tr w:rsidR="0087340A">
        <w:trPr>
          <w:trHeight w:val="295"/>
          <w:jc w:val="center"/>
        </w:trPr>
        <w:tc>
          <w:tcPr>
            <w:tcW w:w="932"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固定</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13667.4-2013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中5.3条</w:t>
            </w:r>
          </w:p>
        </w:tc>
        <w:tc>
          <w:tcPr>
            <w:tcW w:w="282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中6.3.11条</w:t>
            </w:r>
          </w:p>
        </w:tc>
      </w:tr>
      <w:tr w:rsidR="0087340A">
        <w:trPr>
          <w:trHeight w:val="295"/>
          <w:jc w:val="center"/>
        </w:trPr>
        <w:tc>
          <w:tcPr>
            <w:tcW w:w="932"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载重运行</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13667.4-2013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中5.4条</w:t>
            </w:r>
          </w:p>
        </w:tc>
        <w:tc>
          <w:tcPr>
            <w:tcW w:w="282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中6.4.3条</w:t>
            </w:r>
          </w:p>
        </w:tc>
      </w:tr>
      <w:tr w:rsidR="0087340A">
        <w:trPr>
          <w:trHeight w:val="295"/>
          <w:jc w:val="center"/>
        </w:trPr>
        <w:tc>
          <w:tcPr>
            <w:tcW w:w="932"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稳定性</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13667.4-2013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中5.5条</w:t>
            </w:r>
          </w:p>
        </w:tc>
        <w:tc>
          <w:tcPr>
            <w:tcW w:w="282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13667.3-2013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中6.5条</w:t>
            </w:r>
          </w:p>
        </w:tc>
      </w:tr>
      <w:tr w:rsidR="0087340A">
        <w:trPr>
          <w:trHeight w:val="295"/>
          <w:jc w:val="center"/>
        </w:trPr>
        <w:tc>
          <w:tcPr>
            <w:tcW w:w="932"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安全性能</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13667.4-2013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中5.8.1～5.8.7条</w:t>
            </w:r>
          </w:p>
        </w:tc>
        <w:tc>
          <w:tcPr>
            <w:tcW w:w="282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13667.4-2013</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中6.8.1～6.8.7条</w:t>
            </w:r>
          </w:p>
        </w:tc>
      </w:tr>
    </w:tbl>
    <w:p w:rsidR="0087340A" w:rsidRDefault="003B6FD4" w:rsidP="006675E9">
      <w:pPr>
        <w:spacing w:beforeLines="50" w:afterLines="50"/>
        <w:jc w:val="center"/>
        <w:rPr>
          <w:rFonts w:ascii="黑体" w:eastAsia="黑体" w:hAnsi="黑体" w:cs="黑体"/>
        </w:rPr>
      </w:pPr>
      <w:r>
        <w:rPr>
          <w:rFonts w:ascii="黑体" w:eastAsia="黑体" w:hAnsi="黑体" w:cs="黑体" w:hint="eastAsia"/>
        </w:rPr>
        <w:lastRenderedPageBreak/>
        <w:t>表6  钢制书柜、资料柜检验项目</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9"/>
        <w:gridCol w:w="3173"/>
        <w:gridCol w:w="2268"/>
        <w:gridCol w:w="2741"/>
      </w:tblGrid>
      <w:tr w:rsidR="0087340A">
        <w:trPr>
          <w:trHeight w:val="691"/>
          <w:jc w:val="center"/>
        </w:trPr>
        <w:tc>
          <w:tcPr>
            <w:tcW w:w="90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741"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7340A">
        <w:trPr>
          <w:trHeight w:val="295"/>
          <w:jc w:val="center"/>
        </w:trPr>
        <w:tc>
          <w:tcPr>
            <w:tcW w:w="90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其他外观</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13668-2015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中表2序号8</w:t>
            </w:r>
          </w:p>
        </w:tc>
        <w:tc>
          <w:tcPr>
            <w:tcW w:w="2741"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13668-2015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中5.3条</w:t>
            </w:r>
          </w:p>
        </w:tc>
      </w:tr>
      <w:tr w:rsidR="0087340A">
        <w:trPr>
          <w:trHeight w:val="295"/>
          <w:jc w:val="center"/>
        </w:trPr>
        <w:tc>
          <w:tcPr>
            <w:tcW w:w="90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金属喷漆（塑）涂层耐腐蚀</w:t>
            </w:r>
          </w:p>
        </w:tc>
        <w:tc>
          <w:tcPr>
            <w:tcW w:w="2268"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13668-2015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w:t>
            </w:r>
          </w:p>
        </w:tc>
        <w:tc>
          <w:tcPr>
            <w:tcW w:w="2741"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w:t>
            </w:r>
          </w:p>
        </w:tc>
      </w:tr>
      <w:tr w:rsidR="0087340A">
        <w:trPr>
          <w:trHeight w:val="295"/>
          <w:jc w:val="center"/>
        </w:trPr>
        <w:tc>
          <w:tcPr>
            <w:tcW w:w="90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金属电镀层抗盐雾</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741"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3826</w:t>
            </w:r>
          </w:p>
        </w:tc>
      </w:tr>
      <w:tr w:rsidR="0087340A">
        <w:trPr>
          <w:trHeight w:val="295"/>
          <w:jc w:val="center"/>
        </w:trPr>
        <w:tc>
          <w:tcPr>
            <w:tcW w:w="90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稳定性</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13668-2015</w:t>
            </w:r>
          </w:p>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中表4序号2</w:t>
            </w:r>
          </w:p>
        </w:tc>
        <w:tc>
          <w:tcPr>
            <w:tcW w:w="2741"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10357.4</w:t>
            </w:r>
          </w:p>
        </w:tc>
      </w:tr>
    </w:tbl>
    <w:p w:rsidR="0087340A" w:rsidRDefault="003B6FD4" w:rsidP="006675E9">
      <w:pPr>
        <w:spacing w:beforeLines="50" w:afterLines="50"/>
        <w:jc w:val="center"/>
        <w:rPr>
          <w:rFonts w:ascii="黑体" w:eastAsia="黑体" w:hAnsi="黑体" w:cs="黑体"/>
        </w:rPr>
      </w:pPr>
      <w:r>
        <w:rPr>
          <w:rFonts w:ascii="黑体" w:eastAsia="黑体" w:hAnsi="黑体" w:cs="黑体" w:hint="eastAsia"/>
        </w:rPr>
        <w:t>表7  金属课桌椅检验项目</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4"/>
        <w:gridCol w:w="849"/>
        <w:gridCol w:w="2324"/>
        <w:gridCol w:w="2268"/>
        <w:gridCol w:w="2746"/>
      </w:tblGrid>
      <w:tr w:rsidR="0087340A">
        <w:trPr>
          <w:trHeight w:val="691"/>
          <w:jc w:val="center"/>
        </w:trPr>
        <w:tc>
          <w:tcPr>
            <w:tcW w:w="874"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74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7340A">
        <w:trPr>
          <w:trHeight w:val="295"/>
          <w:jc w:val="center"/>
        </w:trPr>
        <w:tc>
          <w:tcPr>
            <w:tcW w:w="874"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安全性</w:t>
            </w:r>
          </w:p>
        </w:tc>
        <w:tc>
          <w:tcPr>
            <w:tcW w:w="2268"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4071</w:t>
            </w:r>
          </w:p>
        </w:tc>
        <w:tc>
          <w:tcPr>
            <w:tcW w:w="274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4071</w:t>
            </w:r>
          </w:p>
        </w:tc>
      </w:tr>
      <w:tr w:rsidR="0087340A">
        <w:trPr>
          <w:trHeight w:val="295"/>
          <w:jc w:val="center"/>
        </w:trPr>
        <w:tc>
          <w:tcPr>
            <w:tcW w:w="874"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金属喷涂层耐盐浴</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74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1950</w:t>
            </w:r>
          </w:p>
        </w:tc>
      </w:tr>
      <w:tr w:rsidR="0087340A">
        <w:trPr>
          <w:trHeight w:val="295"/>
          <w:jc w:val="center"/>
        </w:trPr>
        <w:tc>
          <w:tcPr>
            <w:tcW w:w="874"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金属电镀层耐盐雾</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74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3826</w:t>
            </w:r>
          </w:p>
        </w:tc>
      </w:tr>
      <w:tr w:rsidR="0087340A">
        <w:trPr>
          <w:trHeight w:val="295"/>
          <w:jc w:val="center"/>
        </w:trPr>
        <w:tc>
          <w:tcPr>
            <w:tcW w:w="874"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椅子向后倾翻</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74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4071</w:t>
            </w:r>
          </w:p>
        </w:tc>
      </w:tr>
      <w:tr w:rsidR="0087340A">
        <w:trPr>
          <w:trHeight w:val="295"/>
          <w:jc w:val="center"/>
        </w:trPr>
        <w:tc>
          <w:tcPr>
            <w:tcW w:w="874"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凳子任意方向倾翻</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74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10357.2</w:t>
            </w:r>
          </w:p>
        </w:tc>
      </w:tr>
      <w:tr w:rsidR="0087340A">
        <w:trPr>
          <w:trHeight w:val="295"/>
          <w:jc w:val="center"/>
        </w:trPr>
        <w:tc>
          <w:tcPr>
            <w:tcW w:w="874"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849"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有害物质限量</w:t>
            </w:r>
          </w:p>
        </w:tc>
        <w:tc>
          <w:tcPr>
            <w:tcW w:w="2324"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74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87340A">
        <w:trPr>
          <w:trHeight w:val="295"/>
          <w:jc w:val="center"/>
        </w:trPr>
        <w:tc>
          <w:tcPr>
            <w:tcW w:w="874"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849"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324"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746"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bl>
    <w:p w:rsidR="0087340A" w:rsidRDefault="003B6FD4" w:rsidP="006675E9">
      <w:pPr>
        <w:spacing w:beforeLines="50" w:afterLines="50"/>
        <w:jc w:val="center"/>
        <w:rPr>
          <w:rFonts w:ascii="黑体" w:eastAsia="黑体" w:hAnsi="黑体" w:cs="黑体"/>
        </w:rPr>
      </w:pPr>
      <w:r>
        <w:rPr>
          <w:rFonts w:ascii="黑体" w:eastAsia="黑体" w:hAnsi="黑体" w:cs="黑体" w:hint="eastAsia"/>
        </w:rPr>
        <w:t>表8  金属茶几检验项目</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
        <w:gridCol w:w="849"/>
        <w:gridCol w:w="2324"/>
        <w:gridCol w:w="2268"/>
        <w:gridCol w:w="2679"/>
      </w:tblGrid>
      <w:tr w:rsidR="0087340A">
        <w:trPr>
          <w:trHeight w:val="691"/>
          <w:jc w:val="center"/>
        </w:trPr>
        <w:tc>
          <w:tcPr>
            <w:tcW w:w="96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67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7340A">
        <w:trPr>
          <w:trHeight w:val="295"/>
          <w:jc w:val="center"/>
        </w:trPr>
        <w:tc>
          <w:tcPr>
            <w:tcW w:w="96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人造板件饰面处理（表4序号20）</w:t>
            </w:r>
          </w:p>
        </w:tc>
        <w:tc>
          <w:tcPr>
            <w:tcW w:w="2268"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4467</w:t>
            </w:r>
          </w:p>
        </w:tc>
        <w:tc>
          <w:tcPr>
            <w:tcW w:w="267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4467</w:t>
            </w:r>
          </w:p>
        </w:tc>
      </w:tr>
      <w:tr w:rsidR="0087340A">
        <w:trPr>
          <w:trHeight w:val="295"/>
          <w:jc w:val="center"/>
        </w:trPr>
        <w:tc>
          <w:tcPr>
            <w:tcW w:w="96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金属涂层耐腐蚀</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67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13667.1</w:t>
            </w:r>
            <w:r w:rsidR="002C1B61">
              <w:rPr>
                <w:rFonts w:asciiTheme="minorEastAsia" w:eastAsiaTheme="minorEastAsia" w:hAnsiTheme="minorEastAsia" w:cstheme="minorEastAsia" w:hint="eastAsia"/>
                <w:sz w:val="18"/>
                <w:szCs w:val="18"/>
              </w:rPr>
              <w:t>-2015</w:t>
            </w:r>
          </w:p>
        </w:tc>
      </w:tr>
      <w:tr w:rsidR="0087340A">
        <w:trPr>
          <w:trHeight w:val="295"/>
          <w:jc w:val="center"/>
        </w:trPr>
        <w:tc>
          <w:tcPr>
            <w:tcW w:w="96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金属电镀层耐盐雾</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67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3826</w:t>
            </w:r>
          </w:p>
        </w:tc>
      </w:tr>
      <w:tr w:rsidR="0087340A">
        <w:trPr>
          <w:trHeight w:val="295"/>
          <w:jc w:val="center"/>
        </w:trPr>
        <w:tc>
          <w:tcPr>
            <w:tcW w:w="96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稳定性</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67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10357.7</w:t>
            </w:r>
          </w:p>
        </w:tc>
      </w:tr>
      <w:tr w:rsidR="0087340A">
        <w:trPr>
          <w:trHeight w:val="295"/>
          <w:jc w:val="center"/>
        </w:trPr>
        <w:tc>
          <w:tcPr>
            <w:tcW w:w="96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849" w:type="dxa"/>
            <w:vMerge w:val="restart"/>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有害物质限量</w:t>
            </w:r>
          </w:p>
        </w:tc>
        <w:tc>
          <w:tcPr>
            <w:tcW w:w="2324"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67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87340A">
        <w:trPr>
          <w:trHeight w:val="295"/>
          <w:jc w:val="center"/>
        </w:trPr>
        <w:tc>
          <w:tcPr>
            <w:tcW w:w="96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849"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324"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67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87340A">
        <w:trPr>
          <w:trHeight w:val="295"/>
          <w:jc w:val="center"/>
        </w:trPr>
        <w:tc>
          <w:tcPr>
            <w:tcW w:w="963"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849"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324" w:type="dxa"/>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石材放射性核元素限量</w:t>
            </w:r>
          </w:p>
        </w:tc>
        <w:tc>
          <w:tcPr>
            <w:tcW w:w="2268" w:type="dxa"/>
            <w:vMerge/>
            <w:noWrap/>
            <w:vAlign w:val="center"/>
          </w:tcPr>
          <w:p w:rsidR="0087340A" w:rsidRDefault="0087340A">
            <w:pPr>
              <w:jc w:val="center"/>
              <w:rPr>
                <w:rFonts w:asciiTheme="minorEastAsia" w:eastAsiaTheme="minorEastAsia" w:hAnsiTheme="minorEastAsia" w:cstheme="minorEastAsia"/>
                <w:sz w:val="18"/>
                <w:szCs w:val="18"/>
              </w:rPr>
            </w:pPr>
          </w:p>
        </w:tc>
        <w:tc>
          <w:tcPr>
            <w:tcW w:w="2679" w:type="dxa"/>
            <w:noWrap/>
            <w:vAlign w:val="center"/>
          </w:tcPr>
          <w:p w:rsidR="0087340A" w:rsidRDefault="003B6FD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6566-2010</w:t>
            </w:r>
          </w:p>
        </w:tc>
      </w:tr>
    </w:tbl>
    <w:p w:rsidR="0087340A" w:rsidRDefault="003B6FD4">
      <w:pPr>
        <w:pStyle w:val="aa"/>
        <w:ind w:leftChars="170" w:left="897" w:hangingChars="300" w:hanging="540"/>
        <w:rPr>
          <w:sz w:val="18"/>
          <w:szCs w:val="18"/>
        </w:rPr>
      </w:pPr>
      <w:r>
        <w:rPr>
          <w:rFonts w:ascii="黑体" w:eastAsia="黑体" w:hAnsi="黑体" w:cs="黑体" w:hint="eastAsia"/>
          <w:sz w:val="18"/>
          <w:szCs w:val="18"/>
        </w:rPr>
        <w:t>注 1：</w:t>
      </w:r>
      <w:r>
        <w:rPr>
          <w:rFonts w:hint="eastAsia"/>
          <w:sz w:val="18"/>
          <w:szCs w:val="18"/>
        </w:rPr>
        <w:t>上表所列检验项目是有关法律法规、标准等规定的，重点涉及健康、安全、节能、环保以及消费者、有关组织反映有质量问题的重要项目。</w:t>
      </w:r>
    </w:p>
    <w:p w:rsidR="0087340A" w:rsidRDefault="003B6FD4" w:rsidP="002C1B61">
      <w:pPr>
        <w:pStyle w:val="aa"/>
        <w:ind w:firstLine="360"/>
        <w:rPr>
          <w:sz w:val="18"/>
          <w:szCs w:val="18"/>
        </w:rPr>
      </w:pPr>
      <w:r>
        <w:rPr>
          <w:rFonts w:ascii="黑体" w:eastAsia="黑体" w:hAnsi="黑体" w:cs="黑体" w:hint="eastAsia"/>
          <w:sz w:val="18"/>
          <w:szCs w:val="18"/>
        </w:rPr>
        <w:t>注 2：</w:t>
      </w:r>
      <w:r>
        <w:rPr>
          <w:rFonts w:hint="eastAsia"/>
          <w:sz w:val="18"/>
          <w:szCs w:val="18"/>
        </w:rPr>
        <w:t>检验方法包括相关产品标准及试验方法标准。</w:t>
      </w:r>
    </w:p>
    <w:p w:rsidR="0087340A" w:rsidRDefault="003B6FD4">
      <w:pPr>
        <w:pStyle w:val="aa"/>
        <w:ind w:leftChars="170" w:left="897" w:hangingChars="300" w:hanging="540"/>
        <w:rPr>
          <w:sz w:val="18"/>
          <w:szCs w:val="18"/>
        </w:rPr>
      </w:pPr>
      <w:r>
        <w:rPr>
          <w:rFonts w:ascii="黑体" w:eastAsia="黑体" w:hAnsi="黑体" w:cs="黑体" w:hint="eastAsia"/>
          <w:sz w:val="18"/>
          <w:szCs w:val="18"/>
        </w:rPr>
        <w:t>注 3：</w:t>
      </w:r>
      <w:r>
        <w:rPr>
          <w:rFonts w:hint="eastAsia"/>
          <w:sz w:val="18"/>
          <w:szCs w:val="18"/>
        </w:rPr>
        <w:t>凡是注日期的文件，其随后所有的修改单（不包括勘误的内容）或修订版不适用于本细则。凡是不注日期的文件，其最新版本适用于本细则。</w:t>
      </w:r>
    </w:p>
    <w:p w:rsidR="0087340A" w:rsidRDefault="003B6FD4" w:rsidP="006675E9">
      <w:pPr>
        <w:spacing w:beforeLines="100" w:afterLines="100"/>
        <w:rPr>
          <w:rFonts w:ascii="黑体" w:eastAsia="黑体" w:hAnsi="黑体" w:cs="黑体"/>
        </w:rPr>
      </w:pPr>
      <w:bookmarkStart w:id="0" w:name="_GoBack"/>
      <w:bookmarkEnd w:id="0"/>
      <w:r>
        <w:rPr>
          <w:rFonts w:ascii="黑体" w:eastAsia="黑体" w:hAnsi="黑体" w:cs="黑体" w:hint="eastAsia"/>
        </w:rPr>
        <w:t>3 判定规则</w:t>
      </w:r>
    </w:p>
    <w:p w:rsidR="0087340A" w:rsidRDefault="003B6FD4" w:rsidP="006675E9">
      <w:pPr>
        <w:spacing w:beforeLines="50" w:afterLines="50"/>
        <w:rPr>
          <w:rFonts w:ascii="黑体" w:eastAsia="黑体" w:hAnsi="黑体" w:cs="黑体"/>
        </w:rPr>
      </w:pPr>
      <w:r>
        <w:rPr>
          <w:rFonts w:ascii="黑体" w:eastAsia="黑体" w:hAnsi="黑体" w:cs="黑体" w:hint="eastAsia"/>
        </w:rPr>
        <w:t>3.1依据标准</w:t>
      </w:r>
    </w:p>
    <w:p w:rsidR="0087340A" w:rsidRDefault="003B6FD4">
      <w:pPr>
        <w:pStyle w:val="1"/>
      </w:pPr>
      <w:r>
        <w:rPr>
          <w:rFonts w:hint="eastAsia"/>
        </w:rPr>
        <w:t>GB/T 3325-2017</w:t>
      </w:r>
      <w:r w:rsidR="00724794">
        <w:rPr>
          <w:rFonts w:hint="eastAsia"/>
        </w:rPr>
        <w:t xml:space="preserve"> </w:t>
      </w:r>
      <w:r w:rsidR="006675E9">
        <w:rPr>
          <w:rFonts w:hint="eastAsia"/>
        </w:rPr>
        <w:t xml:space="preserve">   </w:t>
      </w:r>
      <w:r>
        <w:rPr>
          <w:rFonts w:hint="eastAsia"/>
        </w:rPr>
        <w:t>金属家具通用技术条件</w:t>
      </w:r>
    </w:p>
    <w:p w:rsidR="002C1B61" w:rsidRDefault="002C1B61" w:rsidP="006675E9">
      <w:pPr>
        <w:pStyle w:val="1"/>
      </w:pPr>
      <w:r w:rsidRPr="00724794">
        <w:rPr>
          <w:rFonts w:hint="eastAsia"/>
        </w:rPr>
        <w:t>GB 6566-2010</w:t>
      </w:r>
      <w:r w:rsidR="00724794">
        <w:rPr>
          <w:rFonts w:hint="eastAsia"/>
        </w:rPr>
        <w:t xml:space="preserve"> </w:t>
      </w:r>
      <w:r w:rsidR="006675E9">
        <w:rPr>
          <w:rFonts w:hint="eastAsia"/>
        </w:rPr>
        <w:t xml:space="preserve">     </w:t>
      </w:r>
      <w:r w:rsidRPr="00724794">
        <w:rPr>
          <w:rFonts w:hint="eastAsia"/>
        </w:rPr>
        <w:t>建筑材料放射性核素限量</w:t>
      </w:r>
    </w:p>
    <w:p w:rsidR="002C1B61" w:rsidRPr="00724794" w:rsidRDefault="002C1B61" w:rsidP="00724794">
      <w:pPr>
        <w:pStyle w:val="1"/>
      </w:pPr>
      <w:r w:rsidRPr="00724794">
        <w:rPr>
          <w:rFonts w:hint="eastAsia"/>
        </w:rPr>
        <w:lastRenderedPageBreak/>
        <w:t xml:space="preserve">GB/T 10357.2 </w:t>
      </w:r>
      <w:r w:rsidR="006675E9">
        <w:rPr>
          <w:rFonts w:hint="eastAsia"/>
        </w:rPr>
        <w:t xml:space="preserve">     </w:t>
      </w:r>
      <w:r w:rsidRPr="00724794">
        <w:t>家具力学性能试验</w:t>
      </w:r>
      <w:r w:rsidRPr="00724794">
        <w:t xml:space="preserve"> </w:t>
      </w:r>
      <w:r w:rsidRPr="00724794">
        <w:t>第</w:t>
      </w:r>
      <w:r w:rsidRPr="00724794">
        <w:t>2</w:t>
      </w:r>
      <w:r w:rsidRPr="00724794">
        <w:t>部分</w:t>
      </w:r>
      <w:r w:rsidR="006675E9">
        <w:rPr>
          <w:rFonts w:hint="eastAsia"/>
        </w:rPr>
        <w:t>：</w:t>
      </w:r>
      <w:r w:rsidRPr="00724794">
        <w:t>椅凳类稳定性</w:t>
      </w:r>
    </w:p>
    <w:p w:rsidR="002C1B61" w:rsidRPr="00724794" w:rsidRDefault="002C1B61" w:rsidP="00724794">
      <w:pPr>
        <w:pStyle w:val="1"/>
      </w:pPr>
      <w:r w:rsidRPr="00724794">
        <w:rPr>
          <w:rFonts w:hint="eastAsia"/>
        </w:rPr>
        <w:t xml:space="preserve">GB/T 10357.4 </w:t>
      </w:r>
      <w:r w:rsidR="006675E9">
        <w:rPr>
          <w:rFonts w:hint="eastAsia"/>
        </w:rPr>
        <w:t xml:space="preserve">     </w:t>
      </w:r>
      <w:r w:rsidRPr="00724794">
        <w:t>家具力学性能试验</w:t>
      </w:r>
      <w:r w:rsidRPr="00724794">
        <w:t xml:space="preserve"> </w:t>
      </w:r>
      <w:r w:rsidRPr="00724794">
        <w:t>第</w:t>
      </w:r>
      <w:r w:rsidRPr="00724794">
        <w:rPr>
          <w:rFonts w:hint="eastAsia"/>
        </w:rPr>
        <w:t>4</w:t>
      </w:r>
      <w:r w:rsidRPr="00724794">
        <w:t>部分</w:t>
      </w:r>
      <w:r w:rsidR="006675E9">
        <w:rPr>
          <w:rFonts w:hint="eastAsia"/>
        </w:rPr>
        <w:t>：</w:t>
      </w:r>
      <w:r w:rsidRPr="00724794">
        <w:rPr>
          <w:rFonts w:hint="eastAsia"/>
        </w:rPr>
        <w:t>柜</w:t>
      </w:r>
      <w:r w:rsidRPr="00724794">
        <w:t>类稳定性</w:t>
      </w:r>
    </w:p>
    <w:p w:rsidR="002C1B61" w:rsidRDefault="002C1B61" w:rsidP="00724794">
      <w:pPr>
        <w:pStyle w:val="1"/>
      </w:pPr>
      <w:r w:rsidRPr="00724794">
        <w:rPr>
          <w:rFonts w:hint="eastAsia"/>
        </w:rPr>
        <w:t xml:space="preserve">GB/T 10357.7 </w:t>
      </w:r>
      <w:r w:rsidR="006675E9">
        <w:rPr>
          <w:rFonts w:hint="eastAsia"/>
        </w:rPr>
        <w:t xml:space="preserve">     </w:t>
      </w:r>
      <w:r w:rsidRPr="00724794">
        <w:t>家具力学性能试验</w:t>
      </w:r>
      <w:r w:rsidRPr="00724794">
        <w:t xml:space="preserve"> </w:t>
      </w:r>
      <w:r w:rsidRPr="00724794">
        <w:t>第</w:t>
      </w:r>
      <w:r w:rsidRPr="00724794">
        <w:rPr>
          <w:rFonts w:hint="eastAsia"/>
        </w:rPr>
        <w:t>7</w:t>
      </w:r>
      <w:r w:rsidRPr="00724794">
        <w:t>部分</w:t>
      </w:r>
      <w:r w:rsidR="006675E9">
        <w:rPr>
          <w:rFonts w:hint="eastAsia"/>
        </w:rPr>
        <w:t>：</w:t>
      </w:r>
      <w:r w:rsidRPr="00724794">
        <w:rPr>
          <w:rFonts w:hint="eastAsia"/>
        </w:rPr>
        <w:t>桌</w:t>
      </w:r>
      <w:r w:rsidRPr="00724794">
        <w:t>类稳定性</w:t>
      </w:r>
    </w:p>
    <w:p w:rsidR="0087340A" w:rsidRDefault="003B6FD4">
      <w:pPr>
        <w:pStyle w:val="1"/>
      </w:pPr>
      <w:r>
        <w:rPr>
          <w:rFonts w:hint="eastAsia"/>
        </w:rPr>
        <w:t>GB/T 13667.1-2015</w:t>
      </w:r>
      <w:r w:rsidR="006675E9">
        <w:rPr>
          <w:rFonts w:hint="eastAsia"/>
        </w:rPr>
        <w:t xml:space="preserve"> </w:t>
      </w:r>
      <w:r>
        <w:rPr>
          <w:rFonts w:hint="eastAsia"/>
        </w:rPr>
        <w:t>钢制书架</w:t>
      </w:r>
      <w:r>
        <w:rPr>
          <w:rFonts w:hint="eastAsia"/>
        </w:rPr>
        <w:t xml:space="preserve"> </w:t>
      </w:r>
      <w:r>
        <w:rPr>
          <w:rFonts w:hint="eastAsia"/>
        </w:rPr>
        <w:t>第</w:t>
      </w:r>
      <w:r>
        <w:rPr>
          <w:rFonts w:hint="eastAsia"/>
        </w:rPr>
        <w:t>1</w:t>
      </w:r>
      <w:r>
        <w:rPr>
          <w:rFonts w:hint="eastAsia"/>
        </w:rPr>
        <w:t>部分：单、复柱书架</w:t>
      </w:r>
    </w:p>
    <w:p w:rsidR="0087340A" w:rsidRDefault="003B6FD4">
      <w:pPr>
        <w:pStyle w:val="1"/>
      </w:pPr>
      <w:r>
        <w:rPr>
          <w:rFonts w:hint="eastAsia"/>
        </w:rPr>
        <w:t xml:space="preserve">GB/T 13667.2-2017 </w:t>
      </w:r>
      <w:r>
        <w:rPr>
          <w:rFonts w:hint="eastAsia"/>
        </w:rPr>
        <w:t>钢制书架</w:t>
      </w:r>
      <w:r>
        <w:rPr>
          <w:rFonts w:hint="eastAsia"/>
        </w:rPr>
        <w:t xml:space="preserve"> </w:t>
      </w:r>
      <w:r>
        <w:rPr>
          <w:rFonts w:hint="eastAsia"/>
        </w:rPr>
        <w:t>第</w:t>
      </w:r>
      <w:r>
        <w:rPr>
          <w:rFonts w:hint="eastAsia"/>
        </w:rPr>
        <w:t>2</w:t>
      </w:r>
      <w:r>
        <w:rPr>
          <w:rFonts w:hint="eastAsia"/>
        </w:rPr>
        <w:t>部分：积层式书架</w:t>
      </w:r>
    </w:p>
    <w:p w:rsidR="0087340A" w:rsidRDefault="003B6FD4">
      <w:pPr>
        <w:pStyle w:val="1"/>
      </w:pPr>
      <w:r>
        <w:rPr>
          <w:rFonts w:hint="eastAsia"/>
        </w:rPr>
        <w:t xml:space="preserve">GB/T 13667.3-2013 </w:t>
      </w:r>
      <w:r>
        <w:rPr>
          <w:rFonts w:hint="eastAsia"/>
        </w:rPr>
        <w:t>钢制书架</w:t>
      </w:r>
      <w:r>
        <w:rPr>
          <w:rFonts w:hint="eastAsia"/>
        </w:rPr>
        <w:t xml:space="preserve"> </w:t>
      </w:r>
      <w:r>
        <w:rPr>
          <w:rFonts w:hint="eastAsia"/>
        </w:rPr>
        <w:t>第</w:t>
      </w:r>
      <w:r>
        <w:rPr>
          <w:rFonts w:hint="eastAsia"/>
        </w:rPr>
        <w:t>3</w:t>
      </w:r>
      <w:r>
        <w:rPr>
          <w:rFonts w:hint="eastAsia"/>
        </w:rPr>
        <w:t>部分：手动密集书架</w:t>
      </w:r>
    </w:p>
    <w:p w:rsidR="0087340A" w:rsidRDefault="003B6FD4">
      <w:pPr>
        <w:pStyle w:val="1"/>
      </w:pPr>
      <w:r>
        <w:rPr>
          <w:rFonts w:hint="eastAsia"/>
        </w:rPr>
        <w:t xml:space="preserve">GB/T 13667.4-2013 </w:t>
      </w:r>
      <w:r>
        <w:rPr>
          <w:rFonts w:hint="eastAsia"/>
        </w:rPr>
        <w:t>钢制书架</w:t>
      </w:r>
      <w:r>
        <w:rPr>
          <w:rFonts w:hint="eastAsia"/>
        </w:rPr>
        <w:t xml:space="preserve"> </w:t>
      </w:r>
      <w:r>
        <w:rPr>
          <w:rFonts w:hint="eastAsia"/>
        </w:rPr>
        <w:t>第</w:t>
      </w:r>
      <w:r>
        <w:rPr>
          <w:rFonts w:hint="eastAsia"/>
        </w:rPr>
        <w:t>4</w:t>
      </w:r>
      <w:r>
        <w:rPr>
          <w:rFonts w:hint="eastAsia"/>
        </w:rPr>
        <w:t>部分：电动密集书架</w:t>
      </w:r>
    </w:p>
    <w:p w:rsidR="0087340A" w:rsidRDefault="00724794">
      <w:pPr>
        <w:pStyle w:val="1"/>
      </w:pPr>
      <w:r>
        <w:rPr>
          <w:rFonts w:hint="eastAsia"/>
        </w:rPr>
        <w:t xml:space="preserve">GB/T 13668-2015 </w:t>
      </w:r>
      <w:r w:rsidR="006675E9">
        <w:rPr>
          <w:rFonts w:hint="eastAsia"/>
        </w:rPr>
        <w:t xml:space="preserve">  </w:t>
      </w:r>
      <w:r w:rsidR="003B6FD4">
        <w:rPr>
          <w:rFonts w:hint="eastAsia"/>
        </w:rPr>
        <w:t>钢制书柜、资料柜</w:t>
      </w:r>
    </w:p>
    <w:p w:rsidR="002C1B61" w:rsidRDefault="002C1B61" w:rsidP="00724794">
      <w:pPr>
        <w:pStyle w:val="1"/>
      </w:pPr>
      <w:r w:rsidRPr="00724794">
        <w:rPr>
          <w:rFonts w:hint="eastAsia"/>
        </w:rPr>
        <w:t xml:space="preserve">GB 18584 </w:t>
      </w:r>
      <w:r w:rsidR="006675E9">
        <w:rPr>
          <w:rFonts w:hint="eastAsia"/>
        </w:rPr>
        <w:t xml:space="preserve">        </w:t>
      </w:r>
      <w:r w:rsidRPr="00724794">
        <w:t>室内装饰装修材料</w:t>
      </w:r>
      <w:r w:rsidRPr="00724794">
        <w:rPr>
          <w:rFonts w:hint="eastAsia"/>
        </w:rPr>
        <w:t xml:space="preserve"> </w:t>
      </w:r>
      <w:r w:rsidRPr="00724794">
        <w:t>木家具中有害物质限量</w:t>
      </w:r>
    </w:p>
    <w:p w:rsidR="002C1B61" w:rsidRPr="00724794" w:rsidRDefault="002C1B61" w:rsidP="00724794">
      <w:pPr>
        <w:pStyle w:val="1"/>
      </w:pPr>
      <w:r w:rsidRPr="00724794">
        <w:rPr>
          <w:rFonts w:hint="eastAsia"/>
        </w:rPr>
        <w:t xml:space="preserve">QB/T 1950 </w:t>
      </w:r>
      <w:r w:rsidR="006675E9">
        <w:rPr>
          <w:rFonts w:hint="eastAsia"/>
        </w:rPr>
        <w:t xml:space="preserve">       </w:t>
      </w:r>
      <w:r w:rsidRPr="00724794">
        <w:rPr>
          <w:rFonts w:hint="eastAsia"/>
        </w:rPr>
        <w:t>家具表面漆膜耐盐浴测定法</w:t>
      </w:r>
    </w:p>
    <w:p w:rsidR="002C1B61" w:rsidRDefault="002C1B61" w:rsidP="00724794">
      <w:pPr>
        <w:pStyle w:val="1"/>
      </w:pPr>
      <w:r w:rsidRPr="00724794">
        <w:rPr>
          <w:rFonts w:hint="eastAsia"/>
        </w:rPr>
        <w:t xml:space="preserve">QB/T 3826 </w:t>
      </w:r>
      <w:r w:rsidR="006675E9">
        <w:rPr>
          <w:rFonts w:hint="eastAsia"/>
        </w:rPr>
        <w:t xml:space="preserve">       </w:t>
      </w:r>
      <w:r w:rsidRPr="00724794">
        <w:rPr>
          <w:rFonts w:hint="eastAsia"/>
        </w:rPr>
        <w:t>轻工产品金属镀层和化学处理层的耐腐蚀试验方法</w:t>
      </w:r>
      <w:r w:rsidR="00724794" w:rsidRPr="00724794">
        <w:rPr>
          <w:rFonts w:hint="eastAsia"/>
        </w:rPr>
        <w:t xml:space="preserve"> </w:t>
      </w:r>
      <w:r w:rsidRPr="00724794">
        <w:rPr>
          <w:rFonts w:hint="eastAsia"/>
        </w:rPr>
        <w:t>中性盐雾试验</w:t>
      </w:r>
      <w:r w:rsidRPr="00724794">
        <w:rPr>
          <w:rFonts w:hint="eastAsia"/>
        </w:rPr>
        <w:t>(</w:t>
      </w:r>
      <w:r w:rsidR="00724794" w:rsidRPr="00724794">
        <w:rPr>
          <w:rFonts w:hint="eastAsia"/>
        </w:rPr>
        <w:t>NSS</w:t>
      </w:r>
      <w:r w:rsidRPr="00724794">
        <w:rPr>
          <w:rFonts w:hint="eastAsia"/>
        </w:rPr>
        <w:t>)</w:t>
      </w:r>
      <w:r w:rsidRPr="00724794">
        <w:rPr>
          <w:rFonts w:hint="eastAsia"/>
        </w:rPr>
        <w:t>法</w:t>
      </w:r>
    </w:p>
    <w:p w:rsidR="0087340A" w:rsidRDefault="003B6FD4" w:rsidP="002C1B61">
      <w:pPr>
        <w:pStyle w:val="1"/>
      </w:pPr>
      <w:r>
        <w:rPr>
          <w:rFonts w:hint="eastAsia"/>
        </w:rPr>
        <w:t>QB/T 4071</w:t>
      </w:r>
      <w:r w:rsidR="00724794">
        <w:rPr>
          <w:rFonts w:hint="eastAsia"/>
        </w:rPr>
        <w:t xml:space="preserve"> </w:t>
      </w:r>
      <w:r w:rsidR="006675E9">
        <w:rPr>
          <w:rFonts w:hint="eastAsia"/>
        </w:rPr>
        <w:t xml:space="preserve">       </w:t>
      </w:r>
      <w:r>
        <w:rPr>
          <w:rFonts w:hint="eastAsia"/>
        </w:rPr>
        <w:t>课桌椅</w:t>
      </w:r>
    </w:p>
    <w:p w:rsidR="0087340A" w:rsidRDefault="003B6FD4">
      <w:pPr>
        <w:pStyle w:val="1"/>
      </w:pPr>
      <w:r>
        <w:rPr>
          <w:rFonts w:hint="eastAsia"/>
        </w:rPr>
        <w:t>QB/T 4467</w:t>
      </w:r>
      <w:r w:rsidR="00724794">
        <w:rPr>
          <w:rFonts w:hint="eastAsia"/>
        </w:rPr>
        <w:t xml:space="preserve"> </w:t>
      </w:r>
      <w:r w:rsidR="006675E9">
        <w:rPr>
          <w:rFonts w:hint="eastAsia"/>
        </w:rPr>
        <w:t xml:space="preserve">       </w:t>
      </w:r>
      <w:r>
        <w:rPr>
          <w:rFonts w:hint="eastAsia"/>
        </w:rPr>
        <w:t>茶几</w:t>
      </w:r>
    </w:p>
    <w:p w:rsidR="0087340A" w:rsidRDefault="003B6FD4">
      <w:pPr>
        <w:pStyle w:val="1"/>
      </w:pPr>
      <w:r>
        <w:rPr>
          <w:rFonts w:hint="eastAsia"/>
        </w:rPr>
        <w:t>相关的法律、行政法规、部门规章、规范性文件。</w:t>
      </w:r>
    </w:p>
    <w:p w:rsidR="0087340A" w:rsidRDefault="003B6FD4">
      <w:pPr>
        <w:pStyle w:val="1"/>
      </w:pPr>
      <w:r>
        <w:rPr>
          <w:rFonts w:hint="eastAsia"/>
        </w:rPr>
        <w:t>经中国国家标准化管理委员会的企业标准信息公共服务平台公示现行有效的企业标准和产品明示质量要求。</w:t>
      </w:r>
    </w:p>
    <w:p w:rsidR="0087340A" w:rsidRDefault="003B6FD4" w:rsidP="006675E9">
      <w:pPr>
        <w:spacing w:beforeLines="50" w:afterLines="50"/>
        <w:rPr>
          <w:rFonts w:ascii="黑体" w:eastAsia="黑体" w:hAnsi="黑体" w:cs="黑体"/>
        </w:rPr>
      </w:pPr>
      <w:r>
        <w:rPr>
          <w:rFonts w:ascii="黑体" w:eastAsia="黑体" w:hAnsi="黑体" w:cs="黑体" w:hint="eastAsia"/>
        </w:rPr>
        <w:t>3.2判定原则</w:t>
      </w:r>
    </w:p>
    <w:p w:rsidR="0087340A" w:rsidRDefault="003B6FD4">
      <w:pPr>
        <w:pStyle w:val="1"/>
      </w:pPr>
      <w:r>
        <w:rPr>
          <w:rFonts w:hint="eastAsia"/>
        </w:rPr>
        <w:t>经检验，检验项目全部合格，判定为被抽查产品合格；检验项目中任一项或一项以上不合格，判定为被抽查产品不合格。</w:t>
      </w:r>
    </w:p>
    <w:p w:rsidR="0087340A" w:rsidRDefault="003B6FD4">
      <w:pPr>
        <w:pStyle w:val="1"/>
      </w:pPr>
      <w:r>
        <w:rPr>
          <w:rFonts w:hint="eastAsia"/>
        </w:rPr>
        <w:t>若被检产品明示的质量要求高于本细则中检验项目依据的标准要求时，应按被检产品明示的质量要求判定。</w:t>
      </w:r>
    </w:p>
    <w:p w:rsidR="0087340A" w:rsidRDefault="003B6FD4">
      <w:pPr>
        <w:pStyle w:val="1"/>
      </w:pPr>
      <w:r>
        <w:rPr>
          <w:rFonts w:hint="eastAsia"/>
        </w:rPr>
        <w:t>若被检产品明示的质量要求低于本细则中检验项目依据的强制性标准要求时，应按照强制性标准要求判定。</w:t>
      </w:r>
    </w:p>
    <w:p w:rsidR="0087340A" w:rsidRDefault="003B6FD4">
      <w:pPr>
        <w:pStyle w:val="1"/>
      </w:pPr>
      <w:r>
        <w:rPr>
          <w:rFonts w:hint="eastAsia"/>
        </w:rPr>
        <w:t>若被检产品明示的质量要求低于或包含细则中检验项目依据的推荐性标准要求时，应以被检产品明示的质量要求判定，但应在检验报告备注中进行说明。</w:t>
      </w:r>
    </w:p>
    <w:p w:rsidR="0087340A" w:rsidRDefault="003B6FD4">
      <w:pPr>
        <w:pStyle w:val="1"/>
      </w:pPr>
      <w:r>
        <w:rPr>
          <w:rFonts w:hint="eastAsia"/>
        </w:rPr>
        <w:t>若被检产品明示的质量要求缺少本细则中检验项目依据的强制性标准要求时，应按照强制性标准要求判定。</w:t>
      </w:r>
    </w:p>
    <w:p w:rsidR="0087340A" w:rsidRDefault="003B6FD4">
      <w:pPr>
        <w:pStyle w:val="1"/>
      </w:pPr>
      <w:r>
        <w:rPr>
          <w:rFonts w:hint="eastAsia"/>
        </w:rPr>
        <w:t>若被检产品明示的质量要求缺少本细则中检验项目依据的推荐性标准要求时，该项目不参与判定，但应在检验报告备注中进行说明。</w:t>
      </w:r>
    </w:p>
    <w:sectPr w:rsidR="0087340A" w:rsidSect="0087340A">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C22" w:rsidRDefault="00B22C22" w:rsidP="0087340A">
      <w:r>
        <w:separator/>
      </w:r>
    </w:p>
  </w:endnote>
  <w:endnote w:type="continuationSeparator" w:id="1">
    <w:p w:rsidR="00B22C22" w:rsidRDefault="00B22C22" w:rsidP="00873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40A" w:rsidRDefault="00B62CB2">
    <w:pPr>
      <w:pStyle w:val="a6"/>
      <w:framePr w:wrap="around" w:vAnchor="text" w:hAnchor="margin" w:xAlign="center" w:y="1"/>
      <w:rPr>
        <w:rStyle w:val="a8"/>
      </w:rPr>
    </w:pPr>
    <w:r>
      <w:fldChar w:fldCharType="begin"/>
    </w:r>
    <w:r w:rsidR="003B6FD4">
      <w:rPr>
        <w:rStyle w:val="a8"/>
      </w:rPr>
      <w:instrText xml:space="preserve">PAGE  </w:instrText>
    </w:r>
    <w:r>
      <w:fldChar w:fldCharType="separate"/>
    </w:r>
    <w:r w:rsidR="003B6FD4">
      <w:rPr>
        <w:rStyle w:val="a8"/>
      </w:rPr>
      <w:t>2</w:t>
    </w:r>
    <w:r>
      <w:fldChar w:fldCharType="end"/>
    </w:r>
  </w:p>
  <w:p w:rsidR="0087340A" w:rsidRDefault="0087340A">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40A" w:rsidRDefault="00B62CB2">
    <w:pPr>
      <w:pStyle w:val="a6"/>
      <w:jc w:val="center"/>
    </w:pPr>
    <w:r>
      <w:rPr>
        <w:lang w:val="zh-CN"/>
      </w:rPr>
      <w:fldChar w:fldCharType="begin"/>
    </w:r>
    <w:r w:rsidR="003B6FD4">
      <w:rPr>
        <w:lang w:val="zh-CN"/>
      </w:rPr>
      <w:instrText xml:space="preserve"> PAGE   \* MERGEFORMAT </w:instrText>
    </w:r>
    <w:r>
      <w:rPr>
        <w:lang w:val="zh-CN"/>
      </w:rPr>
      <w:fldChar w:fldCharType="separate"/>
    </w:r>
    <w:r w:rsidR="006675E9" w:rsidRPr="006675E9">
      <w:rPr>
        <w:noProof/>
      </w:rPr>
      <w:t>4</w:t>
    </w:r>
    <w:r>
      <w:rPr>
        <w:lang w:val="zh-CN"/>
      </w:rPr>
      <w:fldChar w:fldCharType="end"/>
    </w:r>
  </w:p>
  <w:p w:rsidR="0087340A" w:rsidRDefault="0087340A">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C22" w:rsidRDefault="00B22C22" w:rsidP="0087340A">
      <w:r>
        <w:separator/>
      </w:r>
    </w:p>
  </w:footnote>
  <w:footnote w:type="continuationSeparator" w:id="1">
    <w:p w:rsidR="00B22C22" w:rsidRDefault="00B22C22" w:rsidP="008734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40A" w:rsidRDefault="0087340A">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A9"/>
    <w:rsid w:val="00051A44"/>
    <w:rsid w:val="00071001"/>
    <w:rsid w:val="00081CBD"/>
    <w:rsid w:val="000976DE"/>
    <w:rsid w:val="000D0007"/>
    <w:rsid w:val="000E3460"/>
    <w:rsid w:val="000F6E44"/>
    <w:rsid w:val="001035C2"/>
    <w:rsid w:val="00113AD8"/>
    <w:rsid w:val="001715A9"/>
    <w:rsid w:val="00172A27"/>
    <w:rsid w:val="001809DD"/>
    <w:rsid w:val="0018607D"/>
    <w:rsid w:val="001C4F34"/>
    <w:rsid w:val="001C572E"/>
    <w:rsid w:val="001D1FBC"/>
    <w:rsid w:val="001D6824"/>
    <w:rsid w:val="00223317"/>
    <w:rsid w:val="00253624"/>
    <w:rsid w:val="00274E3E"/>
    <w:rsid w:val="00293B52"/>
    <w:rsid w:val="002A7D1C"/>
    <w:rsid w:val="002B50E7"/>
    <w:rsid w:val="002B6F93"/>
    <w:rsid w:val="002C1B61"/>
    <w:rsid w:val="002D7F8A"/>
    <w:rsid w:val="002E0D1D"/>
    <w:rsid w:val="002E68A8"/>
    <w:rsid w:val="002F49EA"/>
    <w:rsid w:val="00307994"/>
    <w:rsid w:val="003203A3"/>
    <w:rsid w:val="00371567"/>
    <w:rsid w:val="00375E4A"/>
    <w:rsid w:val="0039208F"/>
    <w:rsid w:val="003A38F1"/>
    <w:rsid w:val="003B6FD4"/>
    <w:rsid w:val="003C388C"/>
    <w:rsid w:val="003C4CFD"/>
    <w:rsid w:val="003D0118"/>
    <w:rsid w:val="003D0D9F"/>
    <w:rsid w:val="003E1CFA"/>
    <w:rsid w:val="003E4890"/>
    <w:rsid w:val="003E61BF"/>
    <w:rsid w:val="00427D8E"/>
    <w:rsid w:val="00442A9A"/>
    <w:rsid w:val="00445E86"/>
    <w:rsid w:val="00474E04"/>
    <w:rsid w:val="004820E0"/>
    <w:rsid w:val="00490A9C"/>
    <w:rsid w:val="004D0C5A"/>
    <w:rsid w:val="004D0E11"/>
    <w:rsid w:val="004D25D5"/>
    <w:rsid w:val="004D394B"/>
    <w:rsid w:val="004E1396"/>
    <w:rsid w:val="00515553"/>
    <w:rsid w:val="0052697D"/>
    <w:rsid w:val="00560BA9"/>
    <w:rsid w:val="00563EBC"/>
    <w:rsid w:val="005B24E4"/>
    <w:rsid w:val="005D1497"/>
    <w:rsid w:val="006241C7"/>
    <w:rsid w:val="006359DE"/>
    <w:rsid w:val="006407BA"/>
    <w:rsid w:val="00643C90"/>
    <w:rsid w:val="006661AC"/>
    <w:rsid w:val="006675E9"/>
    <w:rsid w:val="006966E7"/>
    <w:rsid w:val="006A4479"/>
    <w:rsid w:val="006A4DA4"/>
    <w:rsid w:val="006B7ACD"/>
    <w:rsid w:val="006F0971"/>
    <w:rsid w:val="007035AB"/>
    <w:rsid w:val="007064E0"/>
    <w:rsid w:val="007076A7"/>
    <w:rsid w:val="0072334C"/>
    <w:rsid w:val="00724794"/>
    <w:rsid w:val="0074174D"/>
    <w:rsid w:val="00756A15"/>
    <w:rsid w:val="007B3BBD"/>
    <w:rsid w:val="007B5CD7"/>
    <w:rsid w:val="007D5622"/>
    <w:rsid w:val="008009DF"/>
    <w:rsid w:val="0080654F"/>
    <w:rsid w:val="0081453E"/>
    <w:rsid w:val="00832480"/>
    <w:rsid w:val="0083350B"/>
    <w:rsid w:val="00833A7C"/>
    <w:rsid w:val="00835F10"/>
    <w:rsid w:val="0084366D"/>
    <w:rsid w:val="008531D2"/>
    <w:rsid w:val="00854F6E"/>
    <w:rsid w:val="0087340A"/>
    <w:rsid w:val="00895BEA"/>
    <w:rsid w:val="008A0FF4"/>
    <w:rsid w:val="008A3497"/>
    <w:rsid w:val="008A5AF6"/>
    <w:rsid w:val="008A5D98"/>
    <w:rsid w:val="008B69C6"/>
    <w:rsid w:val="008C0ABB"/>
    <w:rsid w:val="008C22A6"/>
    <w:rsid w:val="008C23CE"/>
    <w:rsid w:val="008D1889"/>
    <w:rsid w:val="008F2CA7"/>
    <w:rsid w:val="00917A54"/>
    <w:rsid w:val="009339AE"/>
    <w:rsid w:val="0094409B"/>
    <w:rsid w:val="00944119"/>
    <w:rsid w:val="009443F6"/>
    <w:rsid w:val="009659A3"/>
    <w:rsid w:val="00972E10"/>
    <w:rsid w:val="00973B12"/>
    <w:rsid w:val="009A7421"/>
    <w:rsid w:val="009D29B0"/>
    <w:rsid w:val="009D7B49"/>
    <w:rsid w:val="009E73FD"/>
    <w:rsid w:val="009F6B32"/>
    <w:rsid w:val="00A06F02"/>
    <w:rsid w:val="00A43553"/>
    <w:rsid w:val="00A62B41"/>
    <w:rsid w:val="00A8778B"/>
    <w:rsid w:val="00AA2BE0"/>
    <w:rsid w:val="00AB0B43"/>
    <w:rsid w:val="00AD1654"/>
    <w:rsid w:val="00B11A9D"/>
    <w:rsid w:val="00B22C22"/>
    <w:rsid w:val="00B6027C"/>
    <w:rsid w:val="00B62CB2"/>
    <w:rsid w:val="00B92EA8"/>
    <w:rsid w:val="00BA13E0"/>
    <w:rsid w:val="00BA29DB"/>
    <w:rsid w:val="00BA444C"/>
    <w:rsid w:val="00BC0F3D"/>
    <w:rsid w:val="00BC2570"/>
    <w:rsid w:val="00BE7C11"/>
    <w:rsid w:val="00BF04E2"/>
    <w:rsid w:val="00BF2499"/>
    <w:rsid w:val="00C04BB6"/>
    <w:rsid w:val="00C11645"/>
    <w:rsid w:val="00C26074"/>
    <w:rsid w:val="00C353D5"/>
    <w:rsid w:val="00C5014D"/>
    <w:rsid w:val="00C54BC5"/>
    <w:rsid w:val="00C83B0A"/>
    <w:rsid w:val="00CB0DDD"/>
    <w:rsid w:val="00CB4CFB"/>
    <w:rsid w:val="00CC3F7B"/>
    <w:rsid w:val="00CE1E0C"/>
    <w:rsid w:val="00CE277E"/>
    <w:rsid w:val="00D13907"/>
    <w:rsid w:val="00D15D3E"/>
    <w:rsid w:val="00D45E0D"/>
    <w:rsid w:val="00D56867"/>
    <w:rsid w:val="00D87581"/>
    <w:rsid w:val="00DB6E0E"/>
    <w:rsid w:val="00DE5A74"/>
    <w:rsid w:val="00DF135C"/>
    <w:rsid w:val="00E00067"/>
    <w:rsid w:val="00E02A7F"/>
    <w:rsid w:val="00E07880"/>
    <w:rsid w:val="00E82621"/>
    <w:rsid w:val="00E82AA9"/>
    <w:rsid w:val="00E8334E"/>
    <w:rsid w:val="00E85E2F"/>
    <w:rsid w:val="00ED5D1D"/>
    <w:rsid w:val="00EE2F85"/>
    <w:rsid w:val="00F23917"/>
    <w:rsid w:val="00F370D1"/>
    <w:rsid w:val="00F41F1B"/>
    <w:rsid w:val="00F45807"/>
    <w:rsid w:val="00F51B27"/>
    <w:rsid w:val="00F5233C"/>
    <w:rsid w:val="00F721D8"/>
    <w:rsid w:val="00F77C9A"/>
    <w:rsid w:val="00F9402A"/>
    <w:rsid w:val="00FB2570"/>
    <w:rsid w:val="00FB576C"/>
    <w:rsid w:val="00FD2AA6"/>
    <w:rsid w:val="00FD427B"/>
    <w:rsid w:val="00FE7E8A"/>
    <w:rsid w:val="00FF477D"/>
    <w:rsid w:val="06CF67A2"/>
    <w:rsid w:val="3D4907C2"/>
    <w:rsid w:val="3DE45DB9"/>
    <w:rsid w:val="4A9C6450"/>
    <w:rsid w:val="5B604182"/>
    <w:rsid w:val="6AA8383A"/>
    <w:rsid w:val="6C903771"/>
    <w:rsid w:val="703F72CE"/>
    <w:rsid w:val="737545CA"/>
    <w:rsid w:val="7B9F72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annotation reference"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40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87340A"/>
    <w:pPr>
      <w:jc w:val="left"/>
    </w:pPr>
  </w:style>
  <w:style w:type="paragraph" w:styleId="a4">
    <w:name w:val="Date"/>
    <w:basedOn w:val="a"/>
    <w:next w:val="a"/>
    <w:link w:val="Char0"/>
    <w:uiPriority w:val="99"/>
    <w:semiHidden/>
    <w:unhideWhenUsed/>
    <w:rsid w:val="0087340A"/>
    <w:pPr>
      <w:ind w:leftChars="2500" w:left="100"/>
    </w:pPr>
  </w:style>
  <w:style w:type="paragraph" w:styleId="a5">
    <w:name w:val="Balloon Text"/>
    <w:basedOn w:val="a"/>
    <w:link w:val="Char1"/>
    <w:uiPriority w:val="99"/>
    <w:semiHidden/>
    <w:unhideWhenUsed/>
    <w:qFormat/>
    <w:rsid w:val="0087340A"/>
    <w:rPr>
      <w:sz w:val="18"/>
      <w:szCs w:val="18"/>
    </w:rPr>
  </w:style>
  <w:style w:type="paragraph" w:styleId="a6">
    <w:name w:val="footer"/>
    <w:basedOn w:val="a"/>
    <w:link w:val="Char2"/>
    <w:uiPriority w:val="99"/>
    <w:unhideWhenUsed/>
    <w:rsid w:val="0087340A"/>
    <w:pPr>
      <w:tabs>
        <w:tab w:val="center" w:pos="4153"/>
        <w:tab w:val="right" w:pos="8306"/>
      </w:tabs>
      <w:snapToGrid w:val="0"/>
      <w:jc w:val="left"/>
    </w:pPr>
    <w:rPr>
      <w:sz w:val="18"/>
      <w:szCs w:val="18"/>
    </w:rPr>
  </w:style>
  <w:style w:type="paragraph" w:styleId="a7">
    <w:name w:val="header"/>
    <w:basedOn w:val="a"/>
    <w:link w:val="Char3"/>
    <w:uiPriority w:val="99"/>
    <w:unhideWhenUsed/>
    <w:rsid w:val="0087340A"/>
    <w:pPr>
      <w:pBdr>
        <w:bottom w:val="single" w:sz="6" w:space="1" w:color="auto"/>
      </w:pBdr>
      <w:tabs>
        <w:tab w:val="center" w:pos="4153"/>
        <w:tab w:val="right" w:pos="8306"/>
      </w:tabs>
      <w:snapToGrid w:val="0"/>
      <w:jc w:val="center"/>
    </w:pPr>
    <w:rPr>
      <w:sz w:val="18"/>
      <w:szCs w:val="18"/>
    </w:rPr>
  </w:style>
  <w:style w:type="character" w:styleId="a8">
    <w:name w:val="page number"/>
    <w:basedOn w:val="a0"/>
    <w:rsid w:val="0087340A"/>
  </w:style>
  <w:style w:type="character" w:styleId="a9">
    <w:name w:val="annotation reference"/>
    <w:uiPriority w:val="99"/>
    <w:semiHidden/>
    <w:unhideWhenUsed/>
    <w:qFormat/>
    <w:rsid w:val="0087340A"/>
    <w:rPr>
      <w:sz w:val="21"/>
      <w:szCs w:val="21"/>
    </w:rPr>
  </w:style>
  <w:style w:type="character" w:customStyle="1" w:styleId="Char2">
    <w:name w:val="页脚 Char"/>
    <w:link w:val="a6"/>
    <w:uiPriority w:val="99"/>
    <w:rsid w:val="0087340A"/>
    <w:rPr>
      <w:kern w:val="2"/>
      <w:sz w:val="18"/>
      <w:szCs w:val="18"/>
    </w:rPr>
  </w:style>
  <w:style w:type="character" w:customStyle="1" w:styleId="Char3">
    <w:name w:val="页眉 Char"/>
    <w:link w:val="a7"/>
    <w:uiPriority w:val="99"/>
    <w:semiHidden/>
    <w:qFormat/>
    <w:rsid w:val="0087340A"/>
    <w:rPr>
      <w:kern w:val="2"/>
      <w:sz w:val="18"/>
      <w:szCs w:val="18"/>
    </w:rPr>
  </w:style>
  <w:style w:type="paragraph" w:customStyle="1" w:styleId="1">
    <w:name w:val="列出段落1"/>
    <w:basedOn w:val="a"/>
    <w:uiPriority w:val="34"/>
    <w:qFormat/>
    <w:rsid w:val="0087340A"/>
    <w:pPr>
      <w:ind w:firstLineChars="200" w:firstLine="420"/>
    </w:pPr>
    <w:rPr>
      <w:rFonts w:ascii="Calibri" w:hAnsi="Calibri"/>
      <w:szCs w:val="22"/>
    </w:rPr>
  </w:style>
  <w:style w:type="character" w:customStyle="1" w:styleId="Char">
    <w:name w:val="批注文字 Char"/>
    <w:link w:val="a3"/>
    <w:uiPriority w:val="99"/>
    <w:semiHidden/>
    <w:rsid w:val="0087340A"/>
    <w:rPr>
      <w:kern w:val="2"/>
      <w:sz w:val="21"/>
      <w:szCs w:val="24"/>
    </w:rPr>
  </w:style>
  <w:style w:type="character" w:customStyle="1" w:styleId="Char1">
    <w:name w:val="批注框文本 Char"/>
    <w:link w:val="a5"/>
    <w:uiPriority w:val="99"/>
    <w:semiHidden/>
    <w:qFormat/>
    <w:rsid w:val="0087340A"/>
    <w:rPr>
      <w:kern w:val="2"/>
      <w:sz w:val="18"/>
      <w:szCs w:val="18"/>
    </w:rPr>
  </w:style>
  <w:style w:type="character" w:customStyle="1" w:styleId="Char0">
    <w:name w:val="日期 Char"/>
    <w:link w:val="a4"/>
    <w:uiPriority w:val="99"/>
    <w:semiHidden/>
    <w:rsid w:val="0087340A"/>
    <w:rPr>
      <w:kern w:val="2"/>
      <w:sz w:val="21"/>
      <w:szCs w:val="24"/>
    </w:rPr>
  </w:style>
  <w:style w:type="paragraph" w:customStyle="1" w:styleId="2">
    <w:name w:val="封面标准号2"/>
    <w:uiPriority w:val="99"/>
    <w:rsid w:val="0087340A"/>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段"/>
    <w:rsid w:val="0087340A"/>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564</Words>
  <Characters>3219</Characters>
  <Application>Microsoft Office Word</Application>
  <DocSecurity>0</DocSecurity>
  <Lines>26</Lines>
  <Paragraphs>7</Paragraphs>
  <ScaleCrop>false</ScaleCrop>
  <Company>Legend (Beijing) Limited</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cp:lastModifiedBy>
  <cp:revision>11</cp:revision>
  <cp:lastPrinted>2019-12-05T07:53:00Z</cp:lastPrinted>
  <dcterms:created xsi:type="dcterms:W3CDTF">2020-01-09T01:32:00Z</dcterms:created>
  <dcterms:modified xsi:type="dcterms:W3CDTF">2020-03-02T03:31:00Z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