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31" w:rsidRDefault="00521931" w:rsidP="00521931">
      <w:pPr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</w:p>
    <w:p w:rsidR="00521931" w:rsidRDefault="00521931" w:rsidP="00521931">
      <w:pPr>
        <w:snapToGrid w:val="0"/>
        <w:jc w:val="center"/>
        <w:rPr>
          <w:rFonts w:eastAsia="方正小标宋简体"/>
          <w:spacing w:val="-6"/>
          <w:sz w:val="44"/>
          <w:szCs w:val="36"/>
        </w:rPr>
      </w:pPr>
      <w:bookmarkStart w:id="0" w:name="_GoBack"/>
      <w:r>
        <w:rPr>
          <w:rFonts w:eastAsia="方正小标宋简体"/>
          <w:spacing w:val="-6"/>
          <w:sz w:val="44"/>
          <w:szCs w:val="36"/>
        </w:rPr>
        <w:t>2020</w:t>
      </w:r>
      <w:r>
        <w:rPr>
          <w:rFonts w:eastAsia="方正小标宋简体"/>
          <w:spacing w:val="-6"/>
          <w:sz w:val="44"/>
          <w:szCs w:val="36"/>
        </w:rPr>
        <w:t>年度全省社会化环境监测机构专项监督检查结果统计表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981"/>
        <w:gridCol w:w="4197"/>
        <w:gridCol w:w="1790"/>
        <w:gridCol w:w="1389"/>
        <w:gridCol w:w="2913"/>
        <w:gridCol w:w="1324"/>
      </w:tblGrid>
      <w:tr w:rsidR="00521931" w:rsidTr="0039722F">
        <w:trPr>
          <w:trHeight w:val="227"/>
          <w:tblHeader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检验机构名称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违规依据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检查结果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后处理意见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sz w:val="21"/>
                <w:szCs w:val="21"/>
              </w:rPr>
              <w:t>备注</w:t>
            </w: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四川省环境保护科学研究</w:t>
            </w:r>
            <w:proofErr w:type="gramStart"/>
            <w:r>
              <w:rPr>
                <w:color w:val="000000"/>
                <w:sz w:val="21"/>
                <w:szCs w:val="21"/>
              </w:rPr>
              <w:t>院分析</w:t>
            </w:r>
            <w:proofErr w:type="gramEnd"/>
            <w:r>
              <w:rPr>
                <w:color w:val="000000"/>
                <w:sz w:val="21"/>
                <w:szCs w:val="21"/>
              </w:rPr>
              <w:t>测试中心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通过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四川良测检测技术有限公司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通过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3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四川睿力环保科技有限公司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通过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四川中盛鸿测环境检测有限公司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第一、第二款、第六款；第四十三条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不通过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责令整改并由属地市场监督管理局处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万元以下罚款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整改期间</w:t>
            </w:r>
            <w:r>
              <w:rPr>
                <w:rFonts w:hint="eastAsia"/>
                <w:color w:val="000000"/>
                <w:sz w:val="21"/>
                <w:szCs w:val="21"/>
              </w:rPr>
              <w:t>不得向社会出具具有证明作用的检验检测数据、结果，</w:t>
            </w:r>
            <w:r>
              <w:rPr>
                <w:color w:val="000000"/>
                <w:sz w:val="21"/>
                <w:szCs w:val="21"/>
              </w:rPr>
              <w:t>逾期未改正或改正后仍不符合要求的撤销</w:t>
            </w:r>
            <w:r>
              <w:rPr>
                <w:rFonts w:hint="eastAsia"/>
                <w:color w:val="000000"/>
                <w:sz w:val="21"/>
                <w:szCs w:val="21"/>
              </w:rPr>
              <w:t>资质认定</w:t>
            </w:r>
            <w:r>
              <w:rPr>
                <w:color w:val="000000"/>
                <w:sz w:val="21"/>
                <w:szCs w:val="21"/>
              </w:rPr>
              <w:t>证书。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四川深度环境检测有限公司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第二款、第六款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成都酉辰环境检测有限公司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第一款、第四款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美科洁净</w:t>
            </w:r>
            <w:proofErr w:type="gramEnd"/>
            <w:r>
              <w:rPr>
                <w:color w:val="000000"/>
                <w:sz w:val="21"/>
                <w:szCs w:val="21"/>
              </w:rPr>
              <w:t>环境检测（成都）有限公司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第六款、第七款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四川瑞迪森检测技术有限公司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第三款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四川省中</w:t>
            </w:r>
            <w:proofErr w:type="gramStart"/>
            <w:r>
              <w:rPr>
                <w:color w:val="000000"/>
                <w:sz w:val="21"/>
                <w:szCs w:val="21"/>
              </w:rPr>
              <w:t>康环境</w:t>
            </w:r>
            <w:proofErr w:type="gramEnd"/>
            <w:r>
              <w:rPr>
                <w:color w:val="000000"/>
                <w:sz w:val="21"/>
                <w:szCs w:val="21"/>
              </w:rPr>
              <w:t>技术检测有限公司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第一款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四川铁环检环境检测有限公司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第二款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四川环华盛锦环境检测有限公司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第四款、第六款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四川省天</w:t>
            </w:r>
            <w:proofErr w:type="gramStart"/>
            <w:r>
              <w:rPr>
                <w:color w:val="000000"/>
                <w:sz w:val="21"/>
                <w:szCs w:val="21"/>
              </w:rPr>
              <w:t>晟</w:t>
            </w:r>
            <w:proofErr w:type="gramEnd"/>
            <w:r>
              <w:rPr>
                <w:color w:val="000000"/>
                <w:sz w:val="21"/>
                <w:szCs w:val="21"/>
              </w:rPr>
              <w:t>源环保股份有限公司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第一款、第二款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四川科盛新环境科技有限公司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第三款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</w:t>
            </w:r>
            <w:r>
              <w:rPr>
                <w:color w:val="000000"/>
                <w:sz w:val="21"/>
                <w:szCs w:val="21"/>
              </w:rPr>
              <w:lastRenderedPageBreak/>
              <w:t>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四川通测检测技术有限公司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第三款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四川宏</w:t>
            </w:r>
            <w:proofErr w:type="gramStart"/>
            <w:r>
              <w:rPr>
                <w:color w:val="000000"/>
                <w:sz w:val="21"/>
                <w:szCs w:val="21"/>
              </w:rPr>
              <w:t>睿</w:t>
            </w:r>
            <w:proofErr w:type="gramEnd"/>
            <w:r>
              <w:rPr>
                <w:color w:val="000000"/>
                <w:sz w:val="21"/>
                <w:szCs w:val="21"/>
              </w:rPr>
              <w:t>曦辰生态检测有限公司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简阳鸿杰环保科技有限公司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第一款、第四款、第七款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攀枝花市兴泰环保服务有限公司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第一款、第二款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四川省中</w:t>
            </w:r>
            <w:proofErr w:type="gramStart"/>
            <w:r>
              <w:rPr>
                <w:color w:val="000000"/>
                <w:sz w:val="21"/>
                <w:szCs w:val="21"/>
              </w:rPr>
              <w:t>晟</w:t>
            </w:r>
            <w:proofErr w:type="gramEnd"/>
            <w:r>
              <w:rPr>
                <w:color w:val="000000"/>
                <w:sz w:val="21"/>
                <w:szCs w:val="21"/>
              </w:rPr>
              <w:t>环保科技有限公司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有证据证明违反了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《检验检测机构资质认定管理办法》</w:t>
            </w:r>
          </w:p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第四十二条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第六款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改正后通过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责令一个月内改正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逾期未改正或改正后仍不符合要求的由属地市场监督管理局处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万元以下罚款。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四川净澜检测有限公司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检查前</w:t>
            </w:r>
            <w:r>
              <w:rPr>
                <w:color w:val="000000"/>
                <w:sz w:val="21"/>
                <w:szCs w:val="21"/>
              </w:rPr>
              <w:t>已</w:t>
            </w:r>
            <w:r>
              <w:rPr>
                <w:rFonts w:hint="eastAsia"/>
                <w:color w:val="000000"/>
                <w:sz w:val="21"/>
                <w:szCs w:val="21"/>
              </w:rPr>
              <w:t>自行</w:t>
            </w:r>
            <w:r>
              <w:rPr>
                <w:color w:val="000000"/>
                <w:sz w:val="21"/>
                <w:szCs w:val="21"/>
              </w:rPr>
              <w:t>注销</w:t>
            </w:r>
          </w:p>
        </w:tc>
      </w:tr>
      <w:tr w:rsidR="00521931" w:rsidTr="0039722F">
        <w:trPr>
          <w:trHeight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四川康桥环境监测有限公司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\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1931" w:rsidRDefault="00521931" w:rsidP="0039722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检查前</w:t>
            </w:r>
            <w:r>
              <w:rPr>
                <w:color w:val="000000"/>
                <w:sz w:val="21"/>
                <w:szCs w:val="21"/>
              </w:rPr>
              <w:t>已</w:t>
            </w:r>
            <w:r>
              <w:rPr>
                <w:rFonts w:hint="eastAsia"/>
                <w:color w:val="000000"/>
                <w:sz w:val="21"/>
                <w:szCs w:val="21"/>
              </w:rPr>
              <w:t>自行</w:t>
            </w:r>
            <w:r>
              <w:rPr>
                <w:color w:val="000000"/>
                <w:sz w:val="21"/>
                <w:szCs w:val="21"/>
              </w:rPr>
              <w:t>注销</w:t>
            </w:r>
          </w:p>
        </w:tc>
      </w:tr>
    </w:tbl>
    <w:p w:rsidR="00521931" w:rsidRDefault="00521931" w:rsidP="00521931">
      <w:pPr>
        <w:widowControl/>
        <w:spacing w:line="240" w:lineRule="exact"/>
        <w:jc w:val="center"/>
        <w:textAlignment w:val="center"/>
        <w:rPr>
          <w:rFonts w:eastAsia="宋体"/>
          <w:color w:val="000000"/>
          <w:sz w:val="20"/>
          <w:szCs w:val="20"/>
        </w:rPr>
      </w:pPr>
    </w:p>
    <w:p w:rsidR="00521931" w:rsidRDefault="00521931" w:rsidP="00521931">
      <w:pPr>
        <w:snapToGrid w:val="0"/>
        <w:jc w:val="left"/>
        <w:rPr>
          <w:rFonts w:eastAsia="方正小标宋简体"/>
          <w:sz w:val="44"/>
          <w:szCs w:val="36"/>
        </w:rPr>
      </w:pPr>
    </w:p>
    <w:p w:rsidR="00521931" w:rsidRDefault="00521931" w:rsidP="00521931"/>
    <w:p w:rsidR="00D4069B" w:rsidRDefault="00D4069B"/>
    <w:sectPr w:rsidR="00D4069B">
      <w:pgSz w:w="16840" w:h="11907" w:orient="landscape"/>
      <w:pgMar w:top="720" w:right="720" w:bottom="720" w:left="720" w:header="624" w:footer="1077" w:gutter="0"/>
      <w:cols w:space="720"/>
      <w:docGrid w:type="lines" w:linePitch="603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1"/>
    <w:rsid w:val="00521931"/>
    <w:rsid w:val="00D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1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521931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1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521931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2020-12-31T09:32:00Z</dcterms:created>
  <dcterms:modified xsi:type="dcterms:W3CDTF">2020-12-31T09:32:00Z</dcterms:modified>
</cp:coreProperties>
</file>