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33" w:rsidRPr="00B84722" w:rsidRDefault="00747906" w:rsidP="00B84722">
      <w:pPr>
        <w:adjustRightInd w:val="0"/>
        <w:snapToGrid w:val="0"/>
        <w:ind w:firstLineChars="50" w:firstLine="160"/>
        <w:jc w:val="center"/>
        <w:rPr>
          <w:rFonts w:ascii="黑体" w:eastAsia="黑体" w:hAnsi="仿宋" w:cs="方正小标宋简体" w:hint="eastAsia"/>
          <w:szCs w:val="32"/>
        </w:rPr>
      </w:pPr>
      <w:r w:rsidRPr="00B84722">
        <w:rPr>
          <w:rFonts w:ascii="黑体" w:eastAsia="黑体" w:hAnsi="仿宋" w:cs="方正小标宋简体" w:hint="eastAsia"/>
          <w:szCs w:val="32"/>
        </w:rPr>
        <w:t>四川省</w:t>
      </w:r>
      <w:r w:rsidR="00CE4CEF" w:rsidRPr="00B84722">
        <w:rPr>
          <w:rFonts w:ascii="黑体" w:eastAsia="黑体" w:hAnsi="仿宋" w:cs="方正小标宋简体" w:hint="eastAsia"/>
          <w:szCs w:val="32"/>
        </w:rPr>
        <w:t>铅酸蓄电池</w:t>
      </w:r>
      <w:r w:rsidRPr="00B84722">
        <w:rPr>
          <w:rFonts w:ascii="黑体" w:eastAsia="黑体" w:hAnsi="仿宋" w:cs="方正小标宋简体" w:hint="eastAsia"/>
          <w:szCs w:val="32"/>
        </w:rPr>
        <w:t>质量对标提升先进指标体系</w:t>
      </w:r>
    </w:p>
    <w:p w:rsidR="005F3533" w:rsidRPr="00923C8E" w:rsidRDefault="005F3533" w:rsidP="00923C8E">
      <w:pPr>
        <w:pStyle w:val="a7"/>
        <w:spacing w:line="560" w:lineRule="exact"/>
        <w:ind w:firstLine="640"/>
        <w:rPr>
          <w:rFonts w:ascii="方正仿宋简体" w:eastAsia="方正仿宋简体" w:hAnsi="仿宋"/>
          <w:sz w:val="32"/>
          <w:szCs w:val="32"/>
        </w:rPr>
      </w:pPr>
    </w:p>
    <w:p w:rsidR="005F3533" w:rsidRPr="00B84722" w:rsidRDefault="00747906" w:rsidP="00B84722">
      <w:pPr>
        <w:ind w:firstLineChars="0" w:firstLine="0"/>
        <w:rPr>
          <w:rFonts w:ascii="黑体" w:eastAsia="黑体" w:hint="eastAsia"/>
          <w:sz w:val="21"/>
          <w:szCs w:val="21"/>
        </w:rPr>
      </w:pPr>
      <w:r w:rsidRPr="00B84722">
        <w:rPr>
          <w:rFonts w:ascii="黑体" w:eastAsia="黑体" w:hint="eastAsia"/>
          <w:sz w:val="21"/>
          <w:szCs w:val="21"/>
        </w:rPr>
        <w:t>1</w:t>
      </w:r>
      <w:r w:rsidR="00923C8E" w:rsidRPr="00B84722">
        <w:rPr>
          <w:rFonts w:ascii="黑体" w:eastAsia="黑体" w:hint="eastAsia"/>
          <w:sz w:val="21"/>
          <w:szCs w:val="21"/>
        </w:rPr>
        <w:t xml:space="preserve"> </w:t>
      </w:r>
      <w:r w:rsidRPr="00B84722">
        <w:rPr>
          <w:rFonts w:ascii="黑体" w:eastAsia="黑体" w:hint="eastAsia"/>
          <w:sz w:val="21"/>
          <w:szCs w:val="21"/>
        </w:rPr>
        <w:t>范围</w:t>
      </w:r>
    </w:p>
    <w:p w:rsidR="005F3533" w:rsidRPr="00B84722" w:rsidRDefault="00747906" w:rsidP="00B84722">
      <w:pPr>
        <w:pStyle w:val="a"/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Chars="200" w:firstLine="420"/>
        <w:contextualSpacing/>
        <w:rPr>
          <w:rFonts w:asciiTheme="minorEastAsia" w:eastAsiaTheme="minorEastAsia" w:hAnsiTheme="minorEastAsia"/>
          <w:b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本体系的目的是建立四川省</w:t>
      </w:r>
      <w:r w:rsidR="00CE4CEF" w:rsidRPr="00B84722">
        <w:rPr>
          <w:rFonts w:asciiTheme="minorEastAsia" w:eastAsiaTheme="minorEastAsia" w:hAnsiTheme="minorEastAsia" w:hint="eastAsia"/>
          <w:szCs w:val="21"/>
        </w:rPr>
        <w:t>铅酸蓄电池</w:t>
      </w:r>
      <w:r w:rsidRPr="00B84722">
        <w:rPr>
          <w:rFonts w:asciiTheme="minorEastAsia" w:eastAsiaTheme="minorEastAsia" w:hAnsiTheme="minorEastAsia" w:hint="eastAsia"/>
          <w:szCs w:val="21"/>
        </w:rPr>
        <w:t>质量对标提升先进指标，确定</w:t>
      </w:r>
      <w:r w:rsidR="00CE4CEF" w:rsidRPr="00B84722">
        <w:rPr>
          <w:rFonts w:asciiTheme="minorEastAsia" w:eastAsiaTheme="minorEastAsia" w:hAnsiTheme="minorEastAsia" w:hint="eastAsia"/>
          <w:szCs w:val="21"/>
        </w:rPr>
        <w:t>铅酸蓄电池</w:t>
      </w:r>
      <w:r w:rsidRPr="00B84722">
        <w:rPr>
          <w:rFonts w:asciiTheme="minorEastAsia" w:eastAsiaTheme="minorEastAsia" w:hAnsiTheme="minorEastAsia" w:hint="eastAsia"/>
          <w:szCs w:val="21"/>
        </w:rPr>
        <w:t>产品质量对标提升的检验项目、先进指标值及检验方法等。</w:t>
      </w:r>
    </w:p>
    <w:p w:rsidR="005F3533" w:rsidRPr="00B84722" w:rsidRDefault="00747906" w:rsidP="00B84722">
      <w:pPr>
        <w:pStyle w:val="a"/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Chars="200" w:firstLine="420"/>
        <w:contextualSpacing/>
        <w:rPr>
          <w:rFonts w:asciiTheme="minorEastAsia" w:eastAsiaTheme="minorEastAsia" w:hAnsiTheme="minorEastAsia"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本体系适用于符合现行国内相关标准要求的</w:t>
      </w:r>
      <w:r w:rsidR="00CE4CEF" w:rsidRPr="00B84722">
        <w:rPr>
          <w:rFonts w:asciiTheme="minorEastAsia" w:eastAsiaTheme="minorEastAsia" w:hAnsiTheme="minorEastAsia" w:hint="eastAsia"/>
          <w:szCs w:val="21"/>
        </w:rPr>
        <w:t>铅酸蓄电池</w:t>
      </w:r>
      <w:r w:rsidRPr="00B84722">
        <w:rPr>
          <w:rFonts w:asciiTheme="minorEastAsia" w:eastAsiaTheme="minorEastAsia" w:hAnsiTheme="minorEastAsia" w:hint="eastAsia"/>
          <w:szCs w:val="21"/>
        </w:rPr>
        <w:t>的质量对标提升行动。</w:t>
      </w:r>
    </w:p>
    <w:p w:rsidR="005F3533" w:rsidRPr="00B84722" w:rsidRDefault="00747906" w:rsidP="00B84722">
      <w:pPr>
        <w:pStyle w:val="a"/>
        <w:numPr>
          <w:ilvl w:val="1"/>
          <w:numId w:val="0"/>
        </w:numPr>
        <w:adjustRightInd w:val="0"/>
        <w:snapToGrid w:val="0"/>
        <w:spacing w:beforeLines="0" w:afterLines="0" w:line="560" w:lineRule="exact"/>
        <w:ind w:left="718" w:hangingChars="342" w:hanging="718"/>
        <w:contextualSpacing/>
        <w:rPr>
          <w:rFonts w:hAnsiTheme="minorEastAsia" w:hint="eastAsia"/>
          <w:szCs w:val="21"/>
        </w:rPr>
      </w:pPr>
      <w:r w:rsidRPr="00B84722">
        <w:rPr>
          <w:rFonts w:hAnsiTheme="minorEastAsia" w:hint="eastAsia"/>
          <w:szCs w:val="21"/>
        </w:rPr>
        <w:t>2</w:t>
      </w:r>
      <w:r w:rsidR="00022627" w:rsidRPr="00B84722">
        <w:rPr>
          <w:rFonts w:hAnsiTheme="minorEastAsia" w:hint="eastAsia"/>
          <w:szCs w:val="21"/>
        </w:rPr>
        <w:t xml:space="preserve"> </w:t>
      </w:r>
      <w:r w:rsidRPr="00B84722">
        <w:rPr>
          <w:rFonts w:hAnsiTheme="minorEastAsia" w:hint="eastAsia"/>
          <w:szCs w:val="21"/>
        </w:rPr>
        <w:t>规范性引用文件</w:t>
      </w:r>
    </w:p>
    <w:p w:rsidR="00F8454C" w:rsidRPr="00B84722" w:rsidRDefault="00F8454C" w:rsidP="00B84722">
      <w:pPr>
        <w:pStyle w:val="a7"/>
        <w:spacing w:line="560" w:lineRule="exact"/>
        <w:ind w:firstLine="420"/>
        <w:rPr>
          <w:rFonts w:asciiTheme="minorEastAsia" w:eastAsiaTheme="minorEastAsia" w:hAnsiTheme="minorEastAsia"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GB/T 5008.1-2013</w:t>
      </w:r>
      <w:r w:rsidR="00C2754C">
        <w:rPr>
          <w:rFonts w:asciiTheme="minorEastAsia" w:eastAsiaTheme="minorEastAsia" w:hAnsiTheme="minorEastAsia" w:hint="eastAsia"/>
          <w:szCs w:val="21"/>
        </w:rPr>
        <w:t xml:space="preserve"> </w:t>
      </w:r>
      <w:r w:rsidRPr="00B84722">
        <w:rPr>
          <w:rFonts w:asciiTheme="minorEastAsia" w:eastAsiaTheme="minorEastAsia" w:hAnsiTheme="minorEastAsia" w:hint="eastAsia"/>
          <w:szCs w:val="21"/>
        </w:rPr>
        <w:t>起动用铅酸蓄电池 第1部分：技术条件和试验方法</w:t>
      </w:r>
    </w:p>
    <w:p w:rsidR="00F8454C" w:rsidRPr="00B84722" w:rsidRDefault="00F8454C" w:rsidP="00B84722">
      <w:pPr>
        <w:pStyle w:val="a7"/>
        <w:spacing w:line="560" w:lineRule="exact"/>
        <w:ind w:firstLine="420"/>
        <w:rPr>
          <w:rFonts w:asciiTheme="minorEastAsia" w:eastAsiaTheme="minorEastAsia" w:hAnsiTheme="minorEastAsia"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GB/T 5008.2-2013</w:t>
      </w:r>
      <w:r w:rsidR="00C2754C">
        <w:rPr>
          <w:rFonts w:asciiTheme="minorEastAsia" w:eastAsiaTheme="minorEastAsia" w:hAnsiTheme="minorEastAsia" w:hint="eastAsia"/>
          <w:szCs w:val="21"/>
        </w:rPr>
        <w:t xml:space="preserve"> </w:t>
      </w:r>
      <w:r w:rsidRPr="00B84722">
        <w:rPr>
          <w:rFonts w:asciiTheme="minorEastAsia" w:eastAsiaTheme="minorEastAsia" w:hAnsiTheme="minorEastAsia" w:hint="eastAsia"/>
          <w:szCs w:val="21"/>
        </w:rPr>
        <w:t>起动用铅酸蓄电池 第2部分：产品品种规格和端子尺寸、标记</w:t>
      </w:r>
    </w:p>
    <w:p w:rsidR="00F8454C" w:rsidRPr="00B84722" w:rsidRDefault="00F8454C" w:rsidP="00B84722">
      <w:pPr>
        <w:pStyle w:val="a7"/>
        <w:spacing w:line="560" w:lineRule="exact"/>
        <w:ind w:firstLine="420"/>
        <w:rPr>
          <w:rFonts w:asciiTheme="minorEastAsia" w:eastAsiaTheme="minorEastAsia" w:hAnsiTheme="minorEastAsia"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GB/T 23638-2009</w:t>
      </w:r>
      <w:r w:rsidR="00C2754C">
        <w:rPr>
          <w:rFonts w:asciiTheme="minorEastAsia" w:eastAsiaTheme="minorEastAsia" w:hAnsiTheme="minorEastAsia" w:hint="eastAsia"/>
          <w:szCs w:val="21"/>
        </w:rPr>
        <w:t xml:space="preserve"> </w:t>
      </w:r>
      <w:r w:rsidRPr="00B84722">
        <w:rPr>
          <w:rFonts w:asciiTheme="minorEastAsia" w:eastAsiaTheme="minorEastAsia" w:hAnsiTheme="minorEastAsia" w:hint="eastAsia"/>
          <w:szCs w:val="21"/>
        </w:rPr>
        <w:t>摩托车用铅酸蓄电池</w:t>
      </w:r>
    </w:p>
    <w:p w:rsidR="00CE4CEF" w:rsidRPr="00B84722" w:rsidRDefault="00CE4CEF" w:rsidP="00B84722">
      <w:pPr>
        <w:ind w:firstLine="42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GB/T 22199.1-2017</w:t>
      </w:r>
      <w:r w:rsidR="00C2754C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</w:t>
      </w: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电动助力车用阀控式铅酸蓄电池 第1部分：技术条件</w:t>
      </w:r>
    </w:p>
    <w:p w:rsidR="005F3533" w:rsidRPr="00B84722" w:rsidRDefault="00CE4CEF" w:rsidP="00B84722">
      <w:pPr>
        <w:pStyle w:val="a7"/>
        <w:spacing w:line="560" w:lineRule="exact"/>
        <w:ind w:firstLine="420"/>
        <w:rPr>
          <w:rFonts w:asciiTheme="minorEastAsia" w:eastAsiaTheme="minorEastAsia" w:hAnsiTheme="minorEastAsia"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GB/T 22199.2-2017 电动助力车用阀控式铅酸蓄电池第2部分: 产品品种和规格</w:t>
      </w:r>
    </w:p>
    <w:p w:rsidR="00CE4CEF" w:rsidRPr="00B84722" w:rsidRDefault="00CE4CEF" w:rsidP="00B84722">
      <w:pPr>
        <w:ind w:firstLineChars="150" w:firstLine="315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GB/T 32620.1-2016 电动道路车辆用铅酸蓄电池  第1部分：技术条件</w:t>
      </w:r>
    </w:p>
    <w:p w:rsidR="00CE4CEF" w:rsidRPr="00B84722" w:rsidRDefault="00CE4CEF" w:rsidP="00B84722">
      <w:pPr>
        <w:ind w:firstLine="42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GB/T 32620.2-2016 电动道路车辆用铅酸蓄电池  第2部分：产品品种和规格</w:t>
      </w:r>
    </w:p>
    <w:p w:rsidR="00CE4CEF" w:rsidRPr="00B84722" w:rsidRDefault="00CE4CEF" w:rsidP="00B84722">
      <w:pPr>
        <w:ind w:firstLine="42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GB/T 19638.1-2014 固定型阀控式铅酸蓄电池  第1部分：技术条件</w:t>
      </w:r>
    </w:p>
    <w:p w:rsidR="00CE4CEF" w:rsidRPr="00B84722" w:rsidRDefault="00CE4CEF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GB/T 19638.2-2014 固定型阀控式铅酸蓄电池  第2部分：产品品种和规格</w:t>
      </w:r>
    </w:p>
    <w:p w:rsidR="00CE4CEF" w:rsidRPr="00B84722" w:rsidRDefault="00CE4CEF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GB/T 22473-2008  储能用铅酸蓄电池</w:t>
      </w:r>
    </w:p>
    <w:p w:rsidR="00CE4CEF" w:rsidRPr="00B84722" w:rsidRDefault="00CE4CEF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GB/T 19639.1-2014  通用阀控式铅酸蓄电池  第1部分：技术条件</w:t>
      </w:r>
    </w:p>
    <w:p w:rsidR="00CE4CEF" w:rsidRPr="00B84722" w:rsidRDefault="00CE4CEF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GB/T 19639.2-2014通用阀控式铅酸蓄电池  第2部分 规格型号</w:t>
      </w:r>
    </w:p>
    <w:p w:rsidR="00F8454C" w:rsidRPr="00B84722" w:rsidRDefault="00F8454C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GB/T 32504-2016 民用铅酸蓄电池安全技术规范</w:t>
      </w:r>
    </w:p>
    <w:p w:rsidR="00DE0366" w:rsidRPr="00B84722" w:rsidRDefault="00A04C59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</w:t>
      </w:r>
      <w:r w:rsidR="00DE0366"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GB/T 2408-2008 塑料 燃烧性能的测定 水平法和垂直法</w:t>
      </w:r>
    </w:p>
    <w:p w:rsidR="00DE0366" w:rsidRPr="00B84722" w:rsidRDefault="00DE0366" w:rsidP="00923C8E">
      <w:pPr>
        <w:ind w:firstLineChars="0" w:firstLine="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GB/T 23754-2009 铅酸蓄电池槽</w:t>
      </w:r>
    </w:p>
    <w:p w:rsidR="00A04C59" w:rsidRPr="00B84722" w:rsidRDefault="00A04C59" w:rsidP="00B84722">
      <w:pPr>
        <w:ind w:firstLine="420"/>
        <w:textAlignment w:val="center"/>
        <w:rPr>
          <w:rFonts w:asciiTheme="minorEastAsia" w:eastAsiaTheme="minorEastAsia" w:hAnsiTheme="minor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YD/T 799-2010  通信用阀控式密封铅酸蓄电池</w:t>
      </w:r>
    </w:p>
    <w:p w:rsidR="00B84722" w:rsidRDefault="00894411" w:rsidP="00B84722">
      <w:pPr>
        <w:ind w:firstLineChars="0" w:firstLine="0"/>
        <w:textAlignment w:val="center"/>
        <w:rPr>
          <w:rFonts w:asciiTheme="minorEastAsia" w:eastAsiaTheme="minorEastAsia" w:hAnsiTheme="minorEastAsia" w:hint="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NB/T 42157-2018 铅炭铅酸蓄电池通用技术规范</w:t>
      </w:r>
    </w:p>
    <w:p w:rsidR="005F3533" w:rsidRPr="00B84722" w:rsidRDefault="00747906" w:rsidP="00B84722">
      <w:pPr>
        <w:ind w:firstLineChars="0" w:firstLine="0"/>
        <w:textAlignment w:val="center"/>
        <w:rPr>
          <w:rFonts w:asciiTheme="minorEastAsia" w:eastAsiaTheme="minorEastAsia" w:hAnsiTheme="minorEastAsia" w:hint="eastAsia"/>
          <w:kern w:val="0"/>
          <w:sz w:val="21"/>
          <w:szCs w:val="21"/>
        </w:rPr>
      </w:pPr>
      <w:r w:rsidRPr="00B84722">
        <w:rPr>
          <w:rFonts w:ascii="黑体" w:eastAsia="黑体" w:hint="eastAsia"/>
          <w:sz w:val="21"/>
          <w:szCs w:val="21"/>
        </w:rPr>
        <w:lastRenderedPageBreak/>
        <w:t>3</w:t>
      </w:r>
      <w:r w:rsidR="00923C8E" w:rsidRPr="00B84722">
        <w:rPr>
          <w:rFonts w:ascii="黑体" w:eastAsia="黑体" w:hint="eastAsia"/>
          <w:sz w:val="21"/>
          <w:szCs w:val="21"/>
        </w:rPr>
        <w:t xml:space="preserve"> </w:t>
      </w:r>
      <w:r w:rsidRPr="00B84722">
        <w:rPr>
          <w:rFonts w:ascii="黑体" w:eastAsia="黑体" w:hint="eastAsia"/>
          <w:sz w:val="21"/>
          <w:szCs w:val="21"/>
        </w:rPr>
        <w:t>先进指标体系</w:t>
      </w:r>
    </w:p>
    <w:p w:rsidR="005F3533" w:rsidRPr="00B84722" w:rsidRDefault="00AC3880" w:rsidP="00B84722">
      <w:pPr>
        <w:pStyle w:val="a"/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Chars="200" w:firstLine="420"/>
        <w:contextualSpacing/>
        <w:rPr>
          <w:rFonts w:asciiTheme="minorEastAsia" w:eastAsiaTheme="minorEastAsia" w:hAnsiTheme="minorEastAsia"/>
          <w:szCs w:val="21"/>
        </w:rPr>
      </w:pPr>
      <w:r w:rsidRPr="00B84722">
        <w:rPr>
          <w:rFonts w:asciiTheme="minorEastAsia" w:eastAsiaTheme="minorEastAsia" w:hAnsiTheme="minorEastAsia" w:hint="eastAsia"/>
          <w:szCs w:val="21"/>
        </w:rPr>
        <w:t>铅酸蓄电池</w:t>
      </w:r>
      <w:r w:rsidR="00747906" w:rsidRPr="00B84722">
        <w:rPr>
          <w:rFonts w:asciiTheme="minorEastAsia" w:eastAsiaTheme="minorEastAsia" w:hAnsiTheme="minorEastAsia" w:hint="eastAsia"/>
          <w:szCs w:val="21"/>
        </w:rPr>
        <w:t>应首先满足</w:t>
      </w:r>
      <w:r w:rsidRPr="00B84722">
        <w:rPr>
          <w:rFonts w:asciiTheme="minorEastAsia" w:eastAsiaTheme="minorEastAsia" w:hAnsiTheme="minorEastAsia" w:hint="eastAsia"/>
          <w:szCs w:val="21"/>
        </w:rPr>
        <w:t>对应产品标准</w:t>
      </w:r>
      <w:r w:rsidR="00747906" w:rsidRPr="00B84722">
        <w:rPr>
          <w:rFonts w:asciiTheme="minorEastAsia" w:eastAsiaTheme="minorEastAsia" w:hAnsiTheme="minorEastAsia" w:hint="eastAsia"/>
          <w:szCs w:val="21"/>
        </w:rPr>
        <w:t>的要求，其关键指标值应同时达到表1要求。</w:t>
      </w:r>
    </w:p>
    <w:p w:rsidR="005F3533" w:rsidRPr="00C2754C" w:rsidRDefault="00747906" w:rsidP="00923C8E">
      <w:pPr>
        <w:pStyle w:val="a"/>
        <w:numPr>
          <w:ilvl w:val="0"/>
          <w:numId w:val="0"/>
        </w:numPr>
        <w:adjustRightInd w:val="0"/>
        <w:snapToGrid w:val="0"/>
        <w:spacing w:beforeLines="0" w:afterLines="0" w:line="560" w:lineRule="exact"/>
        <w:contextualSpacing/>
        <w:jc w:val="center"/>
        <w:rPr>
          <w:rFonts w:hAnsiTheme="minorEastAsia" w:hint="eastAsia"/>
          <w:szCs w:val="21"/>
        </w:rPr>
      </w:pPr>
      <w:r w:rsidRPr="00C2754C">
        <w:rPr>
          <w:rFonts w:hAnsiTheme="minorEastAsia" w:hint="eastAsia"/>
          <w:szCs w:val="21"/>
        </w:rPr>
        <w:t>表1　先进指标要求</w:t>
      </w:r>
    </w:p>
    <w:tbl>
      <w:tblPr>
        <w:tblW w:w="8413" w:type="dxa"/>
        <w:jc w:val="center"/>
        <w:tblInd w:w="-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7"/>
        <w:gridCol w:w="3285"/>
        <w:gridCol w:w="4121"/>
      </w:tblGrid>
      <w:tr w:rsidR="005F3533" w:rsidRPr="00B84722" w:rsidTr="00B84722">
        <w:trPr>
          <w:trHeight w:val="567"/>
          <w:jc w:val="center"/>
        </w:trPr>
        <w:tc>
          <w:tcPr>
            <w:tcW w:w="1007" w:type="dxa"/>
            <w:vAlign w:val="center"/>
          </w:tcPr>
          <w:p w:rsidR="005F3533" w:rsidRPr="002B7125" w:rsidRDefault="00747906" w:rsidP="00B84722">
            <w:pPr>
              <w:pStyle w:val="a7"/>
              <w:spacing w:line="400" w:lineRule="exact"/>
              <w:ind w:firstLineChars="0" w:firstLine="0"/>
              <w:jc w:val="center"/>
              <w:rPr>
                <w:rFonts w:ascii="黑体" w:eastAsia="黑体" w:hAnsiTheme="minorEastAsia" w:hint="eastAsia"/>
                <w:szCs w:val="21"/>
              </w:rPr>
            </w:pPr>
            <w:r w:rsidRPr="002B7125">
              <w:rPr>
                <w:rFonts w:ascii="黑体" w:eastAsia="黑体" w:hAnsiTheme="minorEastAsia" w:hint="eastAsia"/>
                <w:szCs w:val="21"/>
              </w:rPr>
              <w:t>序号</w:t>
            </w:r>
          </w:p>
        </w:tc>
        <w:tc>
          <w:tcPr>
            <w:tcW w:w="3285" w:type="dxa"/>
            <w:vAlign w:val="center"/>
          </w:tcPr>
          <w:p w:rsidR="005F3533" w:rsidRPr="002B7125" w:rsidRDefault="00747906" w:rsidP="002B7125">
            <w:pPr>
              <w:pStyle w:val="a7"/>
              <w:spacing w:line="400" w:lineRule="exact"/>
              <w:ind w:firstLine="420"/>
              <w:jc w:val="center"/>
              <w:rPr>
                <w:rFonts w:ascii="黑体" w:eastAsia="黑体" w:hAnsiTheme="minorEastAsia" w:hint="eastAsia"/>
                <w:szCs w:val="21"/>
              </w:rPr>
            </w:pPr>
            <w:r w:rsidRPr="002B7125">
              <w:rPr>
                <w:rFonts w:ascii="黑体" w:eastAsia="黑体" w:hAnsiTheme="minorEastAsia" w:hint="eastAsia"/>
                <w:szCs w:val="21"/>
              </w:rPr>
              <w:t>检验项目</w:t>
            </w:r>
          </w:p>
        </w:tc>
        <w:tc>
          <w:tcPr>
            <w:tcW w:w="4121" w:type="dxa"/>
            <w:vAlign w:val="center"/>
          </w:tcPr>
          <w:p w:rsidR="005F3533" w:rsidRPr="002B7125" w:rsidRDefault="00747906" w:rsidP="002B7125">
            <w:pPr>
              <w:pStyle w:val="a7"/>
              <w:spacing w:line="400" w:lineRule="exact"/>
              <w:ind w:firstLine="420"/>
              <w:jc w:val="center"/>
              <w:rPr>
                <w:rFonts w:ascii="黑体" w:eastAsia="黑体" w:hAnsiTheme="minorEastAsia" w:hint="eastAsia"/>
                <w:szCs w:val="21"/>
              </w:rPr>
            </w:pPr>
            <w:r w:rsidRPr="002B7125">
              <w:rPr>
                <w:rFonts w:ascii="黑体" w:eastAsia="黑体" w:hAnsiTheme="minorEastAsia" w:hint="eastAsia"/>
                <w:szCs w:val="21"/>
              </w:rPr>
              <w:t>先进指标值</w:t>
            </w:r>
          </w:p>
        </w:tc>
      </w:tr>
      <w:tr w:rsidR="00D62A03" w:rsidRPr="00B84722" w:rsidTr="00B84722">
        <w:trPr>
          <w:trHeight w:val="567"/>
          <w:jc w:val="center"/>
        </w:trPr>
        <w:tc>
          <w:tcPr>
            <w:tcW w:w="1007" w:type="dxa"/>
            <w:vAlign w:val="center"/>
          </w:tcPr>
          <w:p w:rsidR="00D62A03" w:rsidRPr="00B84722" w:rsidRDefault="00D62A03" w:rsidP="00B84722">
            <w:pPr>
              <w:pStyle w:val="a7"/>
              <w:spacing w:line="400" w:lineRule="exact"/>
              <w:ind w:firstLineChars="111" w:firstLine="233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3285" w:type="dxa"/>
            <w:vAlign w:val="center"/>
          </w:tcPr>
          <w:p w:rsidR="00D62A03" w:rsidRPr="00B84722" w:rsidRDefault="00D62A03" w:rsidP="00B84722">
            <w:pPr>
              <w:widowControl/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容量一致性</w:t>
            </w:r>
          </w:p>
        </w:tc>
        <w:tc>
          <w:tcPr>
            <w:tcW w:w="4121" w:type="dxa"/>
            <w:vAlign w:val="center"/>
          </w:tcPr>
          <w:p w:rsidR="00D62A03" w:rsidRPr="00B84722" w:rsidRDefault="00D62A03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容量△U</w:t>
            </w:r>
            <w:r w:rsidRPr="00B84722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≦</w:t>
            </w: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5%</w:t>
            </w:r>
          </w:p>
        </w:tc>
      </w:tr>
      <w:tr w:rsidR="00D62A03" w:rsidRPr="00B84722" w:rsidTr="00B84722">
        <w:trPr>
          <w:trHeight w:val="567"/>
          <w:jc w:val="center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pStyle w:val="a7"/>
              <w:spacing w:line="400" w:lineRule="exact"/>
              <w:ind w:firstLineChars="111" w:firstLine="233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端电压均衡性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开路端电压最大最小差值△U</w:t>
            </w:r>
            <w:r w:rsidRPr="00B84722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≦</w:t>
            </w:r>
            <w:r w:rsidR="00A04C59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2</w:t>
            </w: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0mV（2V）</w:t>
            </w:r>
            <w:r w:rsidR="00A04C59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、△U</w:t>
            </w:r>
            <w:r w:rsidR="00A04C59" w:rsidRPr="00B84722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≦</w:t>
            </w:r>
            <w:r w:rsidR="00A04C59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50mV（6V）、△U</w:t>
            </w:r>
            <w:r w:rsidR="00A04C59" w:rsidRPr="00B84722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≦</w:t>
            </w:r>
            <w:r w:rsidR="00A04C59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100mV（12V）</w:t>
            </w:r>
          </w:p>
        </w:tc>
      </w:tr>
      <w:tr w:rsidR="00D62A03" w:rsidRPr="00B84722" w:rsidTr="00B84722">
        <w:trPr>
          <w:trHeight w:val="567"/>
          <w:jc w:val="center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pStyle w:val="a7"/>
              <w:spacing w:line="400" w:lineRule="exact"/>
              <w:ind w:firstLineChars="111" w:firstLine="233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蓄电池内阻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autoSpaceDE w:val="0"/>
              <w:autoSpaceDN w:val="0"/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内阻不超过15%</w:t>
            </w:r>
          </w:p>
        </w:tc>
      </w:tr>
      <w:tr w:rsidR="00D62A03" w:rsidRPr="00B84722" w:rsidTr="00B84722">
        <w:trPr>
          <w:trHeight w:val="567"/>
          <w:jc w:val="center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D62A03" w:rsidP="00B84722">
            <w:pPr>
              <w:pStyle w:val="a7"/>
              <w:spacing w:line="400" w:lineRule="exact"/>
              <w:ind w:firstLineChars="111" w:firstLine="233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A10CD0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-10℃低温容量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A03" w:rsidRPr="00B84722" w:rsidRDefault="00F26338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不低于0.80C</w:t>
            </w:r>
            <w:r w:rsidR="00747464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e</w:t>
            </w:r>
          </w:p>
        </w:tc>
      </w:tr>
      <w:tr w:rsidR="007C1D3A" w:rsidRPr="00B84722" w:rsidTr="00B84722">
        <w:trPr>
          <w:trHeight w:val="567"/>
          <w:jc w:val="center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D3A" w:rsidRPr="00B84722" w:rsidRDefault="007C1D3A" w:rsidP="00B84722">
            <w:pPr>
              <w:pStyle w:val="a7"/>
              <w:spacing w:line="400" w:lineRule="exact"/>
              <w:ind w:firstLineChars="111" w:firstLine="233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D3A" w:rsidRPr="00B84722" w:rsidRDefault="007C1D3A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蓄电池槽</w:t>
            </w:r>
            <w:r w:rsidR="002C5490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盖</w:t>
            </w: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阻燃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D3A" w:rsidRPr="00B84722" w:rsidRDefault="007C1D3A" w:rsidP="00B84722">
            <w:pPr>
              <w:spacing w:line="40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水平分级达到HB级</w:t>
            </w:r>
          </w:p>
        </w:tc>
      </w:tr>
    </w:tbl>
    <w:p w:rsidR="00B84722" w:rsidRDefault="00F26338" w:rsidP="00B84722">
      <w:pPr>
        <w:adjustRightInd w:val="0"/>
        <w:snapToGrid w:val="0"/>
        <w:ind w:firstLine="420"/>
        <w:contextualSpacing/>
        <w:rPr>
          <w:rFonts w:asciiTheme="minorEastAsia" w:eastAsiaTheme="minorEastAsia" w:hAnsiTheme="minorEastAsia" w:hint="eastAsia"/>
          <w:kern w:val="0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备注：</w:t>
      </w:r>
      <w:proofErr w:type="spellStart"/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C</w:t>
      </w:r>
      <w:r w:rsidR="00747464"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e</w:t>
      </w:r>
      <w:proofErr w:type="spellEnd"/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为蓄电池的</w:t>
      </w:r>
      <w:r w:rsidR="00A14E31"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25℃常温</w:t>
      </w:r>
      <w:r w:rsidRPr="00B84722">
        <w:rPr>
          <w:rFonts w:asciiTheme="minorEastAsia" w:eastAsiaTheme="minorEastAsia" w:hAnsiTheme="minorEastAsia" w:hint="eastAsia"/>
          <w:kern w:val="0"/>
          <w:sz w:val="21"/>
          <w:szCs w:val="21"/>
        </w:rPr>
        <w:t>实际容量</w:t>
      </w:r>
    </w:p>
    <w:p w:rsidR="005F3533" w:rsidRPr="00B84722" w:rsidRDefault="00747906" w:rsidP="00B84722">
      <w:pPr>
        <w:adjustRightInd w:val="0"/>
        <w:snapToGrid w:val="0"/>
        <w:ind w:firstLineChars="0" w:firstLine="0"/>
        <w:contextualSpacing/>
        <w:rPr>
          <w:rFonts w:asciiTheme="minorEastAsia" w:eastAsiaTheme="minorEastAsia" w:hAnsiTheme="minorEastAsia" w:hint="eastAsia"/>
          <w:kern w:val="0"/>
          <w:sz w:val="21"/>
          <w:szCs w:val="21"/>
        </w:rPr>
      </w:pPr>
      <w:r w:rsidRPr="00B84722">
        <w:rPr>
          <w:rFonts w:ascii="黑体" w:eastAsia="黑体" w:hAnsiTheme="minorEastAsia" w:hint="eastAsia"/>
          <w:sz w:val="21"/>
          <w:szCs w:val="21"/>
        </w:rPr>
        <w:t>4 检验方法</w:t>
      </w:r>
    </w:p>
    <w:p w:rsidR="005F3533" w:rsidRPr="00B84722" w:rsidRDefault="00747906" w:rsidP="00B84722">
      <w:pPr>
        <w:adjustRightInd w:val="0"/>
        <w:snapToGrid w:val="0"/>
        <w:ind w:firstLine="420"/>
        <w:contextualSpacing/>
        <w:rPr>
          <w:rFonts w:asciiTheme="minorEastAsia" w:eastAsiaTheme="minorEastAsia" w:hAnsiTheme="minorEastAsia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sz w:val="21"/>
          <w:szCs w:val="21"/>
        </w:rPr>
        <w:t>检验方法按表2的规定执行。</w:t>
      </w:r>
    </w:p>
    <w:p w:rsidR="005F3533" w:rsidRPr="00C2754C" w:rsidRDefault="00747906" w:rsidP="00B84722">
      <w:pPr>
        <w:ind w:left="360" w:firstLine="420"/>
        <w:contextualSpacing/>
        <w:rPr>
          <w:rFonts w:ascii="黑体" w:eastAsia="黑体" w:hAnsiTheme="minorEastAsia" w:hint="eastAsia"/>
          <w:sz w:val="21"/>
          <w:szCs w:val="21"/>
        </w:rPr>
      </w:pPr>
      <w:r w:rsidRPr="00B84722">
        <w:rPr>
          <w:rFonts w:asciiTheme="minorEastAsia" w:eastAsiaTheme="minorEastAsia" w:hAnsiTheme="minorEastAsia" w:hint="eastAsia"/>
          <w:sz w:val="21"/>
          <w:szCs w:val="21"/>
        </w:rPr>
        <w:t xml:space="preserve">                 </w:t>
      </w:r>
      <w:r w:rsidRPr="00C2754C">
        <w:rPr>
          <w:rFonts w:ascii="黑体" w:eastAsia="黑体" w:hAnsiTheme="minorEastAsia" w:hint="eastAsia"/>
          <w:sz w:val="21"/>
          <w:szCs w:val="21"/>
        </w:rPr>
        <w:t xml:space="preserve">     表2  检验方法</w:t>
      </w:r>
    </w:p>
    <w:tbl>
      <w:tblPr>
        <w:tblW w:w="8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1935"/>
        <w:gridCol w:w="5703"/>
      </w:tblGrid>
      <w:tr w:rsidR="005F3533" w:rsidRPr="00B84722" w:rsidTr="00AC3ABC">
        <w:trPr>
          <w:trHeight w:val="567"/>
          <w:jc w:val="center"/>
        </w:trPr>
        <w:tc>
          <w:tcPr>
            <w:tcW w:w="850" w:type="dxa"/>
            <w:vAlign w:val="center"/>
          </w:tcPr>
          <w:p w:rsidR="005F3533" w:rsidRPr="002B7125" w:rsidRDefault="00747906" w:rsidP="00B84722">
            <w:pPr>
              <w:pStyle w:val="a7"/>
              <w:spacing w:line="320" w:lineRule="exact"/>
              <w:ind w:leftChars="-57" w:left="-94" w:hangingChars="42" w:hanging="88"/>
              <w:jc w:val="center"/>
              <w:rPr>
                <w:rFonts w:ascii="黑体" w:eastAsia="黑体" w:hAnsiTheme="minorEastAsia" w:hint="eastAsia"/>
                <w:szCs w:val="21"/>
              </w:rPr>
            </w:pPr>
            <w:r w:rsidRPr="002B7125">
              <w:rPr>
                <w:rFonts w:ascii="黑体" w:eastAsia="黑体" w:hAnsiTheme="minorEastAsia" w:hint="eastAsia"/>
                <w:szCs w:val="21"/>
              </w:rPr>
              <w:t>序号</w:t>
            </w:r>
          </w:p>
        </w:tc>
        <w:tc>
          <w:tcPr>
            <w:tcW w:w="1935" w:type="dxa"/>
            <w:vAlign w:val="center"/>
          </w:tcPr>
          <w:p w:rsidR="005F3533" w:rsidRPr="002B7125" w:rsidRDefault="00747906" w:rsidP="00B84722">
            <w:pPr>
              <w:pStyle w:val="a7"/>
              <w:spacing w:line="320" w:lineRule="exact"/>
              <w:ind w:firstLineChars="0" w:firstLine="0"/>
              <w:jc w:val="center"/>
              <w:rPr>
                <w:rFonts w:ascii="黑体" w:eastAsia="黑体" w:hAnsiTheme="minorEastAsia" w:hint="eastAsia"/>
                <w:szCs w:val="21"/>
              </w:rPr>
            </w:pPr>
            <w:r w:rsidRPr="002B7125">
              <w:rPr>
                <w:rFonts w:ascii="黑体" w:eastAsia="黑体" w:hAnsiTheme="minorEastAsia" w:hint="eastAsia"/>
                <w:szCs w:val="21"/>
              </w:rPr>
              <w:t>检验项目</w:t>
            </w:r>
          </w:p>
        </w:tc>
        <w:tc>
          <w:tcPr>
            <w:tcW w:w="5703" w:type="dxa"/>
            <w:vAlign w:val="center"/>
          </w:tcPr>
          <w:p w:rsidR="005F3533" w:rsidRPr="002B7125" w:rsidRDefault="00747906" w:rsidP="00B84722">
            <w:pPr>
              <w:pStyle w:val="a7"/>
              <w:spacing w:line="320" w:lineRule="exact"/>
              <w:ind w:firstLine="420"/>
              <w:jc w:val="center"/>
              <w:rPr>
                <w:rFonts w:ascii="黑体" w:eastAsia="黑体" w:hAnsiTheme="minorEastAsia" w:hint="eastAsia"/>
                <w:szCs w:val="21"/>
              </w:rPr>
            </w:pPr>
            <w:r w:rsidRPr="002B7125">
              <w:rPr>
                <w:rFonts w:ascii="黑体" w:eastAsia="黑体" w:hAnsiTheme="minorEastAsia" w:hint="eastAsia"/>
                <w:szCs w:val="21"/>
              </w:rPr>
              <w:t>检验方法</w:t>
            </w:r>
          </w:p>
        </w:tc>
      </w:tr>
      <w:tr w:rsidR="00747464" w:rsidRPr="00B84722" w:rsidTr="00B84722">
        <w:trPr>
          <w:trHeight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pStyle w:val="a7"/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 w:val="21"/>
                <w:szCs w:val="21"/>
              </w:rPr>
              <w:t>容量一致性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AC3ABC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汽车起动</w:t>
            </w:r>
            <w:r w:rsidR="00CC673F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用铅酸</w:t>
            </w: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电池：</w:t>
            </w:r>
            <w:r w:rsidR="00747464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5008.1-2013</w:t>
            </w:r>
          </w:p>
          <w:p w:rsidR="00747464" w:rsidRPr="00B84722" w:rsidRDefault="00AC3ABC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摩托车</w:t>
            </w:r>
            <w:r w:rsidR="00CC673F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用铅酸蓄</w:t>
            </w: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电池：</w:t>
            </w:r>
            <w:r w:rsidR="00747464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23638-2009</w:t>
            </w:r>
          </w:p>
          <w:p w:rsidR="00747464" w:rsidRPr="00B84722" w:rsidRDefault="00CC673F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电动助力车用阀控式铅酸蓄电</w:t>
            </w:r>
            <w:r w:rsidR="00AC3ABC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池：</w:t>
            </w:r>
            <w:r w:rsidR="00747464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22199.1-2017</w:t>
            </w:r>
          </w:p>
          <w:p w:rsidR="00BD430E" w:rsidRPr="00B84722" w:rsidRDefault="00CC673F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电动道路车辆用铅酸蓄电池：</w:t>
            </w:r>
            <w:r w:rsidR="00BD430E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32620.1-2016</w:t>
            </w:r>
          </w:p>
          <w:p w:rsidR="00BD430E" w:rsidRPr="00B84722" w:rsidRDefault="00CC673F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固定型阀控式铅酸蓄电池：</w:t>
            </w:r>
            <w:r w:rsidR="00BD430E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19638.1-2014</w:t>
            </w:r>
          </w:p>
          <w:p w:rsidR="00BD430E" w:rsidRPr="00B84722" w:rsidRDefault="00CC673F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储能用铅酸蓄电池：</w:t>
            </w:r>
            <w:r w:rsidR="00BD430E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22473-2008</w:t>
            </w:r>
          </w:p>
          <w:p w:rsidR="00BD430E" w:rsidRPr="00B84722" w:rsidRDefault="00CC673F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通用阀控式铅酸蓄电池：</w:t>
            </w:r>
            <w:r w:rsidR="00BD430E"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19639.1-2014</w:t>
            </w:r>
          </w:p>
        </w:tc>
      </w:tr>
      <w:tr w:rsidR="00747464" w:rsidRPr="00B84722" w:rsidTr="00B84722">
        <w:trPr>
          <w:trHeight w:val="592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pStyle w:val="a7"/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 w:val="21"/>
                <w:szCs w:val="21"/>
              </w:rPr>
              <w:t>端电压均衡性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BD430E" w:rsidP="00B84722">
            <w:pPr>
              <w:pStyle w:val="a7"/>
              <w:spacing w:line="320" w:lineRule="exact"/>
              <w:ind w:firstLineChars="11" w:firstLine="2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GB/T 19638.1-2014</w:t>
            </w:r>
          </w:p>
        </w:tc>
      </w:tr>
      <w:tr w:rsidR="00747464" w:rsidRPr="00B84722" w:rsidTr="00B84722">
        <w:trPr>
          <w:trHeight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pStyle w:val="a7"/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 w:val="21"/>
                <w:szCs w:val="21"/>
              </w:rPr>
              <w:t>蓄电池内阻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2C5490" w:rsidP="00B84722">
            <w:pPr>
              <w:pStyle w:val="a7"/>
              <w:spacing w:line="320" w:lineRule="exact"/>
              <w:ind w:firstLineChars="11" w:firstLine="2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YD/T 799-2010</w:t>
            </w:r>
          </w:p>
        </w:tc>
      </w:tr>
      <w:tr w:rsidR="00747464" w:rsidRPr="00B84722" w:rsidTr="00B84722">
        <w:trPr>
          <w:trHeight w:val="552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pStyle w:val="a7"/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747464" w:rsidP="00B84722">
            <w:pPr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 w:val="21"/>
                <w:szCs w:val="21"/>
              </w:rPr>
              <w:t>-10℃低温容量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64" w:rsidRPr="00B84722" w:rsidRDefault="00BD430E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22199.1-2017</w:t>
            </w:r>
          </w:p>
        </w:tc>
      </w:tr>
      <w:tr w:rsidR="007C1D3A" w:rsidRPr="00B84722" w:rsidTr="00B84722">
        <w:trPr>
          <w:trHeight w:val="546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D3A" w:rsidRPr="00B84722" w:rsidRDefault="007C1D3A" w:rsidP="00B84722">
            <w:pPr>
              <w:pStyle w:val="a7"/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D3A" w:rsidRPr="00B84722" w:rsidRDefault="007C1D3A" w:rsidP="00B84722">
            <w:pPr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sz w:val="21"/>
                <w:szCs w:val="21"/>
              </w:rPr>
              <w:t>蓄电池槽阻燃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D3A" w:rsidRPr="00B84722" w:rsidRDefault="007C1D3A" w:rsidP="00B84722">
            <w:pPr>
              <w:widowControl/>
              <w:spacing w:line="320" w:lineRule="exact"/>
              <w:ind w:firstLine="42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472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GB/T 2408-2008</w:t>
            </w:r>
          </w:p>
        </w:tc>
      </w:tr>
    </w:tbl>
    <w:p w:rsidR="005F3533" w:rsidRPr="00B84722" w:rsidRDefault="005F3533" w:rsidP="00B84722">
      <w:pPr>
        <w:adjustRightInd w:val="0"/>
        <w:snapToGrid w:val="0"/>
        <w:spacing w:line="520" w:lineRule="exact"/>
        <w:ind w:firstLineChars="0" w:firstLine="0"/>
        <w:rPr>
          <w:rFonts w:asciiTheme="minorEastAsia" w:eastAsiaTheme="minorEastAsia" w:hAnsiTheme="minorEastAsia" w:cs="方正小标宋简体"/>
          <w:bCs/>
          <w:sz w:val="21"/>
          <w:szCs w:val="21"/>
        </w:rPr>
      </w:pPr>
    </w:p>
    <w:sectPr w:rsidR="005F3533" w:rsidRPr="00B84722" w:rsidSect="00D51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413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38D" w:rsidRDefault="000A338D" w:rsidP="005F3533">
      <w:pPr>
        <w:ind w:firstLine="640"/>
      </w:pPr>
      <w:r>
        <w:separator/>
      </w:r>
    </w:p>
  </w:endnote>
  <w:endnote w:type="continuationSeparator" w:id="0">
    <w:p w:rsidR="000A338D" w:rsidRDefault="000A338D" w:rsidP="005F3533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1671853"/>
      <w:docPartObj>
        <w:docPartGallery w:val="Page Numbers (Bottom of Page)"/>
        <w:docPartUnique/>
      </w:docPartObj>
    </w:sdtPr>
    <w:sdtContent>
      <w:p w:rsidR="00923C8E" w:rsidRDefault="00E24063">
        <w:pPr>
          <w:pStyle w:val="a4"/>
          <w:ind w:firstLine="360"/>
        </w:pPr>
        <w:r>
          <w:fldChar w:fldCharType="begin"/>
        </w:r>
        <w:r w:rsidR="00923C8E">
          <w:instrText>PAGE   \* MERGEFORMAT</w:instrText>
        </w:r>
        <w:r>
          <w:fldChar w:fldCharType="separate"/>
        </w:r>
        <w:r w:rsidR="002B7125" w:rsidRPr="002B7125">
          <w:rPr>
            <w:noProof/>
            <w:lang w:val="zh-CN"/>
          </w:rPr>
          <w:t>-</w:t>
        </w:r>
        <w:r w:rsidR="002B7125">
          <w:rPr>
            <w:noProof/>
          </w:rPr>
          <w:t xml:space="preserve"> 2 -</w:t>
        </w:r>
        <w:r>
          <w:fldChar w:fldCharType="end"/>
        </w:r>
      </w:p>
    </w:sdtContent>
  </w:sdt>
  <w:p w:rsidR="00923C8E" w:rsidRDefault="00923C8E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533" w:rsidRDefault="00E24063" w:rsidP="00923C8E">
    <w:pPr>
      <w:pStyle w:val="a4"/>
      <w:spacing w:after="240" w:line="720" w:lineRule="auto"/>
      <w:ind w:right="180" w:firstLine="360"/>
      <w:jc w:val="right"/>
    </w:pPr>
    <w:r>
      <w:rPr>
        <w:rFonts w:hint="eastAsia"/>
      </w:rPr>
      <w:fldChar w:fldCharType="begin"/>
    </w:r>
    <w:r w:rsidR="00747906"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 w:rsidR="002B7125">
      <w:rPr>
        <w:noProof/>
      </w:rPr>
      <w:t>- 1 -</w:t>
    </w:r>
    <w:r>
      <w:rPr>
        <w:rFonts w:hint="eastAsi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C8E" w:rsidRDefault="00923C8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38D" w:rsidRDefault="000A338D" w:rsidP="005F3533">
      <w:pPr>
        <w:ind w:firstLine="640"/>
      </w:pPr>
      <w:r>
        <w:separator/>
      </w:r>
    </w:p>
  </w:footnote>
  <w:footnote w:type="continuationSeparator" w:id="0">
    <w:p w:rsidR="000A338D" w:rsidRDefault="000A338D" w:rsidP="005F3533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C8E" w:rsidRDefault="00923C8E" w:rsidP="00D51157">
    <w:pPr>
      <w:pStyle w:val="a5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C8E" w:rsidRDefault="00923C8E" w:rsidP="00D51157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C8E" w:rsidRDefault="00923C8E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3053A"/>
    <w:multiLevelType w:val="multilevel"/>
    <w:tmpl w:val="22F3053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5D79"/>
    <w:rsid w:val="00022627"/>
    <w:rsid w:val="000237F2"/>
    <w:rsid w:val="00034972"/>
    <w:rsid w:val="000618C3"/>
    <w:rsid w:val="00063B74"/>
    <w:rsid w:val="00072ED2"/>
    <w:rsid w:val="00075543"/>
    <w:rsid w:val="00076CBF"/>
    <w:rsid w:val="00077991"/>
    <w:rsid w:val="000A338D"/>
    <w:rsid w:val="000B03AE"/>
    <w:rsid w:val="00100206"/>
    <w:rsid w:val="001013F6"/>
    <w:rsid w:val="00103188"/>
    <w:rsid w:val="00122FD9"/>
    <w:rsid w:val="0015098B"/>
    <w:rsid w:val="001558E4"/>
    <w:rsid w:val="00172ABE"/>
    <w:rsid w:val="001923F8"/>
    <w:rsid w:val="001B270C"/>
    <w:rsid w:val="001E08A1"/>
    <w:rsid w:val="002108D3"/>
    <w:rsid w:val="00211A1E"/>
    <w:rsid w:val="00216C49"/>
    <w:rsid w:val="002314C2"/>
    <w:rsid w:val="002351C2"/>
    <w:rsid w:val="002655C5"/>
    <w:rsid w:val="00274F4E"/>
    <w:rsid w:val="002870E2"/>
    <w:rsid w:val="00290BAD"/>
    <w:rsid w:val="002961BC"/>
    <w:rsid w:val="00297BC8"/>
    <w:rsid w:val="002A00CE"/>
    <w:rsid w:val="002B4CC7"/>
    <w:rsid w:val="002B7125"/>
    <w:rsid w:val="002C4901"/>
    <w:rsid w:val="002C5490"/>
    <w:rsid w:val="002D13B8"/>
    <w:rsid w:val="002D3CE6"/>
    <w:rsid w:val="002D40FE"/>
    <w:rsid w:val="00302ACD"/>
    <w:rsid w:val="003201A5"/>
    <w:rsid w:val="00321513"/>
    <w:rsid w:val="00327352"/>
    <w:rsid w:val="003371D3"/>
    <w:rsid w:val="00357793"/>
    <w:rsid w:val="00376A7A"/>
    <w:rsid w:val="00393C89"/>
    <w:rsid w:val="003B6F22"/>
    <w:rsid w:val="003D70BD"/>
    <w:rsid w:val="003E3E9D"/>
    <w:rsid w:val="003F1421"/>
    <w:rsid w:val="00422154"/>
    <w:rsid w:val="00437D63"/>
    <w:rsid w:val="00444E38"/>
    <w:rsid w:val="00486362"/>
    <w:rsid w:val="004864B9"/>
    <w:rsid w:val="0049512A"/>
    <w:rsid w:val="00496CBA"/>
    <w:rsid w:val="004C2DA2"/>
    <w:rsid w:val="004C7C7D"/>
    <w:rsid w:val="004D5DA7"/>
    <w:rsid w:val="0050659E"/>
    <w:rsid w:val="00512D9D"/>
    <w:rsid w:val="00516754"/>
    <w:rsid w:val="00546C1A"/>
    <w:rsid w:val="00572E53"/>
    <w:rsid w:val="005A1D38"/>
    <w:rsid w:val="005B5048"/>
    <w:rsid w:val="005D5FE2"/>
    <w:rsid w:val="005F3533"/>
    <w:rsid w:val="005F7E3A"/>
    <w:rsid w:val="00640063"/>
    <w:rsid w:val="00643931"/>
    <w:rsid w:val="00655D79"/>
    <w:rsid w:val="0067208B"/>
    <w:rsid w:val="006744B2"/>
    <w:rsid w:val="00687611"/>
    <w:rsid w:val="006879A7"/>
    <w:rsid w:val="0069327A"/>
    <w:rsid w:val="00693EAC"/>
    <w:rsid w:val="00695F41"/>
    <w:rsid w:val="0069673C"/>
    <w:rsid w:val="006D2BB4"/>
    <w:rsid w:val="006E69F6"/>
    <w:rsid w:val="006F3369"/>
    <w:rsid w:val="007361A7"/>
    <w:rsid w:val="007465F1"/>
    <w:rsid w:val="00747464"/>
    <w:rsid w:val="00747906"/>
    <w:rsid w:val="00756100"/>
    <w:rsid w:val="0077478B"/>
    <w:rsid w:val="0079270A"/>
    <w:rsid w:val="007C0B3F"/>
    <w:rsid w:val="007C0EC2"/>
    <w:rsid w:val="007C1D3A"/>
    <w:rsid w:val="007D4F72"/>
    <w:rsid w:val="007E2DBA"/>
    <w:rsid w:val="007F4F00"/>
    <w:rsid w:val="007F7292"/>
    <w:rsid w:val="00882296"/>
    <w:rsid w:val="00894411"/>
    <w:rsid w:val="008E61CD"/>
    <w:rsid w:val="00915758"/>
    <w:rsid w:val="00923C8E"/>
    <w:rsid w:val="009379E1"/>
    <w:rsid w:val="0098420C"/>
    <w:rsid w:val="009A3701"/>
    <w:rsid w:val="009E2E2E"/>
    <w:rsid w:val="009E4168"/>
    <w:rsid w:val="00A04C59"/>
    <w:rsid w:val="00A10CD0"/>
    <w:rsid w:val="00A14E31"/>
    <w:rsid w:val="00A200E0"/>
    <w:rsid w:val="00A2359C"/>
    <w:rsid w:val="00A25D59"/>
    <w:rsid w:val="00A51D2D"/>
    <w:rsid w:val="00A91A8F"/>
    <w:rsid w:val="00AB0582"/>
    <w:rsid w:val="00AC3880"/>
    <w:rsid w:val="00AC3ABC"/>
    <w:rsid w:val="00AC58CB"/>
    <w:rsid w:val="00B00912"/>
    <w:rsid w:val="00B02084"/>
    <w:rsid w:val="00B040CE"/>
    <w:rsid w:val="00B04272"/>
    <w:rsid w:val="00B32B9F"/>
    <w:rsid w:val="00B559F4"/>
    <w:rsid w:val="00B84722"/>
    <w:rsid w:val="00BB14A7"/>
    <w:rsid w:val="00BC76C3"/>
    <w:rsid w:val="00BD08C3"/>
    <w:rsid w:val="00BD430E"/>
    <w:rsid w:val="00BE1B60"/>
    <w:rsid w:val="00BF78D0"/>
    <w:rsid w:val="00C04F04"/>
    <w:rsid w:val="00C0565D"/>
    <w:rsid w:val="00C21D30"/>
    <w:rsid w:val="00C2754C"/>
    <w:rsid w:val="00C334E0"/>
    <w:rsid w:val="00C7403B"/>
    <w:rsid w:val="00C84EE7"/>
    <w:rsid w:val="00CC673F"/>
    <w:rsid w:val="00CC7DDB"/>
    <w:rsid w:val="00CE13AC"/>
    <w:rsid w:val="00CE1CE6"/>
    <w:rsid w:val="00CE4CEF"/>
    <w:rsid w:val="00D17577"/>
    <w:rsid w:val="00D51157"/>
    <w:rsid w:val="00D62A03"/>
    <w:rsid w:val="00DC1A0B"/>
    <w:rsid w:val="00DD3E44"/>
    <w:rsid w:val="00DE0366"/>
    <w:rsid w:val="00DF2880"/>
    <w:rsid w:val="00DF404E"/>
    <w:rsid w:val="00DF4ADA"/>
    <w:rsid w:val="00E13131"/>
    <w:rsid w:val="00E2243A"/>
    <w:rsid w:val="00E24063"/>
    <w:rsid w:val="00E53855"/>
    <w:rsid w:val="00E55887"/>
    <w:rsid w:val="00E6260A"/>
    <w:rsid w:val="00E64082"/>
    <w:rsid w:val="00E83443"/>
    <w:rsid w:val="00EA545C"/>
    <w:rsid w:val="00F0740F"/>
    <w:rsid w:val="00F26338"/>
    <w:rsid w:val="00F423E5"/>
    <w:rsid w:val="00F425AD"/>
    <w:rsid w:val="00F52E5D"/>
    <w:rsid w:val="00F75FFD"/>
    <w:rsid w:val="00F8454C"/>
    <w:rsid w:val="00F93DC1"/>
    <w:rsid w:val="00FB170A"/>
    <w:rsid w:val="00FF6BB1"/>
    <w:rsid w:val="00FF768D"/>
    <w:rsid w:val="20373E64"/>
    <w:rsid w:val="2F4F06EB"/>
    <w:rsid w:val="34CB2623"/>
    <w:rsid w:val="3F7E3C36"/>
    <w:rsid w:val="7A265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3C8E"/>
    <w:pPr>
      <w:widowControl w:val="0"/>
      <w:spacing w:line="560" w:lineRule="exact"/>
      <w:ind w:firstLineChars="200" w:firstLine="200"/>
      <w:jc w:val="both"/>
    </w:pPr>
    <w:rPr>
      <w:rFonts w:ascii="Times New Roman" w:eastAsia="方正仿宋简体" w:hAnsi="Times New Roman" w:cs="Times New Roman"/>
      <w:kern w:val="2"/>
      <w:sz w:val="32"/>
      <w:szCs w:val="24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5F353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unhideWhenUsed/>
    <w:qFormat/>
    <w:rsid w:val="005F3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0"/>
    <w:link w:val="Char0"/>
    <w:unhideWhenUsed/>
    <w:qFormat/>
    <w:rsid w:val="005F3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qFormat/>
    <w:rsid w:val="005F3533"/>
    <w:rPr>
      <w:color w:val="0000FF" w:themeColor="hyperlink"/>
      <w:u w:val="single"/>
    </w:rPr>
  </w:style>
  <w:style w:type="paragraph" w:customStyle="1" w:styleId="a">
    <w:name w:val="章标题"/>
    <w:next w:val="a7"/>
    <w:qFormat/>
    <w:rsid w:val="005F3533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7">
    <w:name w:val="段"/>
    <w:link w:val="Char1"/>
    <w:uiPriority w:val="99"/>
    <w:qFormat/>
    <w:rsid w:val="005F353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link w:val="a7"/>
    <w:uiPriority w:val="99"/>
    <w:qFormat/>
    <w:locked/>
    <w:rsid w:val="005F3533"/>
    <w:rPr>
      <w:rFonts w:ascii="宋体" w:eastAsia="宋体" w:hAnsi="Times New Roman" w:cs="Times New Roman"/>
      <w:kern w:val="0"/>
      <w:szCs w:val="20"/>
    </w:rPr>
  </w:style>
  <w:style w:type="character" w:customStyle="1" w:styleId="Char0">
    <w:name w:val="页眉 Char"/>
    <w:basedOn w:val="a1"/>
    <w:link w:val="a5"/>
    <w:qFormat/>
    <w:rsid w:val="005F353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sid w:val="005F3533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1"/>
    <w:link w:val="2"/>
    <w:uiPriority w:val="9"/>
    <w:semiHidden/>
    <w:qFormat/>
    <w:rsid w:val="005F3533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Emphasis"/>
    <w:basedOn w:val="a1"/>
    <w:uiPriority w:val="20"/>
    <w:qFormat/>
    <w:rsid w:val="005F7E3A"/>
    <w:rPr>
      <w:i/>
      <w:iCs/>
    </w:rPr>
  </w:style>
  <w:style w:type="paragraph" w:styleId="a9">
    <w:name w:val="Balloon Text"/>
    <w:basedOn w:val="a0"/>
    <w:link w:val="Char2"/>
    <w:uiPriority w:val="99"/>
    <w:semiHidden/>
    <w:unhideWhenUsed/>
    <w:rsid w:val="00A91A8F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A91A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209</Words>
  <Characters>1195</Characters>
  <Application>Microsoft Office Word</Application>
  <DocSecurity>0</DocSecurity>
  <Lines>9</Lines>
  <Paragraphs>2</Paragraphs>
  <ScaleCrop>false</ScaleCrop>
  <Company>微软中国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鞠伟</cp:lastModifiedBy>
  <cp:revision>22</cp:revision>
  <cp:lastPrinted>2020-10-09T03:12:00Z</cp:lastPrinted>
  <dcterms:created xsi:type="dcterms:W3CDTF">2020-08-24T08:20:00Z</dcterms:created>
  <dcterms:modified xsi:type="dcterms:W3CDTF">2020-11-06T01:33:00Z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