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54" w:rsidRPr="00080E54" w:rsidRDefault="00080E54" w:rsidP="00080E54">
      <w:pPr>
        <w:rPr>
          <w:rFonts w:eastAsia="方正黑体简体"/>
        </w:rPr>
      </w:pPr>
      <w:bookmarkStart w:id="0" w:name="_GoBack"/>
      <w:bookmarkEnd w:id="0"/>
      <w:r w:rsidRPr="00080E54">
        <w:rPr>
          <w:rFonts w:eastAsia="方正黑体简体"/>
        </w:rPr>
        <w:t>附件：</w:t>
      </w:r>
    </w:p>
    <w:p w:rsidR="006C336F" w:rsidRDefault="006C336F" w:rsidP="006C336F">
      <w:pPr>
        <w:spacing w:line="600" w:lineRule="exact"/>
        <w:jc w:val="center"/>
        <w:rPr>
          <w:rFonts w:eastAsia="方正小标宋简体"/>
          <w:sz w:val="44"/>
          <w:szCs w:val="32"/>
        </w:rPr>
      </w:pPr>
      <w:r w:rsidRPr="00080E54">
        <w:rPr>
          <w:rFonts w:eastAsia="方正小标宋简体"/>
          <w:sz w:val="44"/>
          <w:szCs w:val="32"/>
        </w:rPr>
        <w:t>2019</w:t>
      </w:r>
      <w:r w:rsidRPr="00080E54">
        <w:rPr>
          <w:rFonts w:eastAsia="方正小标宋简体"/>
          <w:sz w:val="44"/>
          <w:szCs w:val="32"/>
        </w:rPr>
        <w:t>年建设领域检验检测机构监督检查结果表</w:t>
      </w:r>
    </w:p>
    <w:p w:rsidR="00080E54" w:rsidRPr="00080E54" w:rsidRDefault="00080E54" w:rsidP="00080E54">
      <w:pPr>
        <w:spacing w:line="240" w:lineRule="exact"/>
        <w:jc w:val="center"/>
        <w:rPr>
          <w:rFonts w:eastAsia="方正小标宋简体"/>
          <w:sz w:val="28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5599"/>
        <w:gridCol w:w="2286"/>
        <w:gridCol w:w="1252"/>
        <w:gridCol w:w="3151"/>
        <w:gridCol w:w="2398"/>
      </w:tblGrid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rFonts w:eastAsia="方正黑体简体"/>
                <w:color w:val="000000"/>
                <w:sz w:val="22"/>
                <w:szCs w:val="22"/>
                <w:lang w:bidi="ar"/>
              </w:rPr>
            </w:pPr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080E54">
            <w:pPr>
              <w:pStyle w:val="a3"/>
              <w:widowControl/>
              <w:spacing w:line="400" w:lineRule="exact"/>
              <w:jc w:val="center"/>
              <w:rPr>
                <w:rFonts w:eastAsia="方正黑体简体"/>
                <w:color w:val="000000"/>
                <w:sz w:val="22"/>
                <w:szCs w:val="22"/>
                <w:lang w:bidi="ar"/>
              </w:rPr>
            </w:pPr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rFonts w:eastAsia="方正黑体简体"/>
                <w:color w:val="000000"/>
                <w:sz w:val="22"/>
                <w:szCs w:val="22"/>
                <w:lang w:bidi="ar"/>
              </w:rPr>
            </w:pPr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资质认定证书编号</w:t>
            </w:r>
          </w:p>
        </w:tc>
        <w:tc>
          <w:tcPr>
            <w:tcW w:w="401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rFonts w:eastAsia="方正黑体简体"/>
                <w:color w:val="000000"/>
                <w:sz w:val="22"/>
                <w:szCs w:val="22"/>
                <w:lang w:bidi="ar"/>
              </w:rPr>
            </w:pPr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所属地区</w:t>
            </w: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080E54" w:rsidRPr="00080E54" w:rsidRDefault="006C336F" w:rsidP="006C336F">
            <w:pPr>
              <w:spacing w:line="400" w:lineRule="exact"/>
              <w:jc w:val="center"/>
              <w:rPr>
                <w:rFonts w:eastAsia="方正黑体简体"/>
                <w:color w:val="000000"/>
                <w:sz w:val="22"/>
                <w:szCs w:val="22"/>
                <w:lang w:bidi="ar"/>
              </w:rPr>
            </w:pPr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违返</w:t>
            </w:r>
            <w:proofErr w:type="gramStart"/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《</w:t>
            </w:r>
            <w:proofErr w:type="gramEnd"/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检验检测机构资质</w:t>
            </w:r>
          </w:p>
          <w:p w:rsidR="006C336F" w:rsidRPr="00080E54" w:rsidRDefault="006C336F" w:rsidP="006C336F">
            <w:pPr>
              <w:spacing w:line="400" w:lineRule="exact"/>
              <w:jc w:val="center"/>
              <w:rPr>
                <w:rFonts w:eastAsia="方正黑体简体"/>
                <w:color w:val="000000"/>
                <w:sz w:val="22"/>
                <w:szCs w:val="22"/>
                <w:lang w:bidi="ar"/>
              </w:rPr>
            </w:pPr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认定管理办法</w:t>
            </w:r>
            <w:proofErr w:type="gramStart"/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》</w:t>
            </w:r>
            <w:proofErr w:type="gramEnd"/>
            <w:r w:rsidRPr="00080E54">
              <w:rPr>
                <w:rFonts w:eastAsia="方正黑体简体"/>
                <w:color w:val="000000"/>
                <w:sz w:val="22"/>
                <w:szCs w:val="22"/>
                <w:lang w:bidi="ar"/>
              </w:rPr>
              <w:t>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rFonts w:eastAsia="方正黑体简体"/>
                <w:sz w:val="22"/>
                <w:szCs w:val="22"/>
              </w:rPr>
            </w:pPr>
            <w:r w:rsidRPr="00080E54">
              <w:rPr>
                <w:rFonts w:eastAsia="方正黑体简体"/>
                <w:color w:val="333333"/>
                <w:sz w:val="22"/>
                <w:szCs w:val="22"/>
              </w:rPr>
              <w:t>处理措施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南充市</w:t>
            </w: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嘉恒建设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工程质量检测有限公司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162301060543</w:t>
            </w:r>
          </w:p>
        </w:tc>
        <w:tc>
          <w:tcPr>
            <w:tcW w:w="401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南充市</w:t>
            </w: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南充民欣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检测有限责任公司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172301060192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西充县精诚建设工程质量检测有限公司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172301060447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四川鑫光明建设工程质量检测有限公司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162301060085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四川宇发建设工程质量检测有限公司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182301060210</w:t>
            </w:r>
          </w:p>
        </w:tc>
        <w:tc>
          <w:tcPr>
            <w:tcW w:w="401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遂宁市</w:t>
            </w: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42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责令一个月内改正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四川中科建设工程质量检测有限公司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162301060317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遂宁</w:t>
            </w: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市精正质检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技术服务有限公司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152312050041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42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责令一个月内改正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四川勤兴工程项目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管理有限公司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182312050429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color w:val="FF0000"/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42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责令一个月内改正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岳池县兴</w:t>
            </w: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正工程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152302060221</w:t>
            </w:r>
          </w:p>
        </w:tc>
        <w:tc>
          <w:tcPr>
            <w:tcW w:w="401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广安市</w:t>
            </w: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42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责令一个月内改正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巴中市建设工程质量检测有限公司（广安分场所）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162301060078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rPr>
                <w:color w:val="000000"/>
                <w:sz w:val="22"/>
                <w:szCs w:val="22"/>
                <w:lang w:bidi="ar"/>
              </w:rPr>
            </w:pPr>
            <w:bookmarkStart w:id="1" w:name="_Hlk26614444"/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会东基投阳光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建设工程检测有限公司</w:t>
            </w:r>
            <w:bookmarkEnd w:id="1"/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162301060679</w:t>
            </w:r>
          </w:p>
        </w:tc>
        <w:tc>
          <w:tcPr>
            <w:tcW w:w="401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凉山州</w:t>
            </w: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会里营造工程检测有限公司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182301060394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凉山州众和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工程检测有限责任公司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182301060013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43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四川同康工程质量检测有限责任公司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172302060502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第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42</w:t>
            </w:r>
            <w:r w:rsidRPr="00080E54">
              <w:rPr>
                <w:color w:val="00000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责令一个月内改正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凉山州利建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工程检测有限责任公司攀枝花分公司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162301060568</w:t>
            </w:r>
          </w:p>
        </w:tc>
        <w:tc>
          <w:tcPr>
            <w:tcW w:w="401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攀枝花市</w:t>
            </w: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b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第</w:t>
            </w: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攀枝花恒</w:t>
            </w: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正工程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182301060036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b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第</w:t>
            </w: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spacing w:line="400" w:lineRule="exact"/>
              <w:jc w:val="center"/>
            </w:pPr>
            <w:r w:rsidRPr="00080E54">
              <w:rPr>
                <w:color w:val="000000"/>
                <w:sz w:val="22"/>
                <w:szCs w:val="22"/>
              </w:rPr>
              <w:t>责令三个月内整改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四川奕华工程质量检测有限公司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182301060372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b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第</w:t>
            </w: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责令一个月内改正</w:t>
            </w:r>
          </w:p>
        </w:tc>
      </w:tr>
      <w:tr w:rsidR="006C336F" w:rsidRPr="00080E54" w:rsidTr="00080E54">
        <w:trPr>
          <w:trHeight w:val="272"/>
          <w:jc w:val="center"/>
        </w:trPr>
        <w:tc>
          <w:tcPr>
            <w:tcW w:w="297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793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both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攀枝花天</w:t>
            </w:r>
            <w:proofErr w:type="gramStart"/>
            <w:r w:rsidRPr="00080E54">
              <w:rPr>
                <w:color w:val="000000"/>
                <w:sz w:val="22"/>
                <w:szCs w:val="22"/>
                <w:lang w:bidi="ar"/>
              </w:rPr>
              <w:t>誉工程</w:t>
            </w:r>
            <w:proofErr w:type="gramEnd"/>
            <w:r w:rsidRPr="00080E54">
              <w:rPr>
                <w:color w:val="000000"/>
                <w:sz w:val="22"/>
                <w:szCs w:val="22"/>
                <w:lang w:bidi="ar"/>
              </w:rPr>
              <w:t>检测有限公司</w:t>
            </w:r>
          </w:p>
        </w:tc>
        <w:tc>
          <w:tcPr>
            <w:tcW w:w="732" w:type="pct"/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  <w:r w:rsidRPr="00080E54">
              <w:rPr>
                <w:color w:val="000000"/>
                <w:sz w:val="22"/>
                <w:szCs w:val="22"/>
                <w:lang w:bidi="ar"/>
              </w:rPr>
              <w:t>162301060145</w:t>
            </w:r>
          </w:p>
        </w:tc>
        <w:tc>
          <w:tcPr>
            <w:tcW w:w="401" w:type="pct"/>
            <w:vMerge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1009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b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第</w:t>
            </w: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  <w:r w:rsidRPr="00080E54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条等相关条款</w:t>
            </w:r>
          </w:p>
        </w:tc>
        <w:tc>
          <w:tcPr>
            <w:tcW w:w="768" w:type="pct"/>
            <w:tcMar>
              <w:left w:w="108" w:type="dxa"/>
              <w:right w:w="108" w:type="dxa"/>
            </w:tcMar>
            <w:vAlign w:val="center"/>
          </w:tcPr>
          <w:p w:rsidR="006C336F" w:rsidRPr="00080E54" w:rsidRDefault="006C336F" w:rsidP="006C336F">
            <w:pPr>
              <w:pStyle w:val="a3"/>
              <w:widowControl/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 w:rsidRPr="00080E54">
              <w:rPr>
                <w:color w:val="000000"/>
                <w:sz w:val="22"/>
                <w:szCs w:val="22"/>
              </w:rPr>
              <w:t>责令一个月内改正</w:t>
            </w:r>
          </w:p>
        </w:tc>
      </w:tr>
    </w:tbl>
    <w:p w:rsidR="006C336F" w:rsidRPr="00080E54" w:rsidRDefault="006C336F" w:rsidP="009C1563">
      <w:pPr>
        <w:spacing w:line="600" w:lineRule="exact"/>
        <w:jc w:val="left"/>
        <w:rPr>
          <w:szCs w:val="32"/>
        </w:rPr>
        <w:sectPr w:rsidR="006C336F" w:rsidRPr="00080E54" w:rsidSect="006C336F">
          <w:footerReference w:type="even" r:id="rId8"/>
          <w:footerReference w:type="default" r:id="rId9"/>
          <w:pgSz w:w="16838" w:h="11906" w:orient="landscape" w:code="9"/>
          <w:pgMar w:top="720" w:right="720" w:bottom="720" w:left="720" w:header="851" w:footer="1077" w:gutter="0"/>
          <w:pgNumType w:fmt="numberInDash"/>
          <w:cols w:space="425"/>
          <w:docGrid w:type="lines" w:linePitch="603" w:charSpace="-22"/>
        </w:sectPr>
      </w:pPr>
    </w:p>
    <w:p w:rsidR="00AB783B" w:rsidRPr="00080E54" w:rsidRDefault="00AB783B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9C1563">
      <w:pPr>
        <w:spacing w:line="600" w:lineRule="exact"/>
        <w:jc w:val="left"/>
        <w:rPr>
          <w:szCs w:val="32"/>
        </w:rPr>
      </w:pPr>
    </w:p>
    <w:p w:rsidR="006C336F" w:rsidRPr="00080E54" w:rsidRDefault="006C336F" w:rsidP="006C336F"/>
    <w:p w:rsidR="006C336F" w:rsidRPr="00080E54" w:rsidRDefault="006C336F" w:rsidP="006C336F">
      <w:pPr>
        <w:snapToGrid w:val="0"/>
      </w:pPr>
    </w:p>
    <w:p w:rsidR="006C336F" w:rsidRPr="00080E54" w:rsidRDefault="006C336F" w:rsidP="006C336F">
      <w:pPr>
        <w:tabs>
          <w:tab w:val="center" w:pos="4450"/>
          <w:tab w:val="right" w:pos="8901"/>
        </w:tabs>
        <w:ind w:firstLineChars="100" w:firstLine="320"/>
        <w:rPr>
          <w:rFonts w:eastAsia="方正黑体简体"/>
          <w:sz w:val="28"/>
          <w:szCs w:val="28"/>
        </w:rPr>
      </w:pPr>
      <w:r w:rsidRPr="00080E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2F81" wp14:editId="7523558E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54040" cy="0"/>
                <wp:effectExtent l="9525" t="13970" r="13335" b="508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6pt" to="445.2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v6LQ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"/>
            </w:pict>
          </mc:Fallback>
        </mc:AlternateContent>
      </w:r>
    </w:p>
    <w:p w:rsidR="006C336F" w:rsidRPr="00080E54" w:rsidRDefault="006C336F" w:rsidP="006C336F">
      <w:pPr>
        <w:rPr>
          <w:sz w:val="28"/>
          <w:szCs w:val="28"/>
        </w:rPr>
      </w:pPr>
      <w:r w:rsidRPr="00080E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625CA" wp14:editId="0634A44E">
                <wp:simplePos x="0" y="0"/>
                <wp:positionH relativeFrom="column">
                  <wp:posOffset>-38100</wp:posOffset>
                </wp:positionH>
                <wp:positionV relativeFrom="paragraph">
                  <wp:posOffset>364490</wp:posOffset>
                </wp:positionV>
                <wp:extent cx="5654040" cy="0"/>
                <wp:effectExtent l="0" t="0" r="2286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8.7pt" to="442.2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"/>
            </w:pict>
          </mc:Fallback>
        </mc:AlternateContent>
      </w:r>
      <w:r w:rsidRPr="00080E54">
        <w:rPr>
          <w:sz w:val="28"/>
          <w:szCs w:val="28"/>
        </w:rPr>
        <w:t xml:space="preserve">  </w:t>
      </w:r>
      <w:r w:rsidRPr="00080E54">
        <w:rPr>
          <w:sz w:val="28"/>
          <w:szCs w:val="28"/>
        </w:rPr>
        <w:t>抄送：</w:t>
      </w:r>
      <w:bookmarkStart w:id="2" w:name="抄送单位"/>
      <w:bookmarkEnd w:id="2"/>
      <w:r w:rsidRPr="00080E54">
        <w:rPr>
          <w:sz w:val="28"/>
          <w:szCs w:val="28"/>
        </w:rPr>
        <w:t>四川省住房和城乡建设厅</w:t>
      </w:r>
    </w:p>
    <w:sectPr w:rsidR="006C336F" w:rsidRPr="00080E54" w:rsidSect="006C336F">
      <w:pgSz w:w="11906" w:h="16838" w:code="9"/>
      <w:pgMar w:top="1871" w:right="1361" w:bottom="1701" w:left="1588" w:header="851" w:footer="1077" w:gutter="0"/>
      <w:pgNumType w:fmt="numberInDash"/>
      <w:cols w:space="425"/>
      <w:docGrid w:type="linesAndChars" w:linePitch="603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A3" w:rsidRDefault="009E09A3" w:rsidP="00AC79DD">
      <w:r>
        <w:separator/>
      </w:r>
    </w:p>
  </w:endnote>
  <w:endnote w:type="continuationSeparator" w:id="0">
    <w:p w:rsidR="009E09A3" w:rsidRDefault="009E09A3" w:rsidP="00A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68883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AB783B" w:rsidRPr="00AB783B" w:rsidRDefault="00AB783B">
        <w:pPr>
          <w:pStyle w:val="a9"/>
          <w:rPr>
            <w:rFonts w:ascii="宋体" w:eastAsia="宋体" w:hAnsi="宋体"/>
            <w:sz w:val="24"/>
            <w:szCs w:val="24"/>
          </w:rPr>
        </w:pPr>
        <w:r w:rsidRPr="00AB783B">
          <w:rPr>
            <w:rFonts w:ascii="宋体" w:eastAsia="宋体" w:hAnsi="宋体"/>
            <w:sz w:val="24"/>
            <w:szCs w:val="24"/>
          </w:rPr>
          <w:fldChar w:fldCharType="begin"/>
        </w:r>
        <w:r w:rsidRPr="00AB783B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B783B">
          <w:rPr>
            <w:rFonts w:ascii="宋体" w:eastAsia="宋体" w:hAnsi="宋体"/>
            <w:sz w:val="24"/>
            <w:szCs w:val="24"/>
          </w:rPr>
          <w:fldChar w:fldCharType="separate"/>
        </w:r>
        <w:r w:rsidR="006F6107" w:rsidRPr="006F610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6F6107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AB783B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292869"/>
      <w:docPartObj>
        <w:docPartGallery w:val="Page Numbers (Bottom of Page)"/>
        <w:docPartUnique/>
      </w:docPartObj>
    </w:sdtPr>
    <w:sdtEndPr/>
    <w:sdtContent>
      <w:p w:rsidR="00AB783B" w:rsidRDefault="00AB783B">
        <w:pPr>
          <w:pStyle w:val="a9"/>
          <w:jc w:val="right"/>
        </w:pPr>
        <w:r w:rsidRPr="00AB783B">
          <w:rPr>
            <w:rFonts w:ascii="宋体" w:eastAsia="宋体" w:hAnsi="宋体"/>
            <w:sz w:val="24"/>
            <w:szCs w:val="24"/>
          </w:rPr>
          <w:fldChar w:fldCharType="begin"/>
        </w:r>
        <w:r w:rsidRPr="00AB783B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B783B">
          <w:rPr>
            <w:rFonts w:ascii="宋体" w:eastAsia="宋体" w:hAnsi="宋体"/>
            <w:sz w:val="24"/>
            <w:szCs w:val="24"/>
          </w:rPr>
          <w:fldChar w:fldCharType="separate"/>
        </w:r>
        <w:r w:rsidR="006F6107" w:rsidRPr="006F6107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6F6107">
          <w:rPr>
            <w:rFonts w:ascii="宋体" w:eastAsia="宋体" w:hAnsi="宋体"/>
            <w:noProof/>
            <w:sz w:val="24"/>
            <w:szCs w:val="24"/>
          </w:rPr>
          <w:t xml:space="preserve"> 1 -</w:t>
        </w:r>
        <w:r w:rsidRPr="00AB783B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A3" w:rsidRDefault="009E09A3" w:rsidP="00AC79DD">
      <w:r>
        <w:separator/>
      </w:r>
    </w:p>
  </w:footnote>
  <w:footnote w:type="continuationSeparator" w:id="0">
    <w:p w:rsidR="009E09A3" w:rsidRDefault="009E09A3" w:rsidP="00AC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603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20"/>
    <w:rsid w:val="00030062"/>
    <w:rsid w:val="00080E54"/>
    <w:rsid w:val="000E6A23"/>
    <w:rsid w:val="0018443F"/>
    <w:rsid w:val="001E54F6"/>
    <w:rsid w:val="002323C4"/>
    <w:rsid w:val="004542EA"/>
    <w:rsid w:val="005E307A"/>
    <w:rsid w:val="0060131E"/>
    <w:rsid w:val="00635699"/>
    <w:rsid w:val="006C336F"/>
    <w:rsid w:val="006D6670"/>
    <w:rsid w:val="006F6107"/>
    <w:rsid w:val="00775AFD"/>
    <w:rsid w:val="00805B73"/>
    <w:rsid w:val="008232C1"/>
    <w:rsid w:val="008E72E6"/>
    <w:rsid w:val="0093357E"/>
    <w:rsid w:val="00956C09"/>
    <w:rsid w:val="009B3FA4"/>
    <w:rsid w:val="009C1563"/>
    <w:rsid w:val="009E09A3"/>
    <w:rsid w:val="00A81294"/>
    <w:rsid w:val="00A94263"/>
    <w:rsid w:val="00AB783B"/>
    <w:rsid w:val="00AC18CE"/>
    <w:rsid w:val="00AC79DD"/>
    <w:rsid w:val="00BA6474"/>
    <w:rsid w:val="00BF447C"/>
    <w:rsid w:val="00CF1E49"/>
    <w:rsid w:val="00DA352C"/>
    <w:rsid w:val="00DE7E57"/>
    <w:rsid w:val="00E151AD"/>
    <w:rsid w:val="00E20544"/>
    <w:rsid w:val="00FA3A92"/>
    <w:rsid w:val="00FF0520"/>
    <w:rsid w:val="021E1A5D"/>
    <w:rsid w:val="081A62C5"/>
    <w:rsid w:val="0C6713B7"/>
    <w:rsid w:val="181C0A7C"/>
    <w:rsid w:val="1B416601"/>
    <w:rsid w:val="1D972608"/>
    <w:rsid w:val="1E514A4F"/>
    <w:rsid w:val="1EE02624"/>
    <w:rsid w:val="260E18E4"/>
    <w:rsid w:val="263E1AC1"/>
    <w:rsid w:val="274427C2"/>
    <w:rsid w:val="285007DD"/>
    <w:rsid w:val="28B65282"/>
    <w:rsid w:val="299B7C0B"/>
    <w:rsid w:val="2C303368"/>
    <w:rsid w:val="2C7D67E8"/>
    <w:rsid w:val="33332D3A"/>
    <w:rsid w:val="34C6233B"/>
    <w:rsid w:val="370D5D5B"/>
    <w:rsid w:val="3DD07AF1"/>
    <w:rsid w:val="401E2DFD"/>
    <w:rsid w:val="46DF3623"/>
    <w:rsid w:val="47265F70"/>
    <w:rsid w:val="47A76286"/>
    <w:rsid w:val="48355C31"/>
    <w:rsid w:val="4BF05F7B"/>
    <w:rsid w:val="4E2B47D1"/>
    <w:rsid w:val="528C6538"/>
    <w:rsid w:val="5613090F"/>
    <w:rsid w:val="5C4254F3"/>
    <w:rsid w:val="5E3C1666"/>
    <w:rsid w:val="5EEE03D6"/>
    <w:rsid w:val="60373CC1"/>
    <w:rsid w:val="61D57862"/>
    <w:rsid w:val="62DB3BB6"/>
    <w:rsid w:val="6734215E"/>
    <w:rsid w:val="675077A3"/>
    <w:rsid w:val="683E147C"/>
    <w:rsid w:val="755775E9"/>
    <w:rsid w:val="7624392F"/>
    <w:rsid w:val="79E47195"/>
    <w:rsid w:val="7C2E1FA6"/>
    <w:rsid w:val="7E1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jc w:val="left"/>
    </w:pPr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862B8"/>
      <w:shd w:val="clear" w:color="auto" w:fill="0862B8"/>
    </w:rPr>
  </w:style>
  <w:style w:type="character" w:customStyle="1" w:styleId="disabled">
    <w:name w:val="disabled"/>
    <w:basedOn w:val="a0"/>
    <w:qFormat/>
    <w:rPr>
      <w:color w:val="BABABA"/>
      <w:bdr w:val="single" w:sz="6" w:space="0" w:color="BABABA"/>
    </w:rPr>
  </w:style>
  <w:style w:type="character" w:customStyle="1" w:styleId="bsharetext">
    <w:name w:val="bsharetext"/>
    <w:basedOn w:val="a0"/>
    <w:qFormat/>
  </w:style>
  <w:style w:type="paragraph" w:styleId="a7">
    <w:name w:val="Balloon Text"/>
    <w:basedOn w:val="a"/>
    <w:link w:val="Char"/>
    <w:uiPriority w:val="99"/>
    <w:semiHidden/>
    <w:unhideWhenUsed/>
    <w:rsid w:val="00E151A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151AD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C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AB78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B783B"/>
    <w:rPr>
      <w:rFonts w:ascii="Times New Roman" w:eastAsia="方正仿宋简体" w:hAnsi="Times New Roman" w:cs="Times New Roman"/>
      <w:sz w:val="32"/>
      <w:szCs w:val="24"/>
    </w:rPr>
  </w:style>
  <w:style w:type="paragraph" w:styleId="ab">
    <w:name w:val="List Paragraph"/>
    <w:basedOn w:val="a"/>
    <w:uiPriority w:val="34"/>
    <w:qFormat/>
    <w:rsid w:val="006C336F"/>
    <w:pPr>
      <w:ind w:firstLineChars="200" w:firstLine="420"/>
    </w:pPr>
    <w:rPr>
      <w:rFonts w:ascii="Calibri" w:eastAsia="宋体" w:hAnsi="Calibr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jc w:val="left"/>
    </w:pPr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862B8"/>
      <w:shd w:val="clear" w:color="auto" w:fill="0862B8"/>
    </w:rPr>
  </w:style>
  <w:style w:type="character" w:customStyle="1" w:styleId="disabled">
    <w:name w:val="disabled"/>
    <w:basedOn w:val="a0"/>
    <w:qFormat/>
    <w:rPr>
      <w:color w:val="BABABA"/>
      <w:bdr w:val="single" w:sz="6" w:space="0" w:color="BABABA"/>
    </w:rPr>
  </w:style>
  <w:style w:type="character" w:customStyle="1" w:styleId="bsharetext">
    <w:name w:val="bsharetext"/>
    <w:basedOn w:val="a0"/>
    <w:qFormat/>
  </w:style>
  <w:style w:type="paragraph" w:styleId="a7">
    <w:name w:val="Balloon Text"/>
    <w:basedOn w:val="a"/>
    <w:link w:val="Char"/>
    <w:uiPriority w:val="99"/>
    <w:semiHidden/>
    <w:unhideWhenUsed/>
    <w:rsid w:val="00E151A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151AD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C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AB78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B783B"/>
    <w:rPr>
      <w:rFonts w:ascii="Times New Roman" w:eastAsia="方正仿宋简体" w:hAnsi="Times New Roman" w:cs="Times New Roman"/>
      <w:sz w:val="32"/>
      <w:szCs w:val="24"/>
    </w:rPr>
  </w:style>
  <w:style w:type="paragraph" w:styleId="ab">
    <w:name w:val="List Paragraph"/>
    <w:basedOn w:val="a"/>
    <w:uiPriority w:val="34"/>
    <w:qFormat/>
    <w:rsid w:val="006C336F"/>
    <w:pPr>
      <w:ind w:firstLineChars="200" w:firstLine="420"/>
    </w:pPr>
    <w:rPr>
      <w:rFonts w:ascii="Calibri" w:eastAsia="宋体" w:hAnsi="Calibr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561</Characters>
  <Application>Microsoft Office Word</Application>
  <DocSecurity>0</DocSecurity>
  <Lines>33</Lines>
  <Paragraphs>21</Paragraphs>
  <ScaleCrop>false</ScaleCrop>
  <Company>Lenovo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舒 王</dc:creator>
  <cp:lastModifiedBy>沈健</cp:lastModifiedBy>
  <cp:revision>2</cp:revision>
  <cp:lastPrinted>2019-12-23T02:00:00Z</cp:lastPrinted>
  <dcterms:created xsi:type="dcterms:W3CDTF">2019-12-27T07:05:00Z</dcterms:created>
  <dcterms:modified xsi:type="dcterms:W3CDTF">2019-12-27T07:05:00Z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