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pStyle w:val="2"/>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7193"/>
      <w:bookmarkStart w:id="3" w:name="_Toc15396475"/>
      <w:bookmarkStart w:id="4" w:name="_Toc15378441"/>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77426"/>
      <w:bookmarkStart w:id="9" w:name="_Toc15396476"/>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质量技术监督学校</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keepNext w:val="0"/>
        <w:keepLines w:val="0"/>
        <w:pageBreakBefore w:val="0"/>
        <w:widowControl/>
        <w:kinsoku/>
        <w:wordWrap/>
        <w:overflowPunct/>
        <w:topLinePunct w:val="0"/>
        <w:autoSpaceDE/>
        <w:autoSpaceDN/>
        <w:bidi w:val="0"/>
        <w:spacing w:line="240" w:lineRule="auto"/>
        <w:jc w:val="center"/>
        <w:textAlignment w:val="auto"/>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keepNext w:val="0"/>
        <w:keepLines w:val="0"/>
        <w:pageBreakBefore w:val="0"/>
        <w:widowControl/>
        <w:kinsoku/>
        <w:wordWrap/>
        <w:overflowPunct/>
        <w:topLinePunct w:val="0"/>
        <w:autoSpaceDE/>
        <w:autoSpaceDN/>
        <w:bidi w:val="0"/>
        <w:spacing w:line="240" w:lineRule="auto"/>
        <w:jc w:val="both"/>
        <w:textAlignment w:val="auto"/>
        <w:rPr>
          <w:rFonts w:ascii="黑体" w:hAnsi="黑体" w:eastAsia="黑体" w:cstheme="minorBidi"/>
          <w:color w:val="auto"/>
          <w:sz w:val="28"/>
          <w:szCs w:val="28"/>
          <w:highlight w:val="none"/>
        </w:rPr>
      </w:pPr>
    </w:p>
    <w:p>
      <w:pPr>
        <w:pStyle w:val="10"/>
        <w:keepNext w:val="0"/>
        <w:keepLines w:val="0"/>
        <w:pageBreakBefore w:val="0"/>
        <w:kinsoku/>
        <w:wordWrap/>
        <w:overflowPunct/>
        <w:topLinePunct w:val="0"/>
        <w:autoSpaceDE/>
        <w:autoSpaceDN/>
        <w:bidi w:val="0"/>
        <w:spacing w:line="240" w:lineRule="auto"/>
        <w:textAlignment w:val="auto"/>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pStyle w:val="10"/>
        <w:keepNext w:val="0"/>
        <w:keepLines w:val="0"/>
        <w:pageBreakBefore w:val="0"/>
        <w:kinsoku/>
        <w:wordWrap/>
        <w:overflowPunct/>
        <w:topLinePunct w:val="0"/>
        <w:autoSpaceDE/>
        <w:autoSpaceDN/>
        <w:bidi w:val="0"/>
        <w:adjustRightInd w:val="0"/>
        <w:snapToGrid w:val="0"/>
        <w:spacing w:before="0" w:line="240" w:lineRule="auto"/>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ab/>
        <w:t>3</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ab/>
        <w:t>3</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ab/>
        <w:t>3</w:t>
      </w:r>
    </w:p>
    <w:p>
      <w:pPr>
        <w:pStyle w:val="10"/>
        <w:keepNext w:val="0"/>
        <w:keepLines w:val="0"/>
        <w:pageBreakBefore w:val="0"/>
        <w:kinsoku/>
        <w:wordWrap/>
        <w:overflowPunct/>
        <w:topLinePunct w:val="0"/>
        <w:autoSpaceDE/>
        <w:autoSpaceDN/>
        <w:bidi w:val="0"/>
        <w:adjustRightInd w:val="0"/>
        <w:snapToGrid w:val="0"/>
        <w:spacing w:before="0" w:line="240" w:lineRule="auto"/>
        <w:jc w:val="left"/>
        <w:textAlignment w:val="auto"/>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ab/>
        <w:t>4</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ab/>
        <w:t>4</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ab/>
        <w:t>4</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ab/>
        <w:t>5</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ab/>
        <w:t>6</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ab/>
        <w:t>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ab/>
        <w:t>10</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ab/>
        <w:t>11</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ab/>
        <w:t>11</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ab/>
        <w:t>11</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ab/>
        <w:t>11</w:t>
      </w:r>
    </w:p>
    <w:p>
      <w:pPr>
        <w:pStyle w:val="10"/>
        <w:keepNext w:val="0"/>
        <w:keepLines w:val="0"/>
        <w:pageBreakBefore w:val="0"/>
        <w:kinsoku/>
        <w:wordWrap/>
        <w:overflowPunct/>
        <w:topLinePunct w:val="0"/>
        <w:autoSpaceDE/>
        <w:autoSpaceDN/>
        <w:bidi w:val="0"/>
        <w:adjustRightInd w:val="0"/>
        <w:snapToGrid w:val="0"/>
        <w:spacing w:before="0" w:line="240" w:lineRule="auto"/>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ab/>
        <w:t>13</w:t>
      </w:r>
    </w:p>
    <w:p>
      <w:pPr>
        <w:pStyle w:val="10"/>
        <w:keepNext w:val="0"/>
        <w:keepLines w:val="0"/>
        <w:pageBreakBefore w:val="0"/>
        <w:kinsoku/>
        <w:wordWrap/>
        <w:overflowPunct/>
        <w:topLinePunct w:val="0"/>
        <w:autoSpaceDE/>
        <w:autoSpaceDN/>
        <w:bidi w:val="0"/>
        <w:adjustRightInd w:val="0"/>
        <w:snapToGrid w:val="0"/>
        <w:spacing w:before="0" w:line="240" w:lineRule="auto"/>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ab/>
        <w:t>16</w:t>
      </w:r>
    </w:p>
    <w:p>
      <w:pPr>
        <w:pStyle w:val="10"/>
        <w:keepNext w:val="0"/>
        <w:keepLines w:val="0"/>
        <w:pageBreakBefore w:val="0"/>
        <w:kinsoku/>
        <w:wordWrap/>
        <w:overflowPunct/>
        <w:topLinePunct w:val="0"/>
        <w:autoSpaceDE/>
        <w:autoSpaceDN/>
        <w:bidi w:val="0"/>
        <w:adjustRightInd w:val="0"/>
        <w:snapToGrid w:val="0"/>
        <w:spacing w:before="0" w:line="240" w:lineRule="auto"/>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olor w:val="auto"/>
          <w:sz w:val="24"/>
          <w:highlight w:val="none"/>
          <w:lang w:val="en-US" w:eastAsia="zh-CN"/>
        </w:rPr>
        <w:tab/>
        <w:t>17</w:t>
      </w:r>
    </w:p>
    <w:p>
      <w:pPr>
        <w:pStyle w:val="11"/>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ab/>
        <w:t>17</w:t>
      </w:r>
      <w:bookmarkStart w:id="67" w:name="_GoBack"/>
      <w:bookmarkEnd w:id="67"/>
    </w:p>
    <w:p>
      <w:pPr>
        <w:keepNext w:val="0"/>
        <w:keepLines w:val="0"/>
        <w:pageBreakBefore w:val="0"/>
        <w:widowControl/>
        <w:kinsoku/>
        <w:wordWrap/>
        <w:overflowPunct/>
        <w:topLinePunct w:val="0"/>
        <w:autoSpaceDE/>
        <w:autoSpaceDN/>
        <w:bidi w:val="0"/>
        <w:adjustRightInd w:val="0"/>
        <w:snapToGrid w:val="0"/>
        <w:spacing w:line="240" w:lineRule="auto"/>
        <w:ind w:firstLine="1320" w:firstLineChars="550"/>
        <w:jc w:val="left"/>
        <w:textAlignment w:val="auto"/>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Fonts w:hint="eastAsia" w:ascii="黑体" w:hAnsi="黑体" w:eastAsia="黑体"/>
          <w:b w:val="0"/>
          <w:color w:val="auto"/>
          <w:highlight w:val="none"/>
          <w:lang w:val="en-US"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pStyle w:val="4"/>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rPr>
      </w:pPr>
      <w:r>
        <w:rPr>
          <w:rFonts w:hint="eastAsia" w:ascii="Times New Roman" w:hAnsi="Times New Roman" w:eastAsia="仿宋_GB2312" w:cs="Times New Roman"/>
          <w:b w:val="0"/>
          <w:bCs w:val="0"/>
        </w:rPr>
        <w:t>四川省质量技术监督学校（简称省质监校）是省市场监督管理局直属的中等职业教育学校。承担培养大、中专学历专门人才及成人教育和各类函授、培训等工作。</w:t>
      </w:r>
    </w:p>
    <w:p>
      <w:pPr>
        <w:pStyle w:val="4"/>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olor w:val="auto"/>
          <w:kern w:val="0"/>
          <w:sz w:val="32"/>
          <w:szCs w:val="32"/>
          <w:highlight w:val="none"/>
        </w:rPr>
      </w:pPr>
      <w:r>
        <w:rPr>
          <w:rFonts w:hint="eastAsia" w:ascii="仿宋" w:hAnsi="仿宋" w:eastAsia="仿宋"/>
          <w:color w:val="auto"/>
          <w:sz w:val="32"/>
          <w:szCs w:val="32"/>
          <w:highlight w:val="none"/>
        </w:rPr>
        <w:t>省质监校由</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个科室组成，分别是：学校办公室、党办、财务科、教务科、专业教学科、学生工作部、</w:t>
      </w:r>
      <w:r>
        <w:rPr>
          <w:rFonts w:hint="eastAsia" w:ascii="仿宋" w:hAnsi="仿宋" w:eastAsia="仿宋"/>
          <w:color w:val="auto"/>
          <w:sz w:val="32"/>
          <w:szCs w:val="32"/>
          <w:highlight w:val="none"/>
          <w:lang w:val="en-US" w:eastAsia="zh-CN"/>
        </w:rPr>
        <w:t>宣传信息中心、</w:t>
      </w:r>
      <w:r>
        <w:rPr>
          <w:rFonts w:hint="eastAsia" w:ascii="仿宋" w:hAnsi="仿宋" w:eastAsia="仿宋"/>
          <w:color w:val="auto"/>
          <w:sz w:val="32"/>
          <w:szCs w:val="32"/>
          <w:highlight w:val="none"/>
        </w:rPr>
        <w:t>招生办公室、培训鉴定中心、后勤服务科。</w:t>
      </w:r>
      <w:r>
        <w:rPr>
          <w:rFonts w:ascii="仿宋" w:hAnsi="仿宋" w:eastAsia="仿宋"/>
          <w:color w:val="auto"/>
          <w:sz w:val="32"/>
          <w:szCs w:val="32"/>
          <w:highlight w:val="none"/>
        </w:rPr>
        <w:br w:type="page"/>
      </w:r>
    </w:p>
    <w:p>
      <w:pPr>
        <w:pStyle w:val="3"/>
        <w:pageBreakBefore w:val="0"/>
        <w:kinsoku/>
        <w:wordWrap/>
        <w:overflowPunct/>
        <w:topLinePunct w:val="0"/>
        <w:autoSpaceDE/>
        <w:autoSpaceDN/>
        <w:bidi w:val="0"/>
        <w:adjustRightInd/>
        <w:snapToGrid/>
        <w:spacing w:line="240" w:lineRule="auto"/>
        <w:ind w:right="440"/>
        <w:jc w:val="center"/>
        <w:textAlignment w:val="auto"/>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pageBreakBefore w:val="0"/>
        <w:kinsoku/>
        <w:wordWrap/>
        <w:overflowPunct/>
        <w:topLinePunct w:val="0"/>
        <w:autoSpaceDE/>
        <w:autoSpaceDN/>
        <w:bidi w:val="0"/>
        <w:adjustRightInd/>
        <w:snapToGrid/>
        <w:spacing w:line="240" w:lineRule="auto"/>
        <w:textAlignment w:val="auto"/>
        <w:rPr>
          <w:color w:val="auto"/>
          <w:highlight w:val="none"/>
        </w:rPr>
      </w:pPr>
    </w:p>
    <w:p>
      <w:pPr>
        <w:pStyle w:val="24"/>
        <w:pageBreakBefore w:val="0"/>
        <w:numPr>
          <w:ilvl w:val="0"/>
          <w:numId w:val="2"/>
        </w:numPr>
        <w:kinsoku/>
        <w:wordWrap/>
        <w:overflowPunct/>
        <w:topLinePunct w:val="0"/>
        <w:autoSpaceDE/>
        <w:autoSpaceDN/>
        <w:bidi w:val="0"/>
        <w:adjustRightInd/>
        <w:snapToGrid/>
        <w:spacing w:line="240" w:lineRule="auto"/>
        <w:ind w:firstLineChars="0"/>
        <w:textAlignment w:val="auto"/>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pageBreakBefore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3934.54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564.15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16.73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单位经营收入、其他收入增加，</w:t>
      </w:r>
      <w:r>
        <w:rPr>
          <w:rFonts w:hint="eastAsia" w:ascii="仿宋" w:hAnsi="仿宋" w:eastAsia="仿宋"/>
          <w:color w:val="auto"/>
          <w:sz w:val="32"/>
          <w:szCs w:val="32"/>
          <w:highlight w:val="none"/>
        </w:rPr>
        <w:t>部分项目发生变动</w:t>
      </w:r>
      <w:r>
        <w:rPr>
          <w:rFonts w:hint="eastAsia" w:ascii="仿宋" w:hAnsi="仿宋" w:eastAsia="仿宋"/>
          <w:color w:val="auto"/>
          <w:sz w:val="32"/>
          <w:szCs w:val="32"/>
          <w:highlight w:val="none"/>
          <w:lang w:eastAsia="zh-CN"/>
        </w:rPr>
        <w:t>。</w:t>
      </w:r>
    </w:p>
    <w:p>
      <w:pPr>
        <w:pStyle w:val="2"/>
        <w:rPr>
          <w:rFonts w:hint="eastAsia"/>
        </w:rPr>
      </w:pPr>
    </w:p>
    <w:p>
      <w:pPr>
        <w:pStyle w:val="2"/>
        <w:rPr>
          <w:rFonts w:hint="eastAsia" w:eastAsia="仿宋_GB2312"/>
          <w:lang w:eastAsia="zh-CN"/>
        </w:rPr>
      </w:pPr>
      <w:r>
        <w:rPr>
          <w:rFonts w:hint="eastAsia" w:eastAsia="仿宋_GB2312"/>
          <w:lang w:eastAsia="zh-CN"/>
        </w:rPr>
        <w:drawing>
          <wp:inline distT="0" distB="0" distL="114300" distR="114300">
            <wp:extent cx="5289550" cy="3828415"/>
            <wp:effectExtent l="4445" t="4445" r="2095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3814.48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3440.06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90.18</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39.57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1.04</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212.12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5.56</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122.73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3904.86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2319.52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59.40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1402.90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35.93</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182.44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1"/>
        <w:rPr>
          <w:rFonts w:hint="eastAsia" w:ascii="仿宋" w:hAnsi="仿宋" w:eastAsia="仿宋"/>
          <w:color w:val="auto"/>
          <w:sz w:val="32"/>
          <w:szCs w:val="32"/>
          <w:highlight w:val="none"/>
          <w:lang w:eastAsia="zh-CN"/>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pStyle w:val="2"/>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3440.06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168.91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年在编职工人数增加、部分项目发生变动等原因</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3440.06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87.43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168.91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年在编职工人数增加、部分项目发生变动等原因</w:t>
      </w:r>
      <w:r>
        <w:rPr>
          <w:rFonts w:hint="eastAsia" w:ascii="仿宋" w:hAnsi="仿宋" w:eastAsia="仿宋"/>
          <w:color w:val="auto"/>
          <w:sz w:val="32"/>
          <w:szCs w:val="32"/>
          <w:highlight w:val="none"/>
          <w:lang w:eastAsia="zh-CN"/>
        </w:rPr>
        <w:t>。</w:t>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b/>
          <w:color w:val="auto"/>
          <w:sz w:val="32"/>
          <w:szCs w:val="32"/>
          <w:highlight w:val="none"/>
        </w:rPr>
      </w:pPr>
      <w:bookmarkStart w:id="30" w:name="OLE_LINK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3440.06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203.81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2830.24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2</w:t>
      </w:r>
      <w:r>
        <w:rPr>
          <w:rFonts w:hint="eastAsia" w:ascii="仿宋" w:hAnsi="仿宋" w:eastAsia="仿宋"/>
          <w:color w:val="auto"/>
          <w:sz w:val="32"/>
          <w:szCs w:val="32"/>
          <w:highlight w:val="none"/>
          <w:lang w:val="en-US" w:eastAsia="zh-CN"/>
        </w:rPr>
        <w:t>38.41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40.60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127.00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bookmarkEnd w:id="30"/>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1" w:name="_Toc15377212"/>
      <w:r>
        <w:rPr>
          <w:rFonts w:hint="eastAsia" w:ascii="仿宋" w:hAnsi="仿宋" w:eastAsia="仿宋"/>
          <w:b/>
          <w:color w:val="auto"/>
          <w:sz w:val="32"/>
          <w:szCs w:val="32"/>
          <w:highlight w:val="none"/>
        </w:rPr>
        <w:t>（三）一般公共预算财政拨款支出决算具体情况</w:t>
      </w:r>
      <w:bookmarkEnd w:id="31"/>
    </w:p>
    <w:p>
      <w:pPr>
        <w:spacing w:line="600" w:lineRule="exact"/>
        <w:ind w:firstLine="643" w:firstLineChars="200"/>
        <w:outlineLvl w:val="2"/>
        <w:rPr>
          <w:rFonts w:ascii="仿宋" w:hAnsi="仿宋" w:eastAsia="仿宋"/>
          <w:color w:val="auto"/>
          <w:sz w:val="32"/>
          <w:szCs w:val="32"/>
          <w:highlight w:val="none"/>
        </w:rPr>
      </w:pPr>
      <w:bookmarkStart w:id="32" w:name="_Toc15377444"/>
      <w:bookmarkStart w:id="33" w:name="_Toc15377213"/>
      <w:bookmarkStart w:id="34"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3440.06</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2"/>
      <w:bookmarkEnd w:id="33"/>
      <w:bookmarkEnd w:id="34"/>
    </w:p>
    <w:p>
      <w:pPr>
        <w:numPr>
          <w:ilvl w:val="0"/>
          <w:numId w:val="0"/>
        </w:numPr>
        <w:spacing w:line="600" w:lineRule="exact"/>
        <w:ind w:firstLine="321" w:firstLineChars="1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w:t>
      </w:r>
      <w:r>
        <w:rPr>
          <w:rStyle w:val="15"/>
          <w:rFonts w:hint="eastAsia" w:ascii="仿宋" w:hAnsi="仿宋" w:eastAsia="仿宋"/>
          <w:bCs/>
          <w:color w:val="auto"/>
          <w:sz w:val="32"/>
          <w:szCs w:val="32"/>
          <w:highlight w:val="none"/>
        </w:rPr>
        <w:t>一般公共服务（类）</w:t>
      </w:r>
      <w:r>
        <w:rPr>
          <w:rStyle w:val="15"/>
          <w:rFonts w:hint="eastAsia" w:ascii="仿宋" w:hAnsi="仿宋" w:eastAsia="仿宋"/>
          <w:bCs/>
          <w:color w:val="auto"/>
          <w:sz w:val="32"/>
          <w:szCs w:val="32"/>
          <w:highlight w:val="none"/>
          <w:lang w:val="en-US" w:eastAsia="zh-CN"/>
        </w:rPr>
        <w:t>市场监督管理事务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事业运行</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161.37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auto"/>
          <w:sz w:val="32"/>
          <w:szCs w:val="32"/>
          <w:highlight w:val="none"/>
        </w:rPr>
        <w:t>。</w:t>
      </w:r>
    </w:p>
    <w:p>
      <w:pPr>
        <w:numPr>
          <w:ilvl w:val="0"/>
          <w:numId w:val="0"/>
        </w:numPr>
        <w:spacing w:line="600" w:lineRule="exact"/>
        <w:ind w:firstLine="321" w:firstLineChars="1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hint="eastAsia" w:ascii="仿宋" w:hAnsi="仿宋" w:eastAsia="仿宋"/>
          <w:bCs/>
          <w:color w:val="auto"/>
          <w:sz w:val="32"/>
          <w:szCs w:val="32"/>
          <w:highlight w:val="none"/>
        </w:rPr>
        <w:t>一般公共服务（类）</w:t>
      </w:r>
      <w:r>
        <w:rPr>
          <w:rStyle w:val="15"/>
          <w:rFonts w:hint="eastAsia" w:ascii="仿宋" w:hAnsi="仿宋" w:eastAsia="仿宋"/>
          <w:bCs/>
          <w:color w:val="auto"/>
          <w:sz w:val="32"/>
          <w:szCs w:val="32"/>
          <w:highlight w:val="none"/>
          <w:lang w:val="en-US" w:eastAsia="zh-CN"/>
        </w:rPr>
        <w:t>其他一般公共服务支出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其他一般公共服务支出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42.44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auto"/>
          <w:sz w:val="32"/>
          <w:szCs w:val="32"/>
          <w:highlight w:val="none"/>
        </w:rPr>
        <w:t>。</w:t>
      </w:r>
    </w:p>
    <w:p>
      <w:pPr>
        <w:pStyle w:val="2"/>
        <w:numPr>
          <w:ilvl w:val="0"/>
          <w:numId w:val="0"/>
        </w:numPr>
      </w:pPr>
    </w:p>
    <w:p>
      <w:pPr>
        <w:numPr>
          <w:ilvl w:val="0"/>
          <w:numId w:val="0"/>
        </w:numPr>
        <w:spacing w:line="600" w:lineRule="exact"/>
        <w:ind w:firstLine="321" w:firstLineChars="1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职业教育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中等职业教育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2830.24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sz w:val="32"/>
          <w:szCs w:val="32"/>
        </w:rPr>
        <w:t>，决算数等于预算数</w:t>
      </w:r>
      <w:r>
        <w:rPr>
          <w:rStyle w:val="15"/>
          <w:rFonts w:hint="eastAsia" w:ascii="仿宋" w:hAnsi="仿宋" w:eastAsia="仿宋"/>
          <w:b w:val="0"/>
          <w:bCs/>
          <w:color w:val="auto"/>
          <w:sz w:val="32"/>
          <w:szCs w:val="32"/>
          <w:highlight w:val="none"/>
        </w:rPr>
        <w:t>。</w:t>
      </w:r>
    </w:p>
    <w:p>
      <w:pPr>
        <w:spacing w:line="600" w:lineRule="exact"/>
        <w:ind w:firstLine="321" w:firstLineChars="1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社会保障和就业支出（类）行政事业单位养老支出（款）机关事业单位基本养老保险缴费支出（项）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158.94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rPr>
          <w:rStyle w:val="15"/>
          <w:rFonts w:ascii="仿宋" w:hAnsi="仿宋" w:eastAsia="仿宋"/>
          <w:bCs/>
          <w:kern w:val="2"/>
          <w:sz w:val="32"/>
          <w:szCs w:val="32"/>
        </w:rPr>
      </w:pPr>
      <w:r>
        <w:rPr>
          <w:rStyle w:val="15"/>
          <w:rFonts w:hint="eastAsia" w:ascii="仿宋" w:hAnsi="仿宋" w:eastAsia="仿宋"/>
          <w:b w:val="0"/>
          <w:bCs/>
          <w:sz w:val="32"/>
          <w:szCs w:val="32"/>
        </w:rPr>
        <w:t xml:space="preserve">  </w:t>
      </w:r>
      <w:r>
        <w:rPr>
          <w:rStyle w:val="15"/>
          <w:rFonts w:hint="eastAsia" w:ascii="仿宋" w:hAnsi="仿宋" w:eastAsia="仿宋"/>
          <w:bCs/>
          <w:kern w:val="2"/>
          <w:sz w:val="32"/>
          <w:szCs w:val="32"/>
        </w:rPr>
        <w:t>5.社会保障和就业支出（类）行政事业单位养老支出（款）机关事业单位职业年金缴费支出（项）：</w:t>
      </w:r>
      <w:r>
        <w:rPr>
          <w:rStyle w:val="15"/>
          <w:rFonts w:hint="eastAsia" w:ascii="仿宋" w:hAnsi="仿宋" w:eastAsia="仿宋"/>
          <w:b w:val="0"/>
          <w:bCs/>
          <w:sz w:val="32"/>
          <w:szCs w:val="32"/>
        </w:rPr>
        <w:t>支出决算为79.47万元，完成预算100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321" w:firstLineChars="100"/>
        <w:rPr>
          <w:rStyle w:val="15"/>
          <w:rFonts w:ascii="仿宋" w:hAnsi="仿宋" w:eastAsia="仿宋"/>
          <w:b w:val="0"/>
          <w:bCs/>
          <w:sz w:val="32"/>
          <w:szCs w:val="32"/>
        </w:rPr>
      </w:pPr>
      <w:r>
        <w:rPr>
          <w:rStyle w:val="15"/>
          <w:rFonts w:hint="eastAsia" w:ascii="仿宋" w:hAnsi="仿宋" w:eastAsia="仿宋"/>
          <w:bCs/>
          <w:sz w:val="32"/>
          <w:szCs w:val="32"/>
        </w:rPr>
        <w:t>6.卫生健康支出（类）行政事业单位医疗（款）事业单位医疗（项）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支出决算为40.6万元，完成预算100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7.住房保障支出（类）住房改革支出（款）住房公积金（项）：</w:t>
      </w:r>
      <w:r>
        <w:rPr>
          <w:rStyle w:val="15"/>
          <w:rFonts w:hint="eastAsia" w:ascii="仿宋" w:hAnsi="仿宋" w:eastAsia="仿宋"/>
          <w:b w:val="0"/>
          <w:bCs/>
          <w:sz w:val="32"/>
          <w:szCs w:val="32"/>
        </w:rPr>
        <w:t>出决算为127.00万元，完成预算100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tabs>
          <w:tab w:val="right" w:pos="8306"/>
        </w:tabs>
        <w:spacing w:line="600" w:lineRule="exact"/>
        <w:ind w:firstLine="640" w:firstLineChars="200"/>
        <w:outlineLvl w:val="1"/>
        <w:rPr>
          <w:rStyle w:val="26"/>
          <w:color w:val="auto"/>
          <w:highlight w:val="none"/>
        </w:rPr>
      </w:pPr>
      <w:bookmarkStart w:id="35" w:name="_Toc15396608"/>
      <w:bookmarkStart w:id="36"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5"/>
      <w:bookmarkEnd w:id="36"/>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2037.16</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1785.37</w:t>
      </w:r>
      <w:r>
        <w:rPr>
          <w:rFonts w:hint="eastAsia" w:ascii="仿宋" w:hAnsi="仿宋" w:eastAsia="仿宋"/>
          <w:color w:val="auto"/>
          <w:sz w:val="32"/>
          <w:szCs w:val="32"/>
          <w:highlight w:val="none"/>
        </w:rPr>
        <w:t>万元，主要包括：基本工资、津贴补贴、绩效工资、机关事业单位基本养老保险缴费、职业年金缴费、其他社会保障缴费、其他工资福利支出、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251.79</w:t>
      </w:r>
      <w:r>
        <w:rPr>
          <w:rFonts w:hint="eastAsia" w:ascii="仿宋" w:hAnsi="仿宋" w:eastAsia="仿宋"/>
          <w:color w:val="auto"/>
          <w:sz w:val="32"/>
          <w:szCs w:val="32"/>
          <w:highlight w:val="none"/>
        </w:rPr>
        <w:t>万元，主要包括：物业管理费、差旅费、维修（护）费、培训费、工会经费、福利费等。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firstLineChars="200"/>
        <w:outlineLvl w:val="1"/>
        <w:rPr>
          <w:rStyle w:val="26"/>
          <w:rFonts w:ascii="黑体" w:hAnsi="黑体" w:eastAsia="黑体"/>
          <w:b w:val="0"/>
          <w:color w:val="auto"/>
          <w:highlight w:val="none"/>
        </w:rPr>
      </w:pPr>
      <w:bookmarkStart w:id="37" w:name="_Toc15396609"/>
      <w:bookmarkStart w:id="38"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7"/>
      <w:bookmarkEnd w:id="38"/>
    </w:p>
    <w:p>
      <w:pPr>
        <w:spacing w:line="600" w:lineRule="exact"/>
        <w:ind w:firstLine="640"/>
        <w:outlineLvl w:val="2"/>
        <w:rPr>
          <w:rFonts w:ascii="仿宋" w:hAnsi="仿宋" w:eastAsia="仿宋"/>
          <w:b/>
          <w:color w:val="auto"/>
          <w:sz w:val="32"/>
          <w:szCs w:val="32"/>
          <w:highlight w:val="none"/>
        </w:rPr>
      </w:pPr>
      <w:bookmarkStart w:id="39" w:name="_Toc15377216"/>
      <w:r>
        <w:rPr>
          <w:rFonts w:hint="eastAsia" w:ascii="仿宋" w:hAnsi="仿宋" w:eastAsia="仿宋"/>
          <w:b/>
          <w:color w:val="auto"/>
          <w:sz w:val="32"/>
          <w:szCs w:val="32"/>
          <w:highlight w:val="none"/>
        </w:rPr>
        <w:t>（一）“三公”经费财政拨款支出决算总体情况说明</w:t>
      </w:r>
      <w:bookmarkEnd w:id="39"/>
    </w:p>
    <w:p>
      <w:pPr>
        <w:spacing w:line="600" w:lineRule="exact"/>
        <w:ind w:firstLine="640"/>
        <w:rPr>
          <w:rFonts w:ascii="黑体" w:eastAsia="黑体"/>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年“三公”经费财政拨款支出决算为0万元，和上年对比无变化，该项经费在教育收费资金中安排，未在财政拨款中安排该项经费支出。</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1"/>
        <w:rPr>
          <w:rStyle w:val="26"/>
          <w:rFonts w:ascii="黑体" w:hAnsi="黑体" w:eastAsia="黑体"/>
          <w:color w:val="auto"/>
          <w:highlight w:val="none"/>
        </w:rPr>
      </w:pPr>
      <w:bookmarkStart w:id="40" w:name="_Toc15377218"/>
      <w:bookmarkStart w:id="41" w:name="_Toc15396610"/>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 w:hAnsi="仿宋" w:eastAsia="仿宋"/>
          <w:b/>
          <w:sz w:val="32"/>
          <w:szCs w:val="32"/>
        </w:rPr>
      </w:pPr>
      <w:r>
        <w:rPr>
          <w:rFonts w:hint="eastAsia" w:ascii="仿宋_GB2312" w:eastAsia="仿宋_GB2312"/>
          <w:sz w:val="32"/>
          <w:szCs w:val="32"/>
        </w:rPr>
        <w:t>省质监校为事业单位，按规定未使用机关运行的相关科目。</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四川省质量技术监督学校</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51</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21.00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30.00</w:t>
      </w:r>
      <w:r>
        <w:rPr>
          <w:rFonts w:hint="eastAsia" w:ascii="仿宋_GB2312" w:eastAsia="仿宋_GB2312"/>
          <w:color w:val="auto"/>
          <w:sz w:val="32"/>
          <w:szCs w:val="32"/>
          <w:highlight w:val="none"/>
        </w:rPr>
        <w:t>万元。主要用于</w:t>
      </w:r>
      <w:r>
        <w:rPr>
          <w:rFonts w:hint="eastAsia" w:ascii="仿宋_GB2312" w:eastAsia="仿宋_GB2312"/>
          <w:color w:val="000000" w:themeColor="text1"/>
          <w:sz w:val="32"/>
          <w:szCs w:val="32"/>
          <w14:textFill>
            <w14:solidFill>
              <w14:schemeClr w14:val="tx1"/>
            </w14:solidFill>
          </w14:textFill>
        </w:rPr>
        <w:t>物业管理服务、公务用车运行维护</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40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78.43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40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78.43</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日，四川省质量技术监督学校共有车辆5辆，其中：其他用车5辆，其他用车主要是用于招生、校企合作、学生顶岗实习等，单价</w:t>
      </w:r>
      <w:r>
        <w:rPr>
          <w:rFonts w:ascii="仿宋_GB2312" w:eastAsia="仿宋_GB2312"/>
          <w:sz w:val="32"/>
          <w:szCs w:val="32"/>
        </w:rPr>
        <w:t>50</w:t>
      </w:r>
      <w:r>
        <w:rPr>
          <w:rFonts w:hint="eastAsia" w:ascii="仿宋_GB2312" w:eastAsia="仿宋_GB2312"/>
          <w:sz w:val="32"/>
          <w:szCs w:val="32"/>
        </w:rPr>
        <w:t>万元以上通用设备1台（套），单价</w:t>
      </w:r>
      <w:r>
        <w:rPr>
          <w:rFonts w:ascii="仿宋_GB2312" w:eastAsia="仿宋_GB2312"/>
          <w:sz w:val="32"/>
          <w:szCs w:val="32"/>
        </w:rPr>
        <w:t>100</w:t>
      </w:r>
      <w:r>
        <w:rPr>
          <w:rFonts w:hint="eastAsia" w:ascii="仿宋_GB2312" w:eastAsia="仿宋_GB2312"/>
          <w:sz w:val="32"/>
          <w:szCs w:val="32"/>
        </w:rPr>
        <w:t>万元以上专用设备1台（套）。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w:t>
      </w:r>
      <w:r>
        <w:rPr>
          <w:rFonts w:hint="eastAsia" w:hAnsi="仿宋_GB2312" w:cs="仿宋_GB2312"/>
          <w:color w:val="auto"/>
          <w:sz w:val="32"/>
          <w:szCs w:val="32"/>
          <w:highlight w:val="none"/>
          <w:lang w:val="en-US" w:eastAsia="zh-CN"/>
        </w:rPr>
        <w:t>组织对中职学校生均经费、食品领域检验检测机构授权签字人考核、首席质量官宣贯经费、省质监校专项维修费、疫情防控等5个项目</w:t>
      </w:r>
      <w:r>
        <w:rPr>
          <w:rFonts w:hint="eastAsia" w:ascii="仿宋_GB2312" w:hAnsi="仿宋_GB2312" w:eastAsia="仿宋_GB2312" w:cs="仿宋_GB2312"/>
          <w:color w:val="auto"/>
          <w:sz w:val="32"/>
          <w:szCs w:val="32"/>
          <w:highlight w:val="none"/>
          <w:lang w:val="en-US" w:eastAsia="zh-CN"/>
        </w:rPr>
        <w:t>开展</w:t>
      </w:r>
      <w:r>
        <w:rPr>
          <w:rFonts w:hint="eastAsia" w:hAnsi="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预算事前绩效评估，对</w:t>
      </w:r>
      <w:r>
        <w:rPr>
          <w:rFonts w:hint="eastAsia" w:hAnsi="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w:t>
      </w:r>
      <w:r>
        <w:rPr>
          <w:rFonts w:hint="eastAsia" w:ascii="仿宋_GB2312" w:eastAsia="仿宋_GB2312"/>
          <w:color w:val="auto"/>
          <w:sz w:val="32"/>
          <w:szCs w:val="32"/>
          <w:highlight w:val="none"/>
          <w:lang w:val="en-US" w:eastAsia="zh-CN"/>
        </w:rPr>
        <w:t>学生住宿费等</w:t>
      </w:r>
      <w:r>
        <w:rPr>
          <w:rFonts w:hint="eastAsia" w:ascii="仿宋_GB2312" w:eastAsia="仿宋_GB2312"/>
          <w:color w:val="auto"/>
          <w:sz w:val="32"/>
          <w:szCs w:val="32"/>
          <w:highlight w:val="none"/>
        </w:rPr>
        <w:t>（二级预算单位事业收入情况）等。</w:t>
      </w: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w:t>
      </w:r>
      <w:r>
        <w:rPr>
          <w:rFonts w:hint="eastAsia" w:ascii="仿宋_GB2312" w:eastAsia="仿宋_GB2312"/>
          <w:color w:val="auto"/>
          <w:sz w:val="32"/>
          <w:szCs w:val="32"/>
          <w:highlight w:val="none"/>
          <w:lang w:val="en-US" w:eastAsia="zh-CN"/>
        </w:rPr>
        <w:t>对外培训培训费收入、住宿费收入等</w:t>
      </w:r>
      <w:r>
        <w:rPr>
          <w:rFonts w:hint="eastAsia" w:ascii="仿宋_GB2312" w:eastAsia="仿宋_GB2312"/>
          <w:color w:val="auto"/>
          <w:sz w:val="32"/>
          <w:szCs w:val="32"/>
          <w:highlight w:val="none"/>
        </w:rPr>
        <w:t>（二级预算单位经营收入情况）等。</w:t>
      </w: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val="en-US" w:eastAsia="zh-CN"/>
        </w:rPr>
        <w:t>捐赠收入、银行存款利息收入等</w:t>
      </w:r>
      <w:r>
        <w:rPr>
          <w:rFonts w:hint="eastAsia" w:ascii="仿宋_GB2312" w:eastAsia="仿宋_GB2312"/>
          <w:color w:val="auto"/>
          <w:sz w:val="32"/>
          <w:szCs w:val="32"/>
          <w:highlight w:val="none"/>
        </w:rPr>
        <w:t>（收入类型）等。</w:t>
      </w:r>
      <w:r>
        <w:rPr>
          <w:rFonts w:ascii="仿宋_GB2312" w:eastAsia="仿宋_GB2312"/>
          <w:color w:val="auto"/>
          <w:sz w:val="32"/>
          <w:szCs w:val="32"/>
          <w:highlight w:val="none"/>
        </w:rPr>
        <w:t xml:space="preserve"> </w:t>
      </w: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320" w:firstLineChars="1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Style w:val="15"/>
          <w:rFonts w:hint="eastAsia" w:ascii="仿宋" w:hAnsi="仿宋" w:eastAsia="仿宋"/>
          <w:bCs/>
          <w:color w:val="auto"/>
          <w:sz w:val="32"/>
          <w:szCs w:val="32"/>
          <w:highlight w:val="none"/>
        </w:rPr>
        <w:t>一般公共服务（类）</w:t>
      </w:r>
      <w:r>
        <w:rPr>
          <w:rStyle w:val="15"/>
          <w:rFonts w:hint="eastAsia" w:ascii="仿宋" w:hAnsi="仿宋" w:eastAsia="仿宋"/>
          <w:bCs/>
          <w:color w:val="auto"/>
          <w:sz w:val="32"/>
          <w:szCs w:val="32"/>
          <w:highlight w:val="none"/>
          <w:lang w:val="en-US" w:eastAsia="zh-CN"/>
        </w:rPr>
        <w:t>市场监督管理事务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事业运行</w:t>
      </w:r>
      <w:r>
        <w:rPr>
          <w:rStyle w:val="15"/>
          <w:rFonts w:hint="eastAsia" w:ascii="仿宋" w:hAnsi="仿宋" w:eastAsia="仿宋"/>
          <w:bCs/>
          <w:color w:val="auto"/>
          <w:sz w:val="32"/>
          <w:szCs w:val="32"/>
          <w:highlight w:val="none"/>
        </w:rPr>
        <w:t>（项）</w:t>
      </w:r>
      <w:r>
        <w:rPr>
          <w:rFonts w:hint="eastAsia" w:ascii="仿宋_GB2312" w:eastAsia="仿宋_GB2312"/>
          <w:color w:val="auto"/>
          <w:sz w:val="32"/>
          <w:szCs w:val="32"/>
          <w:highlight w:val="none"/>
        </w:rPr>
        <w:t>：</w:t>
      </w:r>
      <w:r>
        <w:rPr>
          <w:rFonts w:hint="eastAsia" w:ascii="仿宋_GB2312" w:hAnsi="Calibri" w:eastAsia="仿宋_GB2312" w:cs="仿宋"/>
          <w:color w:val="auto"/>
          <w:kern w:val="0"/>
          <w:sz w:val="32"/>
          <w:szCs w:val="32"/>
          <w:highlight w:val="none"/>
          <w:lang w:val="en-US" w:eastAsia="zh-CN" w:bidi="ar-SA"/>
        </w:rPr>
        <w:t>指反映事业单位的基本支出，不包括行政单位（包括实行公务员管理的事业单位）后勤服务中心、医务室等附属事业单位。</w:t>
      </w:r>
    </w:p>
    <w:p>
      <w:pPr>
        <w:pStyle w:val="2"/>
        <w:ind w:firstLine="320" w:firstLineChars="100"/>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10.一般公共服务（类）其他一般公共服务支出（款）其他一般公共服务支出（项）：指反映除上述项目以外的其他一般公共服务支出。</w:t>
      </w:r>
    </w:p>
    <w:p>
      <w:pPr>
        <w:ind w:firstLine="320" w:firstLineChars="1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.教育支出（类）职业教育（款）中等职业教育（项）：指反映各单位举办的各类中等职业教育的支出。</w:t>
      </w:r>
    </w:p>
    <w:p>
      <w:pPr>
        <w:ind w:firstLine="320" w:firstLineChars="1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12.社会保障和就业支出（类）行政事业单位离退休（款）机关事业单位基本养老保险缴费支出（项）：指反映机关事业单位实施养老保险制度由单位缴纳的基本养老保险费支出。</w:t>
      </w:r>
    </w:p>
    <w:p>
      <w:pPr>
        <w:ind w:firstLine="320" w:firstLineChars="1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13.社会保障和就业支出（</w:t>
      </w:r>
      <w:r>
        <w:rPr>
          <w:rFonts w:hint="eastAsia" w:ascii="仿宋_GB2312" w:hAnsi="Calibri" w:eastAsia="仿宋_GB2312" w:cs="仿宋"/>
          <w:sz w:val="32"/>
          <w:szCs w:val="32"/>
        </w:rPr>
        <w:t>类）行政事业单位离退休（款）机关</w:t>
      </w:r>
      <w:r>
        <w:rPr>
          <w:rFonts w:hint="eastAsia" w:ascii="仿宋_GB2312" w:eastAsia="仿宋_GB2312"/>
          <w:color w:val="auto"/>
          <w:sz w:val="32"/>
          <w:szCs w:val="32"/>
          <w:highlight w:val="none"/>
          <w:lang w:val="en-US" w:eastAsia="zh-CN"/>
        </w:rPr>
        <w:t>事业单位职业年金缴费支出（项）：指反映机关事业单位实施养老保险制度由单位实际缴纳的职业年金支出。</w:t>
      </w:r>
    </w:p>
    <w:p>
      <w:pPr>
        <w:ind w:firstLine="320" w:firstLineChars="1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14.社会保障和就业支出（类）其他社会保障和就业支出（款）其他社会保障和就业支出（项）：指反映除上述项目以外其他用于社会保障和就业方面的支出。</w:t>
      </w:r>
    </w:p>
    <w:p>
      <w:pPr>
        <w:ind w:firstLine="320" w:firstLineChars="1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卫生健康支出（类）行政事业单位医疗（款）事业单位医疗（项）：指反映财政单位安排的事业单位基本医疗保险缴费经费，未参加医疗保险的事业单位的公费医疗经费，按国家规定享受离休人员待遇的医疗经费。</w:t>
      </w:r>
    </w:p>
    <w:p>
      <w:pPr>
        <w:ind w:firstLine="320" w:firstLineChars="1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16.住房保障支出（类）住房改革支出（款）住房公积金（项）：指反映行政事业单位按人力资源和社会保障部、财政部规定的基本工资和津贴补贴以及规定比例为职工缴纳的住房公积金。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pPr>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Fonts w:hint="eastAsia" w:ascii="黑体" w:hAnsi="黑体" w:eastAsia="黑体"/>
          <w:color w:val="auto"/>
          <w:sz w:val="44"/>
          <w:szCs w:val="44"/>
          <w:highlight w:val="none"/>
        </w:rPr>
      </w:pPr>
      <w:bookmarkStart w:id="51" w:name="_Toc15396614"/>
      <w:bookmarkStart w:id="52" w:name="_Toc15377226"/>
    </w:p>
    <w:p>
      <w:pPr>
        <w:spacing w:line="600" w:lineRule="exact"/>
        <w:jc w:val="both"/>
        <w:outlineLvl w:val="0"/>
        <w:rPr>
          <w:rFonts w:hint="eastAsia" w:ascii="黑体" w:hAnsi="黑体" w:eastAsia="黑体"/>
          <w:color w:val="auto"/>
          <w:sz w:val="44"/>
          <w:szCs w:val="44"/>
          <w:highlight w:val="none"/>
        </w:rPr>
      </w:pPr>
    </w:p>
    <w:p>
      <w:pPr>
        <w:pStyle w:val="2"/>
        <w:rPr>
          <w:rFonts w:hint="eastAsi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1"/>
    </w:p>
    <w:p>
      <w:pPr>
        <w:spacing w:line="600" w:lineRule="exact"/>
        <w:jc w:val="both"/>
        <w:outlineLvl w:val="0"/>
        <w:rPr>
          <w:rFonts w:hint="eastAsia" w:ascii="仿宋_GB2312" w:hAnsi="Calibri" w:eastAsia="仿宋_GB2312" w:cs="仿宋"/>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pStyle w:val="2"/>
        <w:rPr>
          <w:rFonts w:hint="eastAsi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Y2Y2N2Y0YzU5YTJmMjBhYmM5MzJhMjI3MzhhMm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784CC6"/>
    <w:rsid w:val="03800D34"/>
    <w:rsid w:val="0A2032A3"/>
    <w:rsid w:val="0B8A37D8"/>
    <w:rsid w:val="10C055FF"/>
    <w:rsid w:val="118107EC"/>
    <w:rsid w:val="11DD6519"/>
    <w:rsid w:val="13BF5291"/>
    <w:rsid w:val="16BB723D"/>
    <w:rsid w:val="16EB68ED"/>
    <w:rsid w:val="18015F3F"/>
    <w:rsid w:val="1BE8440E"/>
    <w:rsid w:val="1D155CEE"/>
    <w:rsid w:val="1F043F22"/>
    <w:rsid w:val="1F1B4296"/>
    <w:rsid w:val="20F57F95"/>
    <w:rsid w:val="21C4438A"/>
    <w:rsid w:val="240371BF"/>
    <w:rsid w:val="245C1A4C"/>
    <w:rsid w:val="25692D31"/>
    <w:rsid w:val="25711CC6"/>
    <w:rsid w:val="25C741E6"/>
    <w:rsid w:val="27842671"/>
    <w:rsid w:val="28A3555A"/>
    <w:rsid w:val="29FD04D3"/>
    <w:rsid w:val="2ABE7A3E"/>
    <w:rsid w:val="2CA234A8"/>
    <w:rsid w:val="2DE30EA1"/>
    <w:rsid w:val="2EFA178C"/>
    <w:rsid w:val="307067A8"/>
    <w:rsid w:val="30B46D73"/>
    <w:rsid w:val="319F7F4E"/>
    <w:rsid w:val="383D272C"/>
    <w:rsid w:val="39AE70AB"/>
    <w:rsid w:val="3B384365"/>
    <w:rsid w:val="3C0C0783"/>
    <w:rsid w:val="3F9F3A96"/>
    <w:rsid w:val="442742D8"/>
    <w:rsid w:val="48BF60AB"/>
    <w:rsid w:val="493C27E9"/>
    <w:rsid w:val="496F39ED"/>
    <w:rsid w:val="49FF41D3"/>
    <w:rsid w:val="4A90775B"/>
    <w:rsid w:val="4BE068DB"/>
    <w:rsid w:val="4BF6002B"/>
    <w:rsid w:val="4C1125CA"/>
    <w:rsid w:val="4ECE2238"/>
    <w:rsid w:val="51DB4B86"/>
    <w:rsid w:val="528073C9"/>
    <w:rsid w:val="55333C3E"/>
    <w:rsid w:val="5BCC1348"/>
    <w:rsid w:val="5F47448A"/>
    <w:rsid w:val="64CA39A1"/>
    <w:rsid w:val="69630ADE"/>
    <w:rsid w:val="6BAE6288"/>
    <w:rsid w:val="6C4A05C8"/>
    <w:rsid w:val="6D3B1A89"/>
    <w:rsid w:val="6DA67A80"/>
    <w:rsid w:val="6F503272"/>
    <w:rsid w:val="71BF4EC2"/>
    <w:rsid w:val="72734D90"/>
    <w:rsid w:val="73ED5DA0"/>
    <w:rsid w:val="7412278C"/>
    <w:rsid w:val="75956A44"/>
    <w:rsid w:val="78922F0E"/>
    <w:rsid w:val="79E7B28D"/>
    <w:rsid w:val="7F9F20EE"/>
    <w:rsid w:val="7FD14B1D"/>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2021年</c:v>
                </c:pt>
                <c:pt idx="1">
                  <c:v>2022年</c:v>
                </c:pt>
              </c:strCache>
            </c:strRef>
          </c:cat>
          <c:val>
            <c:numRef>
              <c:f>Sheet1!$B$1:$B$2</c:f>
              <c:numCache>
                <c:formatCode>General</c:formatCode>
                <c:ptCount val="2"/>
                <c:pt idx="0">
                  <c:v>3370.39</c:v>
                </c:pt>
                <c:pt idx="1">
                  <c:v>3934.54</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2021年</c:v>
                </c:pt>
                <c:pt idx="1">
                  <c:v>2022年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Sheet1!$A$1:$A$2</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11674393"/>
        <c:axId val="830732130"/>
      </c:barChart>
      <c:catAx>
        <c:axId val="1116743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732130"/>
        <c:crosses val="autoZero"/>
        <c:auto val="1"/>
        <c:lblAlgn val="ctr"/>
        <c:lblOffset val="100"/>
        <c:noMultiLvlLbl val="0"/>
      </c:catAx>
      <c:valAx>
        <c:axId val="8307321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6743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事业收入</c:v>
                </c:pt>
                <c:pt idx="2">
                  <c:v>经营收入</c:v>
                </c:pt>
                <c:pt idx="3">
                  <c:v>其他收入</c:v>
                </c:pt>
              </c:strCache>
            </c:strRef>
          </c:cat>
          <c:val>
            <c:numRef>
              <c:f>Sheet1!$B$2:$B$5</c:f>
              <c:numCache>
                <c:formatCode>General</c:formatCode>
                <c:ptCount val="4"/>
                <c:pt idx="0">
                  <c:v>3440.06</c:v>
                </c:pt>
                <c:pt idx="1">
                  <c:v>39.57</c:v>
                </c:pt>
                <c:pt idx="2">
                  <c:v>212.12</c:v>
                </c:pt>
                <c:pt idx="3">
                  <c:v>122.73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2319.52</c:v>
                </c:pt>
                <c:pt idx="1">
                  <c:v>1402.9</c:v>
                </c:pt>
                <c:pt idx="2">
                  <c:v>182.44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2021年</c:v>
                </c:pt>
                <c:pt idx="1">
                  <c:v>2022年</c:v>
                </c:pt>
              </c:strCache>
            </c:strRef>
          </c:cat>
          <c:val>
            <c:numRef>
              <c:f>Sheet1!$B$1:$B$2</c:f>
              <c:numCache>
                <c:formatCode>General</c:formatCode>
                <c:ptCount val="2"/>
                <c:pt idx="0">
                  <c:v>3271.15</c:v>
                </c:pt>
                <c:pt idx="1">
                  <c:v>3440.06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2021年</c:v>
                </c:pt>
                <c:pt idx="1">
                  <c:v>2022年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Sheet1!$A$1:$A$2</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78132501"/>
        <c:axId val="113946185"/>
      </c:barChart>
      <c:catAx>
        <c:axId val="4781325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946185"/>
        <c:crosses val="autoZero"/>
        <c:auto val="1"/>
        <c:lblAlgn val="ctr"/>
        <c:lblOffset val="100"/>
        <c:noMultiLvlLbl val="0"/>
      </c:catAx>
      <c:valAx>
        <c:axId val="1139461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1325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2021年</c:v>
                </c:pt>
                <c:pt idx="1">
                  <c:v>2022年</c:v>
                </c:pt>
              </c:strCache>
            </c:strRef>
          </c:cat>
          <c:val>
            <c:numRef>
              <c:f>Sheet1!$B$1:$B$2</c:f>
              <c:numCache>
                <c:formatCode>General</c:formatCode>
                <c:ptCount val="2"/>
                <c:pt idx="0">
                  <c:v>3271.15</c:v>
                </c:pt>
                <c:pt idx="1">
                  <c:v>3440.06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2021年</c:v>
                </c:pt>
                <c:pt idx="1">
                  <c:v>2022年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Sheet1!$A$1:$A$2</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78132501"/>
        <c:axId val="113946185"/>
      </c:barChart>
      <c:catAx>
        <c:axId val="4781325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946185"/>
        <c:crosses val="autoZero"/>
        <c:auto val="1"/>
        <c:lblAlgn val="ctr"/>
        <c:lblOffset val="100"/>
        <c:noMultiLvlLbl val="0"/>
      </c:catAx>
      <c:valAx>
        <c:axId val="1139461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1325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0.00_);[Red]\(#,##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General</c:formatCode>
                <c:ptCount val="5"/>
                <c:pt idx="0">
                  <c:v>203.81</c:v>
                </c:pt>
                <c:pt idx="1">
                  <c:v>2830.24</c:v>
                </c:pt>
                <c:pt idx="2">
                  <c:v>238.41</c:v>
                </c:pt>
                <c:pt idx="3">
                  <c:v>40.6</c:v>
                </c:pt>
                <c:pt idx="4">
                  <c:v>127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4517</Words>
  <Characters>4940</Characters>
  <Lines>61</Lines>
  <Paragraphs>17</Paragraphs>
  <TotalTime>90</TotalTime>
  <ScaleCrop>false</ScaleCrop>
  <LinksUpToDate>false</LinksUpToDate>
  <CharactersWithSpaces>4960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2023-09-05T01:49:26Z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4F6A6768368049009CF6FAAE4A0A7562_12</vt:lpwstr>
  </property>
</Properties>
</file>